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96" w:rsidRPr="006A1E50" w:rsidRDefault="004E0B96" w:rsidP="004E0B96">
      <w:pPr>
        <w:pStyle w:val="2"/>
      </w:pPr>
      <w:r w:rsidRPr="006A1E50">
        <w:t>ПРИЛОГ 1</w:t>
      </w:r>
    </w:p>
    <w:p w:rsidR="004E0B96" w:rsidRPr="006A1E50" w:rsidRDefault="004E0B96" w:rsidP="004E0B96">
      <w:pPr>
        <w:spacing w:after="0" w:line="240" w:lineRule="auto"/>
        <w:ind w:firstLine="810"/>
        <w:jc w:val="right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:rsidR="004E0B96" w:rsidRPr="006A1E50" w:rsidRDefault="004E0B96" w:rsidP="004E0B96">
      <w:pPr>
        <w:spacing w:after="0" w:line="240" w:lineRule="auto"/>
        <w:ind w:firstLine="720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6A1E50">
        <w:rPr>
          <w:rFonts w:ascii="Times New Roman" w:hAnsi="Times New Roman"/>
          <w:bCs/>
          <w:iCs/>
          <w:sz w:val="24"/>
          <w:szCs w:val="24"/>
          <w:lang w:val="sr-Cyrl-CS"/>
        </w:rPr>
        <w:t>МЕТОДОЛОГИЈА ЗА РАЧУНАЊЕ УДЕЛА БИОГОРИВА НА ТРЖИШТУ</w:t>
      </w:r>
    </w:p>
    <w:p w:rsidR="004E0B96" w:rsidRPr="006A1E50" w:rsidRDefault="004E0B96" w:rsidP="004E0B9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:rsidR="004E0B96" w:rsidRPr="006A1E50" w:rsidRDefault="004E0B96" w:rsidP="004E0B9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6A1E5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1. За израчунавање удела биогорива на тржишту узимају се у обзир само биогорива која испуњавају критеријуме одрживости и испуњавају прописане техничке и друге захтеве за квалитет биогорива.  </w:t>
      </w:r>
    </w:p>
    <w:p w:rsidR="004E0B96" w:rsidRPr="006A1E50" w:rsidRDefault="004E0B96" w:rsidP="004E0B9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6A1E50">
        <w:rPr>
          <w:rFonts w:ascii="Times New Roman" w:hAnsi="Times New Roman"/>
          <w:bCs/>
          <w:iCs/>
          <w:sz w:val="24"/>
          <w:szCs w:val="24"/>
          <w:lang w:val="sr-Cyrl-CS"/>
        </w:rPr>
        <w:t>2. За приказивање удела биогорива на тржишту користи се процентуални садржај енергије биогорива у укупној енергији горива стављеног у промет на тржиште Републике Србије, изражен као процентуални садржај у енергији %.</w:t>
      </w:r>
    </w:p>
    <w:p w:rsidR="004E0B96" w:rsidRPr="006A1E50" w:rsidRDefault="004E0B96" w:rsidP="004E0B9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6A1E50">
        <w:rPr>
          <w:rFonts w:ascii="Times New Roman" w:hAnsi="Times New Roman"/>
          <w:bCs/>
          <w:iCs/>
          <w:sz w:val="24"/>
          <w:szCs w:val="24"/>
          <w:lang w:val="sr-Cyrl-CS"/>
        </w:rPr>
        <w:t>3. Енергетске вредности горива и биогорива које се користе за обрачун обавезног удела биогорива у саобраћају прописане су у Прилогу 3, који је саставни део ове уредбе.</w:t>
      </w:r>
    </w:p>
    <w:p w:rsidR="004E0B96" w:rsidRPr="006A1E50" w:rsidRDefault="004E0B96" w:rsidP="004E0B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6A1E50">
        <w:rPr>
          <w:rFonts w:ascii="Times New Roman" w:hAnsi="Times New Roman"/>
          <w:bCs/>
          <w:iCs/>
          <w:sz w:val="24"/>
          <w:szCs w:val="24"/>
          <w:lang w:val="sr-Cyrl-CS"/>
        </w:rPr>
        <w:t>4. Енергетска вредност биогорива која су произведена из сировина из Прилога 4,</w:t>
      </w:r>
      <w:r w:rsidRPr="006A1E50">
        <w:rPr>
          <w:bCs/>
          <w:iCs/>
          <w:lang w:val="sr-Cyrl-CS"/>
        </w:rPr>
        <w:t xml:space="preserve"> </w:t>
      </w:r>
      <w:r w:rsidRPr="006A1E50">
        <w:rPr>
          <w:rFonts w:ascii="Times New Roman" w:hAnsi="Times New Roman"/>
          <w:bCs/>
          <w:iCs/>
          <w:sz w:val="24"/>
          <w:szCs w:val="24"/>
          <w:lang w:val="sr-Cyrl-CS"/>
        </w:rPr>
        <w:t>који је саставни део ове уредбе, рачуна се двоструко у односу на енергетску вредност биогорива која су добијена из других сировина.</w:t>
      </w:r>
    </w:p>
    <w:p w:rsidR="004E0B96" w:rsidRPr="006A1E50" w:rsidRDefault="004E0B96" w:rsidP="004E0B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6A1E5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5. На основу прописаног обавезног удела биогорива одређује се обавезна количина енергије из биогорива за сваког обвезника система, а која се израчунава у складу са следећом формулом: </w:t>
      </w:r>
    </w:p>
    <w:p w:rsidR="004E0B96" w:rsidRPr="006A1E50" w:rsidRDefault="00684F31" w:rsidP="004E0B96">
      <w:pPr>
        <w:pStyle w:val="Default"/>
        <w:jc w:val="both"/>
        <w:rPr>
          <w:bCs/>
          <w:iCs/>
          <w:lang w:val="sr-Cyrl-C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Cs/>
                  <w:lang w:val="sr-Cyrl-CS"/>
                </w:rPr>
              </m:ctrlPr>
            </m:sSubPr>
            <m:e>
              <m:r>
                <w:rPr>
                  <w:rFonts w:ascii="Cambria Math" w:hAnsi="Cambria Math"/>
                  <w:lang w:val="sr-Cyrl-CS"/>
                </w:rPr>
                <m:t>E</m:t>
              </m:r>
            </m:e>
            <m:sub>
              <m:r>
                <w:rPr>
                  <w:rFonts w:ascii="Cambria Math" w:hAnsi="Cambria Math"/>
                  <w:lang w:val="sr-Cyrl-CS"/>
                </w:rPr>
                <m:t>OB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lang w:val="sr-Cyrl-CS"/>
            </w:rPr>
            <m:t>=</m:t>
          </m:r>
          <m:f>
            <m:fPr>
              <m:ctrlPr>
                <w:rPr>
                  <w:rFonts w:ascii="Cambria Math" w:hAnsi="Cambria Math" w:cs="Cambria Math"/>
                  <w:bCs/>
                  <w:iCs/>
                  <w:lang w:val="sr-Cyrl-C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Cs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C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lang w:val="sr-Cyrl-CS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lang w:val="sr-Cyrl-C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bCs/>
                      <w:iCs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CS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lang w:val="sr-Cyrl-CS"/>
                    </w:rPr>
                    <m:t>G</m:t>
                  </m:r>
                </m:sub>
              </m:sSub>
            </m:num>
            <m:den>
              <m:r>
                <w:rPr>
                  <w:rFonts w:ascii="Cambria Math" w:hAnsi="Cambria Math" w:cs="Cambria Math"/>
                  <w:lang w:val="sr-Cyrl-CS"/>
                </w:rPr>
                <m:t>100%</m:t>
              </m:r>
            </m:den>
          </m:f>
        </m:oMath>
      </m:oMathPara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Cs/>
          <w:lang w:val="sr-Cyrl-CS"/>
        </w:rPr>
        <w:t>где је: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/>
          <w:iCs/>
          <w:lang w:val="sr-Cyrl-CS"/>
        </w:rPr>
        <w:t>E</w:t>
      </w:r>
      <w:r w:rsidRPr="006A1E50">
        <w:rPr>
          <w:bCs/>
          <w:i/>
          <w:iCs/>
          <w:vertAlign w:val="subscript"/>
          <w:lang w:val="sr-Cyrl-CS"/>
        </w:rPr>
        <w:t>ОB</w:t>
      </w:r>
      <w:r w:rsidRPr="006A1E50">
        <w:rPr>
          <w:bCs/>
          <w:iCs/>
          <w:lang w:val="sr-Cyrl-CS"/>
        </w:rPr>
        <w:t xml:space="preserve"> – Количина енергије из биогорива коју је обвезник система обавезан да стави на тржиште у години на коју се односи обавеза, [MJ];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/>
          <w:iCs/>
          <w:lang w:val="sr-Cyrl-CS"/>
        </w:rPr>
        <w:t>U</w:t>
      </w:r>
      <w:r w:rsidRPr="006A1E50">
        <w:rPr>
          <w:bCs/>
          <w:i/>
          <w:iCs/>
          <w:vertAlign w:val="subscript"/>
          <w:lang w:val="sr-Cyrl-CS"/>
        </w:rPr>
        <w:t>B</w:t>
      </w:r>
      <w:r w:rsidRPr="006A1E50">
        <w:rPr>
          <w:bCs/>
          <w:iCs/>
          <w:lang w:val="sr-Cyrl-CS"/>
        </w:rPr>
        <w:t xml:space="preserve"> – Обавезни удео биогорива прописан за обвезнике система у складу са одлуком Владе из члана 3. ове уредбе, [%];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/>
          <w:iCs/>
          <w:lang w:val="sr-Cyrl-CS"/>
        </w:rPr>
        <w:t>E</w:t>
      </w:r>
      <w:r w:rsidRPr="006A1E50">
        <w:rPr>
          <w:bCs/>
          <w:i/>
          <w:iCs/>
          <w:vertAlign w:val="subscript"/>
          <w:lang w:val="sr-Cyrl-CS"/>
        </w:rPr>
        <w:t>G</w:t>
      </w:r>
      <w:r w:rsidRPr="006A1E50">
        <w:rPr>
          <w:bCs/>
          <w:i/>
          <w:iCs/>
          <w:lang w:val="sr-Cyrl-CS"/>
        </w:rPr>
        <w:t xml:space="preserve"> </w:t>
      </w:r>
      <w:r w:rsidRPr="006A1E50">
        <w:rPr>
          <w:bCs/>
          <w:iCs/>
          <w:lang w:val="sr-Cyrl-CS"/>
        </w:rPr>
        <w:t>– Укупна количина енергије горива из члана 2. став 2. ове уредбе у години на коју се односи обавеза, [MJ].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</w:p>
    <w:p w:rsidR="004E0B96" w:rsidRPr="006A1E50" w:rsidRDefault="004E0B96" w:rsidP="004E0B96">
      <w:pPr>
        <w:pStyle w:val="Default"/>
        <w:ind w:firstLine="720"/>
        <w:jc w:val="both"/>
        <w:rPr>
          <w:bCs/>
          <w:iCs/>
          <w:lang w:val="sr-Cyrl-CS"/>
        </w:rPr>
      </w:pPr>
      <w:r w:rsidRPr="006A1E50">
        <w:rPr>
          <w:bCs/>
          <w:iCs/>
          <w:lang w:val="sr-Cyrl-CS"/>
        </w:rPr>
        <w:t>6. Укупна количина енергије горива коју обвезник система ставља на тржиште, [MJ], одређује се по следећој формули:</w:t>
      </w:r>
    </w:p>
    <w:p w:rsidR="004E0B96" w:rsidRPr="006A1E50" w:rsidRDefault="004E0B96" w:rsidP="004E0B96">
      <w:pPr>
        <w:pStyle w:val="Default"/>
        <w:ind w:left="720"/>
        <w:jc w:val="both"/>
        <w:rPr>
          <w:bCs/>
          <w:iCs/>
          <w:lang w:val="sr-Cyrl-CS"/>
        </w:rPr>
      </w:pPr>
    </w:p>
    <w:p w:rsidR="004E0B96" w:rsidRPr="006A1E50" w:rsidRDefault="00684F31" w:rsidP="004E0B96">
      <w:pPr>
        <w:pStyle w:val="Default"/>
        <w:jc w:val="both"/>
        <w:rPr>
          <w:bCs/>
          <w:iCs/>
          <w:lang w:val="sr-Cyrl-C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Cs/>
                  <w:lang w:val="sr-Cyrl-CS"/>
                </w:rPr>
              </m:ctrlPr>
            </m:sSubPr>
            <m:e>
              <m:r>
                <w:rPr>
                  <w:rFonts w:ascii="Cambria Math" w:hAnsi="Cambria Math"/>
                  <w:lang w:val="sr-Cyrl-CS"/>
                </w:rPr>
                <m:t>E</m:t>
              </m:r>
            </m:e>
            <m:sub>
              <m:r>
                <w:rPr>
                  <w:rFonts w:ascii="Cambria Math" w:hAnsi="Cambria Math"/>
                  <w:lang w:val="sr-Cyrl-CS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lang w:val="sr-Cyrl-C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Cambria Math"/>
                  <w:lang w:val="sr-Cyrl-CS"/>
                </w:rPr>
              </m:ctrlPr>
            </m:naryPr>
            <m:sub>
              <m:r>
                <w:rPr>
                  <w:rFonts w:ascii="Cambria Math" w:hAnsi="Cambria Math" w:cs="Cambria Math"/>
                  <w:lang w:val="sr-Cyrl-CS"/>
                </w:rPr>
                <m:t>i=1</m:t>
              </m:r>
            </m:sub>
            <m:sup>
              <m:r>
                <w:rPr>
                  <w:rFonts w:ascii="Cambria Math" w:hAnsi="Cambria Math" w:cs="Cambria Math"/>
                  <w:lang w:val="sr-Cyrl-C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Cambria Math"/>
                      <w:bCs/>
                      <w:i/>
                      <w:iCs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lang w:val="sr-Cyrl-CS"/>
                    </w:rPr>
                    <m:t>Q</m:t>
                  </m:r>
                </m:e>
                <m:sub>
                  <m:r>
                    <w:rPr>
                      <w:rFonts w:ascii="Cambria Math" w:hAnsi="Cambria Math" w:cs="Cambria Math"/>
                      <w:lang w:val="sr-Cyrl-CS"/>
                    </w:rPr>
                    <m:t>Md i</m:t>
                  </m:r>
                </m:sub>
              </m:sSub>
            </m:e>
          </m:nary>
          <m:r>
            <w:rPr>
              <w:rFonts w:ascii="Cambria Math" w:hAnsi="Cambria Math" w:cs="Cambria Math"/>
              <w:lang w:val="sr-Cyrl-CS"/>
            </w:rPr>
            <m:t>∙</m:t>
          </m:r>
          <m:sSub>
            <m:sSubPr>
              <m:ctrlPr>
                <w:rPr>
                  <w:rFonts w:ascii="Cambria Math" w:hAnsi="Cambria Math" w:cs="Cambria Math"/>
                  <w:bCs/>
                  <w:i/>
                  <w:iCs/>
                  <w:lang w:val="sr-Cyrl-CS"/>
                </w:rPr>
              </m:ctrlPr>
            </m:sSubPr>
            <m:e>
              <m:r>
                <w:rPr>
                  <w:rFonts w:ascii="Cambria Math" w:hAnsi="Cambria Math" w:cs="Cambria Math"/>
                  <w:lang w:val="sr-Cyrl-CS"/>
                </w:rPr>
                <m:t>M</m:t>
              </m:r>
            </m:e>
            <m:sub>
              <m:r>
                <w:rPr>
                  <w:rFonts w:ascii="Cambria Math" w:hAnsi="Cambria Math" w:cs="Cambria Math"/>
                  <w:lang w:val="sr-Cyrl-CS"/>
                </w:rPr>
                <m:t>i</m:t>
              </m:r>
            </m:sub>
          </m:sSub>
          <m:r>
            <w:rPr>
              <w:rFonts w:ascii="Cambria Math" w:hAnsi="Cambria Math" w:cs="Cambria Math"/>
              <w:lang w:val="sr-Cyrl-CS"/>
            </w:rPr>
            <m:t>∙1000</m:t>
          </m:r>
        </m:oMath>
      </m:oMathPara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Cs/>
          <w:lang w:val="sr-Cyrl-CS"/>
        </w:rPr>
        <w:t>где је: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/>
          <w:iCs/>
          <w:lang w:val="sr-Cyrl-CS"/>
        </w:rPr>
        <w:t>Q</w:t>
      </w:r>
      <w:r w:rsidRPr="006A1E50">
        <w:rPr>
          <w:bCs/>
          <w:i/>
          <w:iCs/>
          <w:vertAlign w:val="subscript"/>
          <w:lang w:val="sr-Cyrl-CS"/>
        </w:rPr>
        <w:t>Md i</w:t>
      </w:r>
      <w:r w:rsidRPr="006A1E50">
        <w:rPr>
          <w:bCs/>
          <w:iCs/>
          <w:lang w:val="sr-Cyrl-CS"/>
        </w:rPr>
        <w:t xml:space="preserve"> –Доња топлотна моћ одговарајућег горива у складу са подацима из табеле у Прилогу 3, који је саставни део ове уредбе, [MJ/kg]; 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/>
          <w:iCs/>
          <w:lang w:val="sr-Cyrl-CS"/>
        </w:rPr>
        <w:t>M</w:t>
      </w:r>
      <w:r w:rsidRPr="006A1E50">
        <w:rPr>
          <w:bCs/>
          <w:i/>
          <w:iCs/>
          <w:vertAlign w:val="subscript"/>
          <w:lang w:val="sr-Cyrl-CS"/>
        </w:rPr>
        <w:t>i</w:t>
      </w:r>
      <w:r w:rsidRPr="006A1E50">
        <w:rPr>
          <w:bCs/>
          <w:iCs/>
          <w:lang w:val="sr-Cyrl-CS"/>
        </w:rPr>
        <w:t xml:space="preserve"> – Масa одговарајућег горива које обвезник система ставља на тржиште у години на коју се односи обавеза, [t]; 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/>
          <w:iCs/>
          <w:lang w:val="sr-Cyrl-CS"/>
        </w:rPr>
        <w:t>N</w:t>
      </w:r>
      <w:r w:rsidRPr="006A1E50">
        <w:rPr>
          <w:bCs/>
          <w:iCs/>
          <w:lang w:val="sr-Cyrl-CS"/>
        </w:rPr>
        <w:t xml:space="preserve"> – Број различитих врста горива приказани у табели из Прилога 3, који је саставни део ове уредбе, а које обвезник ставља на тржиште;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/>
          <w:iCs/>
          <w:lang w:val="sr-Cyrl-CS"/>
        </w:rPr>
        <w:t>i</w:t>
      </w:r>
      <w:r w:rsidRPr="006A1E50">
        <w:rPr>
          <w:bCs/>
          <w:iCs/>
          <w:lang w:val="sr-Cyrl-CS"/>
        </w:rPr>
        <w:t xml:space="preserve"> – Редни број сабирка у формули који може бити од 1 до N.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</w:p>
    <w:p w:rsidR="004E0B96" w:rsidRPr="006A1E50" w:rsidRDefault="004E0B96" w:rsidP="004E0B96">
      <w:pPr>
        <w:pStyle w:val="Default"/>
        <w:ind w:firstLine="720"/>
        <w:jc w:val="both"/>
        <w:rPr>
          <w:bCs/>
          <w:iCs/>
          <w:lang w:val="sr-Cyrl-CS"/>
        </w:rPr>
      </w:pPr>
      <w:r w:rsidRPr="006A1E50">
        <w:rPr>
          <w:bCs/>
          <w:iCs/>
          <w:lang w:val="sr-Cyrl-CS"/>
        </w:rPr>
        <w:t>7. Укупна количина енергије из свих биогорива коју је обвезник система ставио на тржиште у претходној години, [MJ], одређује се по следећој формули:</w:t>
      </w:r>
    </w:p>
    <w:p w:rsidR="004E0B96" w:rsidRPr="006A1E50" w:rsidRDefault="004E0B96" w:rsidP="004E0B96">
      <w:pPr>
        <w:pStyle w:val="Default"/>
        <w:ind w:left="720"/>
        <w:jc w:val="both"/>
        <w:rPr>
          <w:bCs/>
          <w:iCs/>
          <w:lang w:val="sr-Cyrl-CS"/>
        </w:rPr>
      </w:pPr>
    </w:p>
    <w:p w:rsidR="004E0B96" w:rsidRPr="006A1E50" w:rsidRDefault="00684F31" w:rsidP="004E0B96">
      <w:pPr>
        <w:pStyle w:val="Default"/>
        <w:jc w:val="both"/>
        <w:rPr>
          <w:bCs/>
          <w:i/>
          <w:iCs/>
          <w:lang w:val="sr-Cyrl-C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Cs/>
                  <w:lang w:val="sr-Cyrl-CS"/>
                </w:rPr>
              </m:ctrlPr>
            </m:sSubPr>
            <m:e>
              <m:r>
                <w:rPr>
                  <w:rFonts w:ascii="Cambria Math" w:hAnsi="Cambria Math"/>
                  <w:lang w:val="sr-Cyrl-CS"/>
                </w:rPr>
                <m:t>E</m:t>
              </m:r>
            </m:e>
            <m:sub>
              <m:r>
                <w:rPr>
                  <w:rFonts w:ascii="Cambria Math" w:hAnsi="Cambria Math"/>
                  <w:lang w:val="sr-Cyrl-CS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lang w:val="sr-Cyrl-C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Cambria Math"/>
                  <w:lang w:val="sr-Cyrl-CS"/>
                </w:rPr>
              </m:ctrlPr>
            </m:naryPr>
            <m:sub>
              <m:r>
                <w:rPr>
                  <w:rFonts w:ascii="Cambria Math" w:hAnsi="Cambria Math" w:cs="Cambria Math"/>
                  <w:lang w:val="sr-Cyrl-CS"/>
                </w:rPr>
                <m:t>j=1</m:t>
              </m:r>
            </m:sub>
            <m:sup>
              <m:r>
                <w:rPr>
                  <w:rFonts w:ascii="Cambria Math" w:hAnsi="Cambria Math" w:cs="Cambria Math"/>
                  <w:lang w:val="sr-Cyrl-C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Cambria Math"/>
                      <w:bCs/>
                      <w:i/>
                      <w:iCs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lang w:val="sr-Cyrl-CS"/>
                    </w:rPr>
                    <m:t>Q</m:t>
                  </m:r>
                </m:e>
                <m:sub>
                  <m:r>
                    <w:rPr>
                      <w:rFonts w:ascii="Cambria Math" w:hAnsi="Cambria Math" w:cs="Cambria Math"/>
                      <w:lang w:val="sr-Cyrl-CS"/>
                    </w:rPr>
                    <m:t>Mb j</m:t>
                  </m:r>
                </m:sub>
              </m:sSub>
            </m:e>
          </m:nary>
          <m:r>
            <w:rPr>
              <w:rFonts w:ascii="Cambria Math" w:hAnsi="Cambria Math" w:cs="Cambria Math"/>
              <w:lang w:val="sr-Cyrl-CS"/>
            </w:rPr>
            <m:t>∙</m:t>
          </m:r>
          <m:sSub>
            <m:sSubPr>
              <m:ctrlPr>
                <w:rPr>
                  <w:rFonts w:ascii="Cambria Math" w:hAnsi="Cambria Math" w:cs="Cambria Math"/>
                  <w:bCs/>
                  <w:i/>
                  <w:iCs/>
                  <w:lang w:val="sr-Cyrl-CS"/>
                </w:rPr>
              </m:ctrlPr>
            </m:sSubPr>
            <m:e>
              <m:r>
                <w:rPr>
                  <w:rFonts w:ascii="Cambria Math" w:hAnsi="Cambria Math" w:cs="Cambria Math"/>
                  <w:lang w:val="sr-Cyrl-CS"/>
                </w:rPr>
                <m:t>M</m:t>
              </m:r>
            </m:e>
            <m:sub>
              <m:r>
                <w:rPr>
                  <w:rFonts w:ascii="Cambria Math" w:hAnsi="Cambria Math" w:cs="Cambria Math"/>
                  <w:lang w:val="sr-Cyrl-CS"/>
                </w:rPr>
                <m:t>j</m:t>
              </m:r>
            </m:sub>
          </m:sSub>
          <m:r>
            <w:rPr>
              <w:rFonts w:ascii="Cambria Math" w:hAnsi="Cambria Math" w:cs="Cambria Math"/>
              <w:lang w:val="sr-Cyrl-CS"/>
            </w:rPr>
            <m:t>∙1000∙</m:t>
          </m:r>
          <m:sSub>
            <m:sSubPr>
              <m:ctrlPr>
                <w:rPr>
                  <w:rFonts w:ascii="Cambria Math" w:hAnsi="Cambria Math" w:cs="Cambria Math"/>
                  <w:bCs/>
                  <w:i/>
                  <w:iCs/>
                  <w:lang w:val="sr-Cyrl-CS"/>
                </w:rPr>
              </m:ctrlPr>
            </m:sSubPr>
            <m:e>
              <m:r>
                <w:rPr>
                  <w:rFonts w:ascii="Cambria Math" w:hAnsi="Cambria Math" w:cs="Cambria Math"/>
                  <w:lang w:val="sr-Cyrl-CS"/>
                </w:rPr>
                <m:t>k</m:t>
              </m:r>
            </m:e>
            <m:sub>
              <m:r>
                <w:rPr>
                  <w:rFonts w:ascii="Cambria Math" w:hAnsi="Cambria Math" w:cs="Cambria Math"/>
                  <w:lang w:val="sr-Cyrl-CS"/>
                </w:rPr>
                <m:t>j</m:t>
              </m:r>
            </m:sub>
          </m:sSub>
        </m:oMath>
      </m:oMathPara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Cs/>
          <w:lang w:val="sr-Cyrl-CS"/>
        </w:rPr>
        <w:t>где је: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/>
          <w:iCs/>
          <w:lang w:val="sr-Cyrl-CS"/>
        </w:rPr>
        <w:t>Q</w:t>
      </w:r>
      <w:r w:rsidRPr="006A1E50">
        <w:rPr>
          <w:bCs/>
          <w:i/>
          <w:iCs/>
          <w:vertAlign w:val="subscript"/>
          <w:lang w:val="sr-Cyrl-CS"/>
        </w:rPr>
        <w:t>Mb j</w:t>
      </w:r>
      <w:r w:rsidRPr="006A1E50">
        <w:rPr>
          <w:bCs/>
          <w:iCs/>
          <w:lang w:val="sr-Cyrl-CS"/>
        </w:rPr>
        <w:t xml:space="preserve"> –Доња топлотна моћ одговарајућег биогорива у складу са подацима из табеле у Прилогу 3, који је саставни део ове уредбе, [MJ/kg];  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/>
          <w:iCs/>
          <w:lang w:val="sr-Cyrl-CS"/>
        </w:rPr>
        <w:t>M</w:t>
      </w:r>
      <w:r w:rsidRPr="006A1E50">
        <w:rPr>
          <w:bCs/>
          <w:i/>
          <w:iCs/>
          <w:vertAlign w:val="subscript"/>
          <w:lang w:val="sr-Cyrl-CS"/>
        </w:rPr>
        <w:t>j</w:t>
      </w:r>
      <w:r w:rsidRPr="006A1E50">
        <w:rPr>
          <w:bCs/>
          <w:iCs/>
          <w:lang w:val="sr-Cyrl-CS"/>
        </w:rPr>
        <w:t xml:space="preserve"> – Маса одговарајућег биогорива намешаног у гориву које је стављено на тржиште у претходној години, [t];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/>
          <w:iCs/>
          <w:lang w:val="sr-Cyrl-CS"/>
        </w:rPr>
        <w:t>N</w:t>
      </w:r>
      <w:r w:rsidRPr="006A1E50">
        <w:rPr>
          <w:bCs/>
          <w:iCs/>
          <w:lang w:val="sr-Cyrl-CS"/>
        </w:rPr>
        <w:t xml:space="preserve"> – Број различитих врста биогорива приказаних у табели из Прилога 3, који је саставни део ове уредбе, а које је обвезник ставио на тржиште у претходној години;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/>
          <w:iCs/>
          <w:lang w:val="sr-Cyrl-CS"/>
        </w:rPr>
        <w:t>j</w:t>
      </w:r>
      <w:r w:rsidRPr="006A1E50">
        <w:rPr>
          <w:bCs/>
          <w:iCs/>
          <w:lang w:val="sr-Cyrl-CS"/>
        </w:rPr>
        <w:t xml:space="preserve"> – Редни број сабирка у формули који може бити од 1 до N;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  <w:r w:rsidRPr="006A1E50">
        <w:rPr>
          <w:bCs/>
          <w:i/>
          <w:iCs/>
          <w:lang w:val="sr-Cyrl-CS"/>
        </w:rPr>
        <w:t>k</w:t>
      </w:r>
      <w:r w:rsidRPr="006A1E50">
        <w:rPr>
          <w:bCs/>
          <w:i/>
          <w:iCs/>
          <w:vertAlign w:val="subscript"/>
          <w:lang w:val="sr-Cyrl-CS"/>
        </w:rPr>
        <w:t xml:space="preserve">j </w:t>
      </w:r>
      <w:r w:rsidRPr="006A1E50">
        <w:rPr>
          <w:bCs/>
          <w:iCs/>
          <w:lang w:val="sr-Cyrl-CS"/>
        </w:rPr>
        <w:t>– Обрачунски коефицијент има вредност 1, осим у случају ако је биогориво добијено из сировина наведене у Прилогу 4, који је саставни део ове уредбе, када обрачунски коефицијент има вредност 2.</w:t>
      </w:r>
    </w:p>
    <w:p w:rsidR="004E0B96" w:rsidRPr="006A1E50" w:rsidRDefault="004E0B96" w:rsidP="004E0B96">
      <w:pPr>
        <w:pStyle w:val="Default"/>
        <w:ind w:left="1080"/>
        <w:jc w:val="both"/>
        <w:rPr>
          <w:bCs/>
          <w:iCs/>
          <w:lang w:val="sr-Cyrl-CS"/>
        </w:rPr>
      </w:pPr>
    </w:p>
    <w:p w:rsidR="004E0B96" w:rsidRPr="006A1E50" w:rsidRDefault="004E0B96" w:rsidP="004E0B96">
      <w:pPr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:rsidR="004E0B96" w:rsidRPr="006A1E50" w:rsidRDefault="004E0B96" w:rsidP="004E0B96">
      <w:pPr>
        <w:rPr>
          <w:rFonts w:ascii="Times New Roman" w:hAnsi="Times New Roman"/>
          <w:bCs/>
          <w:iCs/>
          <w:sz w:val="24"/>
          <w:szCs w:val="24"/>
          <w:lang w:val="sr-Cyrl-CS"/>
        </w:rPr>
      </w:pPr>
      <w:bookmarkStart w:id="0" w:name="_GoBack"/>
      <w:bookmarkEnd w:id="0"/>
    </w:p>
    <w:p w:rsidR="00563199" w:rsidRPr="006A1E50" w:rsidRDefault="00563199" w:rsidP="004E0B96">
      <w:pPr>
        <w:rPr>
          <w:lang w:val="sr-Cyrl-CS"/>
        </w:rPr>
      </w:pPr>
    </w:p>
    <w:sectPr w:rsidR="00563199" w:rsidRPr="006A1E50" w:rsidSect="00AC789E">
      <w:footerReference w:type="default" r:id="rId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F31" w:rsidRDefault="00684F31" w:rsidP="00AC789E">
      <w:pPr>
        <w:spacing w:after="0" w:line="240" w:lineRule="auto"/>
      </w:pPr>
      <w:r>
        <w:separator/>
      </w:r>
    </w:p>
  </w:endnote>
  <w:endnote w:type="continuationSeparator" w:id="0">
    <w:p w:rsidR="00684F31" w:rsidRDefault="00684F31" w:rsidP="00AC7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847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789E" w:rsidRDefault="00AC78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17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C789E" w:rsidRDefault="00AC78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F31" w:rsidRDefault="00684F31" w:rsidP="00AC789E">
      <w:pPr>
        <w:spacing w:after="0" w:line="240" w:lineRule="auto"/>
      </w:pPr>
      <w:r>
        <w:separator/>
      </w:r>
    </w:p>
  </w:footnote>
  <w:footnote w:type="continuationSeparator" w:id="0">
    <w:p w:rsidR="00684F31" w:rsidRDefault="00684F31" w:rsidP="00AC78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96"/>
    <w:rsid w:val="000240B4"/>
    <w:rsid w:val="00117429"/>
    <w:rsid w:val="002A3C30"/>
    <w:rsid w:val="0036507C"/>
    <w:rsid w:val="00427394"/>
    <w:rsid w:val="004A0738"/>
    <w:rsid w:val="004E0B96"/>
    <w:rsid w:val="0053177E"/>
    <w:rsid w:val="00563199"/>
    <w:rsid w:val="00684F31"/>
    <w:rsid w:val="006A1E50"/>
    <w:rsid w:val="007D62AE"/>
    <w:rsid w:val="00AC789E"/>
    <w:rsid w:val="00EE7440"/>
    <w:rsid w:val="00FA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B96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0B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0B96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customStyle="1" w:styleId="2">
    <w:name w:val="НАСЛОВ 2"/>
    <w:basedOn w:val="Normal"/>
    <w:next w:val="Heading1"/>
    <w:link w:val="2Char"/>
    <w:qFormat/>
    <w:rsid w:val="004E0B96"/>
    <w:pPr>
      <w:spacing w:after="0" w:line="240" w:lineRule="auto"/>
      <w:ind w:firstLine="810"/>
      <w:jc w:val="right"/>
    </w:pPr>
    <w:rPr>
      <w:rFonts w:ascii="Times New Roman" w:hAnsi="Times New Roman"/>
      <w:bCs/>
      <w:iCs/>
      <w:sz w:val="24"/>
      <w:szCs w:val="24"/>
      <w:lang w:val="sr-Cyrl-CS"/>
    </w:rPr>
  </w:style>
  <w:style w:type="character" w:customStyle="1" w:styleId="2Char">
    <w:name w:val="НАСЛОВ 2 Char"/>
    <w:basedOn w:val="DefaultParagraphFont"/>
    <w:link w:val="2"/>
    <w:rsid w:val="004E0B96"/>
    <w:rPr>
      <w:bCs/>
      <w:iCs/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uiPriority w:val="9"/>
    <w:rsid w:val="004E0B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C7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89E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AC7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89E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8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B96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0B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0B96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customStyle="1" w:styleId="2">
    <w:name w:val="НАСЛОВ 2"/>
    <w:basedOn w:val="Normal"/>
    <w:next w:val="Heading1"/>
    <w:link w:val="2Char"/>
    <w:qFormat/>
    <w:rsid w:val="004E0B96"/>
    <w:pPr>
      <w:spacing w:after="0" w:line="240" w:lineRule="auto"/>
      <w:ind w:firstLine="810"/>
      <w:jc w:val="right"/>
    </w:pPr>
    <w:rPr>
      <w:rFonts w:ascii="Times New Roman" w:hAnsi="Times New Roman"/>
      <w:bCs/>
      <w:iCs/>
      <w:sz w:val="24"/>
      <w:szCs w:val="24"/>
      <w:lang w:val="sr-Cyrl-CS"/>
    </w:rPr>
  </w:style>
  <w:style w:type="character" w:customStyle="1" w:styleId="2Char">
    <w:name w:val="НАСЛОВ 2 Char"/>
    <w:basedOn w:val="DefaultParagraphFont"/>
    <w:link w:val="2"/>
    <w:rsid w:val="004E0B96"/>
    <w:rPr>
      <w:bCs/>
      <w:iCs/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uiPriority w:val="9"/>
    <w:rsid w:val="004E0B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C7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89E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AC7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89E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Dragomir Savovic</dc:creator>
  <cp:lastModifiedBy>Marija Gacanovic</cp:lastModifiedBy>
  <cp:revision>5</cp:revision>
  <cp:lastPrinted>2019-10-03T08:34:00Z</cp:lastPrinted>
  <dcterms:created xsi:type="dcterms:W3CDTF">2019-10-03T11:48:00Z</dcterms:created>
  <dcterms:modified xsi:type="dcterms:W3CDTF">2019-10-03T12:41:00Z</dcterms:modified>
</cp:coreProperties>
</file>