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AB" w:rsidRPr="00FB52DC" w:rsidRDefault="008171AB" w:rsidP="008171AB">
      <w:pPr>
        <w:spacing w:after="0" w:line="240" w:lineRule="auto"/>
        <w:ind w:firstLine="810"/>
        <w:jc w:val="right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FB52DC">
        <w:rPr>
          <w:rFonts w:ascii="Times New Roman" w:hAnsi="Times New Roman"/>
          <w:bCs/>
          <w:iCs/>
          <w:sz w:val="24"/>
          <w:szCs w:val="24"/>
          <w:lang w:val="sr-Cyrl-CS"/>
        </w:rPr>
        <w:t>ПРИЛОГ 3</w:t>
      </w:r>
    </w:p>
    <w:p w:rsidR="008171AB" w:rsidRPr="00FB52DC" w:rsidRDefault="008171AB" w:rsidP="008171A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8171AB" w:rsidRPr="00FB52DC" w:rsidRDefault="008171AB" w:rsidP="008171A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8171AB" w:rsidRPr="00FB52DC" w:rsidRDefault="008171AB" w:rsidP="008171A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FB52DC">
        <w:rPr>
          <w:rFonts w:ascii="Times New Roman" w:hAnsi="Times New Roman"/>
          <w:bCs/>
          <w:iCs/>
          <w:sz w:val="24"/>
          <w:szCs w:val="24"/>
          <w:lang w:val="sr-Cyrl-CS"/>
        </w:rPr>
        <w:t>ЕНЕРГЕТСКЕ ВРЕДНОСТИ ГОРИВА И БИОГОРИВА КОЈЕ СЕ КОРИСТЕ ЗА ОБРАЧУН ОБАВЕЗНОГ УДЕЛА БИОГОРИВА У САОБРАЋАЈУ</w:t>
      </w:r>
    </w:p>
    <w:p w:rsidR="008171AB" w:rsidRPr="00FB52DC" w:rsidRDefault="008171AB" w:rsidP="008171A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tbl>
      <w:tblPr>
        <w:tblW w:w="919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"/>
        <w:gridCol w:w="3870"/>
        <w:gridCol w:w="4410"/>
      </w:tblGrid>
      <w:tr w:rsidR="008171AB" w:rsidRPr="00FB52DC" w:rsidTr="001934EF">
        <w:trPr>
          <w:trHeight w:val="413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Редни број 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Енергетске вредности деривата нафте и биогорива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Q</w:t>
            </w: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vertAlign w:val="subscript"/>
                <w:lang w:val="sr-Cyrl-CS"/>
              </w:rPr>
              <w:t>Md</w:t>
            </w: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 -Доња топлотна моћ – масена</w:t>
            </w:r>
          </w:p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(MJ/kg)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биоетанол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27</w:t>
            </w:r>
          </w:p>
        </w:tc>
      </w:tr>
      <w:tr w:rsidR="008171AB" w:rsidRPr="00FB52DC" w:rsidTr="001934EF">
        <w:trPr>
          <w:trHeight w:val="247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био-ЕТБЕ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36 (од чега 37 % из обновљивих извора)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биометанол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20</w:t>
            </w:r>
          </w:p>
        </w:tc>
      </w:tr>
      <w:tr w:rsidR="008171AB" w:rsidRPr="00FB52DC" w:rsidTr="001934EF">
        <w:trPr>
          <w:trHeight w:val="247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био-МТБЕ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35 (од чега 22 % из обновљивих извора)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био-ДМЕ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28</w:t>
            </w:r>
          </w:p>
        </w:tc>
      </w:tr>
      <w:tr w:rsidR="008171AB" w:rsidRPr="00FB52DC" w:rsidTr="001934EF">
        <w:trPr>
          <w:trHeight w:val="247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био-ТАЕЕ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38 (од чега 29 % из обновљивих извора)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биобутанол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33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биодизел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37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Fischer-Tropsch дизел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44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хидрогенизовано биљно уље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44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чисто биљно уље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37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биогас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50</w:t>
            </w:r>
          </w:p>
        </w:tc>
      </w:tr>
      <w:tr w:rsidR="008171AB" w:rsidRPr="00FB52DC" w:rsidTr="001934EF">
        <w:trPr>
          <w:trHeight w:val="109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13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моторни бензин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43</w:t>
            </w:r>
          </w:p>
        </w:tc>
      </w:tr>
      <w:tr w:rsidR="008171AB" w:rsidRPr="00FB52DC" w:rsidTr="001934EF">
        <w:trPr>
          <w:trHeight w:val="70"/>
        </w:trPr>
        <w:tc>
          <w:tcPr>
            <w:tcW w:w="913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387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 xml:space="preserve">гасно уље </w:t>
            </w:r>
          </w:p>
        </w:tc>
        <w:tc>
          <w:tcPr>
            <w:tcW w:w="4410" w:type="dxa"/>
          </w:tcPr>
          <w:p w:rsidR="008171AB" w:rsidRPr="00FB52DC" w:rsidRDefault="008171AB" w:rsidP="00193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FB52DC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43</w:t>
            </w:r>
          </w:p>
        </w:tc>
      </w:tr>
    </w:tbl>
    <w:p w:rsidR="008171AB" w:rsidRPr="00FB52DC" w:rsidRDefault="008171AB" w:rsidP="008171A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FA21A5" w:rsidRDefault="00FA21A5" w:rsidP="008171AB">
      <w:pPr>
        <w:rPr>
          <w:rFonts w:ascii="Times New Roman" w:hAnsi="Times New Roman"/>
          <w:bCs/>
          <w:iCs/>
          <w:sz w:val="24"/>
          <w:szCs w:val="24"/>
          <w:lang w:val="sr-Cyrl-CS"/>
        </w:rPr>
        <w:sectPr w:rsidR="00FA21A5" w:rsidSect="00FA459A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:rsidR="008171AB" w:rsidRPr="00FB52DC" w:rsidRDefault="008171AB" w:rsidP="008171AB">
      <w:pPr>
        <w:spacing w:after="0" w:line="240" w:lineRule="auto"/>
        <w:ind w:firstLine="810"/>
        <w:jc w:val="right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FB52DC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ПРИЛОГ 4</w:t>
      </w:r>
    </w:p>
    <w:p w:rsidR="008171AB" w:rsidRPr="00FB52DC" w:rsidRDefault="008171AB" w:rsidP="008171AB">
      <w:pPr>
        <w:spacing w:after="0" w:line="240" w:lineRule="auto"/>
        <w:ind w:firstLine="810"/>
        <w:jc w:val="right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8171AB" w:rsidRPr="00FB52DC" w:rsidRDefault="008171AB" w:rsidP="008171AB">
      <w:pPr>
        <w:pStyle w:val="CM1"/>
        <w:jc w:val="center"/>
        <w:rPr>
          <w:color w:val="000000"/>
          <w:lang w:val="sr-Cyrl-CS"/>
        </w:rPr>
      </w:pPr>
      <w:r w:rsidRPr="00FB52DC">
        <w:rPr>
          <w:bCs/>
          <w:iCs/>
          <w:lang w:val="sr-Cyrl-CS"/>
        </w:rPr>
        <w:t>СПИСАК СИРОВИНА ЗА ПРОИЗВОДЊУ БИОГОРИВА ЧИЈА СЕ ЕНЕРГЕТСКА ВРЕДНОСТ ДВОСТРУКО РАЧУНА</w:t>
      </w:r>
    </w:p>
    <w:p w:rsidR="008171AB" w:rsidRPr="00FB52DC" w:rsidRDefault="008171AB" w:rsidP="008171AB">
      <w:pPr>
        <w:pStyle w:val="CM4"/>
        <w:numPr>
          <w:ilvl w:val="0"/>
          <w:numId w:val="1"/>
        </w:numPr>
        <w:spacing w:before="60" w:after="60"/>
        <w:jc w:val="both"/>
        <w:rPr>
          <w:rFonts w:cstheme="minorBidi"/>
          <w:bCs/>
          <w:iCs/>
          <w:lang w:val="sr-Cyrl-CS"/>
        </w:rPr>
      </w:pPr>
      <w:r w:rsidRPr="00FB52DC">
        <w:rPr>
          <w:rFonts w:cstheme="minorBidi"/>
          <w:bCs/>
          <w:iCs/>
          <w:lang w:val="sr-Cyrl-CS"/>
        </w:rPr>
        <w:t>Алге, ако су узгојене на земљишту у рибњацима или фотобиореакторима.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 xml:space="preserve">Део </w:t>
      </w:r>
      <w:proofErr w:type="spellStart"/>
      <w:r w:rsidRPr="00FB52DC">
        <w:rPr>
          <w:lang w:val="sr-Cyrl-CS"/>
        </w:rPr>
        <w:t>биомасе</w:t>
      </w:r>
      <w:proofErr w:type="spellEnd"/>
      <w:r w:rsidRPr="00FB52DC">
        <w:rPr>
          <w:lang w:val="sr-Cyrl-CS"/>
        </w:rPr>
        <w:t xml:space="preserve"> који одговара мешаном градском отпаду, а не со</w:t>
      </w:r>
      <w:r w:rsidR="003232D4">
        <w:rPr>
          <w:lang w:val="sr-Cyrl-CS"/>
        </w:rPr>
        <w:t>ртираном отпаду из домаћинстава</w:t>
      </w:r>
      <w:r w:rsidR="003232D4">
        <w:rPr>
          <w:lang w:val="sr-Cyrl-RS"/>
        </w:rPr>
        <w:t xml:space="preserve"> у складу са прописима којима се уређује управљање отпадом.</w:t>
      </w:r>
    </w:p>
    <w:p w:rsidR="008171AB" w:rsidRPr="00833165" w:rsidRDefault="008171AB" w:rsidP="008171AB">
      <w:pPr>
        <w:pStyle w:val="Default"/>
        <w:numPr>
          <w:ilvl w:val="0"/>
          <w:numId w:val="1"/>
        </w:numPr>
        <w:jc w:val="both"/>
        <w:rPr>
          <w:b/>
          <w:lang w:val="sr-Cyrl-CS"/>
        </w:rPr>
      </w:pPr>
      <w:r w:rsidRPr="00FB52DC">
        <w:rPr>
          <w:lang w:val="sr-Cyrl-CS"/>
        </w:rPr>
        <w:t>Биолошки отпад приватних домаћинст</w:t>
      </w:r>
      <w:r w:rsidR="003232D4">
        <w:rPr>
          <w:lang w:val="sr-Cyrl-CS"/>
        </w:rPr>
        <w:t>а</w:t>
      </w:r>
      <w:bookmarkStart w:id="0" w:name="_GoBack"/>
      <w:bookmarkEnd w:id="0"/>
      <w:r w:rsidRPr="00FB52DC">
        <w:rPr>
          <w:lang w:val="sr-Cyrl-CS"/>
        </w:rPr>
        <w:t xml:space="preserve">ва подобан одвојеном прикупљању </w:t>
      </w:r>
      <w:r w:rsidR="003232D4">
        <w:rPr>
          <w:lang w:val="sr-Cyrl-RS"/>
        </w:rPr>
        <w:t>у складу са прописима којима се уређује управљање отпадом</w:t>
      </w:r>
      <w:r w:rsidR="003232D4">
        <w:rPr>
          <w:lang w:val="sr-Cyrl-RS"/>
        </w:rPr>
        <w:t>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 xml:space="preserve">Део биомасе из индустријског отпада који није погодан за коришћење у прехрамбеном ланцу за људе или животиње, укључујући материјале из сектора трговине на мало и трговине на велике, пољопривредно-прехрамбеног сектора и сектора рибарства и аквакултуре. искључујући сировине наведене у тач. 21. и 22. овог прилога. 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Слама.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Стајњак и канализациони муљ.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Отпадне воде које настају при рафинацији</w:t>
      </w:r>
      <w:r w:rsidRPr="00FB52DC">
        <w:rPr>
          <w:rFonts w:ascii="Calibri" w:eastAsia="Calibri" w:hAnsi="Calibri"/>
          <w:color w:val="26282A"/>
          <w:sz w:val="22"/>
          <w:szCs w:val="22"/>
          <w:lang w:val="sr-Cyrl-CS"/>
        </w:rPr>
        <w:t xml:space="preserve"> </w:t>
      </w:r>
      <w:r w:rsidRPr="00FB52DC">
        <w:rPr>
          <w:lang w:val="sr-Cyrl-CS"/>
        </w:rPr>
        <w:t>палминог уља и празни гроздови палминог плода.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Течни калафонијум.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Сирови глицерин.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Багаса (биомаса шећерне трске).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Комина</w:t>
      </w:r>
      <w:r w:rsidRPr="00FB52DC" w:rsidDel="00645BC1">
        <w:rPr>
          <w:lang w:val="sr-Cyrl-CS"/>
        </w:rPr>
        <w:t xml:space="preserve"> </w:t>
      </w:r>
      <w:r w:rsidRPr="00FB52DC">
        <w:rPr>
          <w:lang w:val="sr-Cyrl-CS"/>
        </w:rPr>
        <w:t>и вински талог.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Орахове љуске.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Плева.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Клипови кукуруза без зрна.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Део биомасе из отпада и остатака из шумарства и индустрија које се заснивају на шумарству, као што су кора, гране, остаци из шумарства који се из шуме уклањају пре проредне сече и главне сече, лишће, иглице, крошње стабала, пиљевина, сечка, црни луг, сулфитна лужина, муљ који садржи влакна, лигнин и тал уље.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 xml:space="preserve">Други непрехрамбени целулозни материјал, под којим се подразумевају сировине која се углавном састоје од целулозе и хемицелулозе, те имају мањи удео лигнина од лигноцелулозног материјала и укључује: остатак култура за производњу хране за људе и животиње (као што су: слама, кукурузне </w:t>
      </w:r>
      <w:r w:rsidR="00084EA5">
        <w:rPr>
          <w:lang w:val="sr-Cyrl-CS"/>
        </w:rPr>
        <w:t>стаб</w:t>
      </w:r>
      <w:r w:rsidRPr="00FB52DC">
        <w:rPr>
          <w:lang w:val="sr-Cyrl-CS"/>
        </w:rPr>
        <w:t>љ</w:t>
      </w:r>
      <w:r w:rsidR="00084EA5">
        <w:rPr>
          <w:lang w:val="sr-Cyrl-CS"/>
        </w:rPr>
        <w:t>и</w:t>
      </w:r>
      <w:r w:rsidRPr="00FB52DC">
        <w:rPr>
          <w:lang w:val="sr-Cyrl-CS"/>
        </w:rPr>
        <w:t>ке, плева и љуске), травнате енергетске културе с малим уделом скроба (попут: љуља, проса, траве Miscanthus, дивовске трске, покровни усеви пре и након главних усева), индустријске остатке (укључујући остатке култура за производњу хране за људе и животиње након екстракције биљних уља, шећера, скроба и протеина), те материјал од биолошког отпада.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Други лигноцелулозни материјал под којим се, осим пиланских и фурнирских трупаца, подразумева материјал који се састоји од лигнина, целулозе и хемицелулозе, попут биомасе добијене из шума, дрвених енергетских култура и шумских индустријских остатака и отпада.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Обновљива течна и гасовита горива небиолошког порекла намењена за употребу у транспорту.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Хватање и употреба угљеника за транспорт, ако</w:t>
      </w:r>
      <w:r w:rsidR="002B01F2">
        <w:t xml:space="preserve"> </w:t>
      </w:r>
      <w:r w:rsidR="002B01F2">
        <w:rPr>
          <w:lang w:val="sr-Cyrl-RS"/>
        </w:rPr>
        <w:t xml:space="preserve">је </w:t>
      </w:r>
      <w:r w:rsidRPr="00FB52DC">
        <w:rPr>
          <w:lang w:val="sr-Cyrl-CS"/>
        </w:rPr>
        <w:t>извор енергије обновљив.</w:t>
      </w:r>
    </w:p>
    <w:p w:rsidR="008171AB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Бактерија, ако је извор енергије обновљив.</w:t>
      </w:r>
    </w:p>
    <w:p w:rsidR="008171AB" w:rsidRPr="00FB52DC" w:rsidRDefault="008171AB" w:rsidP="008171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B52DC">
        <w:rPr>
          <w:lang w:val="sr-Cyrl-CS"/>
        </w:rPr>
        <w:t>Коришћено уље за кување.</w:t>
      </w:r>
    </w:p>
    <w:p w:rsidR="00221AAB" w:rsidRPr="00FA21A5" w:rsidRDefault="008171AB" w:rsidP="00221AAB">
      <w:pPr>
        <w:pStyle w:val="Default"/>
        <w:numPr>
          <w:ilvl w:val="0"/>
          <w:numId w:val="1"/>
        </w:numPr>
        <w:jc w:val="both"/>
        <w:rPr>
          <w:lang w:val="sr-Cyrl-CS"/>
        </w:rPr>
      </w:pPr>
      <w:r w:rsidRPr="00FA21A5">
        <w:rPr>
          <w:lang w:val="sr-Cyrl-CS"/>
        </w:rPr>
        <w:t>Масти животињског порекла Категорије 1. и Категорије 2. у складу са правилником којим се уређују споредни производи животињског порекла.</w:t>
      </w:r>
    </w:p>
    <w:p w:rsidR="00FA21A5" w:rsidRDefault="00FA21A5" w:rsidP="00221AAB">
      <w:pPr>
        <w:pStyle w:val="Default"/>
        <w:ind w:left="720"/>
        <w:jc w:val="both"/>
        <w:rPr>
          <w:lang w:val="sr-Cyrl-CS"/>
        </w:rPr>
        <w:sectPr w:rsidR="00FA21A5" w:rsidSect="00FA21A5">
          <w:pgSz w:w="11909" w:h="16834" w:code="9"/>
          <w:pgMar w:top="1247" w:right="1247" w:bottom="1247" w:left="1247" w:header="720" w:footer="720" w:gutter="0"/>
          <w:cols w:space="720"/>
          <w:docGrid w:linePitch="360"/>
        </w:sectPr>
      </w:pPr>
    </w:p>
    <w:p w:rsidR="008171AB" w:rsidRPr="00FB52DC" w:rsidRDefault="008171AB" w:rsidP="008171AB">
      <w:pPr>
        <w:spacing w:after="0" w:line="240" w:lineRule="auto"/>
        <w:ind w:firstLine="810"/>
        <w:jc w:val="right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FB52DC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ПРИЛОГ 5</w:t>
      </w:r>
    </w:p>
    <w:p w:rsidR="008171AB" w:rsidRPr="00FB52DC" w:rsidRDefault="008171AB" w:rsidP="008171AB">
      <w:pPr>
        <w:jc w:val="right"/>
        <w:rPr>
          <w:lang w:val="sr-Cyrl-CS"/>
        </w:rPr>
      </w:pPr>
    </w:p>
    <w:p w:rsidR="008171AB" w:rsidRPr="00FB52DC" w:rsidRDefault="008171AB" w:rsidP="008171AB">
      <w:pPr>
        <w:pStyle w:val="Default"/>
        <w:ind w:left="720"/>
        <w:jc w:val="center"/>
        <w:rPr>
          <w:lang w:val="sr-Cyrl-CS"/>
        </w:rPr>
      </w:pPr>
      <w:r w:rsidRPr="00FB52DC">
        <w:rPr>
          <w:lang w:val="sr-Cyrl-CS"/>
        </w:rPr>
        <w:t>МЕТОДОЛОГИЈА ЗА РАЧУНАЊЕ ПЕНАЛА</w:t>
      </w:r>
    </w:p>
    <w:p w:rsidR="008171AB" w:rsidRPr="00FB52DC" w:rsidRDefault="008171AB" w:rsidP="008171AB">
      <w:pPr>
        <w:pStyle w:val="Default"/>
        <w:ind w:left="720"/>
        <w:jc w:val="center"/>
        <w:rPr>
          <w:lang w:val="sr-Cyrl-CS"/>
        </w:rPr>
      </w:pPr>
    </w:p>
    <w:p w:rsidR="008171AB" w:rsidRPr="00FB52DC" w:rsidRDefault="008171AB" w:rsidP="008171AB">
      <w:pPr>
        <w:pStyle w:val="Default"/>
        <w:numPr>
          <w:ilvl w:val="0"/>
          <w:numId w:val="2"/>
        </w:numPr>
        <w:ind w:left="0" w:firstLine="720"/>
        <w:jc w:val="both"/>
        <w:rPr>
          <w:lang w:val="sr-Cyrl-CS"/>
        </w:rPr>
      </w:pPr>
      <w:r w:rsidRPr="00FB52DC">
        <w:rPr>
          <w:lang w:val="sr-Cyrl-CS"/>
        </w:rPr>
        <w:t xml:space="preserve">Износ пенала који </w:t>
      </w:r>
      <w:r w:rsidRPr="00FB52DC">
        <w:rPr>
          <w:bCs/>
          <w:iCs/>
          <w:lang w:val="sr-Cyrl-CS"/>
        </w:rPr>
        <w:t>обвезник система дужан да плати на име количине биогорива коју је пропустио да стави на тржиште у претходној години, [RSD], израчунава се по следећој формули: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</w:p>
    <w:p w:rsidR="008171AB" w:rsidRPr="00FB52DC" w:rsidRDefault="008171AB" w:rsidP="008171AB">
      <w:pPr>
        <w:pStyle w:val="Default"/>
        <w:jc w:val="both"/>
        <w:rPr>
          <w:bCs/>
          <w:iCs/>
          <w:lang w:val="sr-Cyrl-CS"/>
        </w:rPr>
      </w:pPr>
      <m:oMathPara>
        <m:oMath>
          <m:r>
            <w:rPr>
              <w:rFonts w:ascii="Cambria Math" w:hAnsi="Cambria Math" w:cs="Cambria Math"/>
              <w:lang w:val="sr-Cyrl-CS"/>
            </w:rPr>
            <m:t>NK</m:t>
          </m:r>
          <m:r>
            <m:rPr>
              <m:sty m:val="p"/>
            </m:rPr>
            <w:rPr>
              <w:rFonts w:ascii="Cambria Math" w:hAnsi="Cambria Math" w:cs="Cambria Math"/>
              <w:lang w:val="sr-Cyrl-CS"/>
            </w:rPr>
            <m:t>=</m:t>
          </m:r>
          <m:r>
            <m:rPr>
              <m:sty m:val="p"/>
            </m:rPr>
            <w:rPr>
              <w:rFonts w:ascii="Cambria Math" w:hAnsi="Cambria Math"/>
              <w:lang w:val="sr-Cyrl-CS"/>
            </w:rPr>
            <m:t>(</m:t>
          </m:r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OB</m:t>
              </m:r>
            </m:sub>
          </m:sSub>
          <m:r>
            <w:rPr>
              <w:rFonts w:ascii="Cambria Math" w:hAnsi="Cambria Math"/>
              <w:lang w:val="sr-Cyrl-CS"/>
            </w:rPr>
            <m:t>-</m:t>
          </m:r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BG</m:t>
              </m:r>
            </m:sub>
          </m:sSub>
          <m:r>
            <w:rPr>
              <w:rFonts w:ascii="Cambria Math" w:hAnsi="Cambria Math"/>
              <w:lang w:val="sr-Cyrl-CS"/>
            </w:rPr>
            <m:t>)∙</m:t>
          </m:r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C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NK</m:t>
              </m:r>
            </m:sub>
          </m:sSub>
        </m:oMath>
      </m:oMathPara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Cs/>
          <w:lang w:val="sr-Cyrl-CS"/>
        </w:rPr>
        <w:t>где је: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/>
          <w:iCs/>
          <w:lang w:val="sr-Cyrl-CS"/>
        </w:rPr>
        <w:t>E</w:t>
      </w:r>
      <w:r w:rsidRPr="00FB52DC">
        <w:rPr>
          <w:bCs/>
          <w:i/>
          <w:iCs/>
          <w:vertAlign w:val="subscript"/>
          <w:lang w:val="sr-Cyrl-CS"/>
        </w:rPr>
        <w:t>OB</w:t>
      </w:r>
      <w:r w:rsidRPr="00FB52DC">
        <w:rPr>
          <w:bCs/>
          <w:iCs/>
          <w:lang w:val="sr-Cyrl-CS"/>
        </w:rPr>
        <w:t xml:space="preserve"> – Количина енергије из биогорива коју је обвезник система био обавезан да стави на тржиште у претходној години, [MJ];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/>
          <w:iCs/>
          <w:lang w:val="sr-Cyrl-CS"/>
        </w:rPr>
        <w:t>E</w:t>
      </w:r>
      <w:r w:rsidRPr="00FB52DC">
        <w:rPr>
          <w:bCs/>
          <w:i/>
          <w:iCs/>
          <w:vertAlign w:val="subscript"/>
          <w:lang w:val="sr-Cyrl-CS"/>
        </w:rPr>
        <w:t>BG</w:t>
      </w:r>
      <w:r w:rsidRPr="00FB52DC">
        <w:rPr>
          <w:bCs/>
          <w:iCs/>
          <w:lang w:val="sr-Cyrl-CS"/>
        </w:rPr>
        <w:t xml:space="preserve"> – Количина енергије из биогорива коју је обвезник система ставио на тржиште у претходној години, [MJ];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/>
          <w:iCs/>
          <w:lang w:val="sr-Cyrl-CS"/>
        </w:rPr>
        <w:t>C</w:t>
      </w:r>
      <w:r w:rsidRPr="00FB52DC">
        <w:rPr>
          <w:bCs/>
          <w:i/>
          <w:iCs/>
          <w:vertAlign w:val="subscript"/>
          <w:lang w:val="sr-Cyrl-CS"/>
        </w:rPr>
        <w:t>NK</w:t>
      </w:r>
      <w:r w:rsidRPr="00FB52DC">
        <w:rPr>
          <w:bCs/>
          <w:iCs/>
          <w:lang w:val="sr-Cyrl-CS"/>
        </w:rPr>
        <w:t xml:space="preserve"> – Јединични износ </w:t>
      </w:r>
      <w:r w:rsidRPr="00FB52DC">
        <w:rPr>
          <w:lang w:val="sr-Cyrl-CS"/>
        </w:rPr>
        <w:t>пенала који обвезници система плаћају</w:t>
      </w:r>
      <w:r w:rsidRPr="00FB52DC">
        <w:rPr>
          <w:bCs/>
          <w:iCs/>
          <w:lang w:val="sr-Cyrl-CS"/>
        </w:rPr>
        <w:t>, [RSD/MJ].</w:t>
      </w:r>
    </w:p>
    <w:p w:rsidR="008171AB" w:rsidRPr="00FB52DC" w:rsidRDefault="008171AB" w:rsidP="008171AB">
      <w:pPr>
        <w:pStyle w:val="Default"/>
        <w:ind w:left="1080"/>
        <w:jc w:val="both"/>
        <w:rPr>
          <w:lang w:val="sr-Cyrl-CS"/>
        </w:rPr>
      </w:pPr>
    </w:p>
    <w:p w:rsidR="008171AB" w:rsidRPr="00FB52DC" w:rsidRDefault="008171AB" w:rsidP="008171AB">
      <w:pPr>
        <w:pStyle w:val="Default"/>
        <w:numPr>
          <w:ilvl w:val="0"/>
          <w:numId w:val="2"/>
        </w:numPr>
        <w:ind w:left="0" w:firstLine="720"/>
        <w:jc w:val="both"/>
        <w:rPr>
          <w:lang w:val="sr-Cyrl-CS"/>
        </w:rPr>
      </w:pPr>
      <w:r w:rsidRPr="00FB52DC">
        <w:rPr>
          <w:bCs/>
          <w:iCs/>
          <w:lang w:val="sr-Cyrl-CS"/>
        </w:rPr>
        <w:t xml:space="preserve">Јединични износ </w:t>
      </w:r>
      <w:r w:rsidRPr="00FB52DC">
        <w:rPr>
          <w:lang w:val="sr-Cyrl-CS"/>
        </w:rPr>
        <w:t xml:space="preserve">пенала који обвезници система плаћају, </w:t>
      </w:r>
      <w:r w:rsidRPr="00FB52DC">
        <w:rPr>
          <w:bCs/>
          <w:iCs/>
          <w:lang w:val="sr-Cyrl-CS"/>
        </w:rPr>
        <w:t>[RSD/MJ], израчунава се по следећој формули:</w:t>
      </w:r>
    </w:p>
    <w:p w:rsidR="008171AB" w:rsidRPr="00FB52DC" w:rsidRDefault="008171AB" w:rsidP="008171AB">
      <w:pPr>
        <w:pStyle w:val="Default"/>
        <w:jc w:val="both"/>
        <w:rPr>
          <w:lang w:val="sr-Cyrl-CS"/>
        </w:rPr>
      </w:pPr>
    </w:p>
    <w:p w:rsidR="008171AB" w:rsidRPr="00FB52DC" w:rsidRDefault="003232D4" w:rsidP="008171AB">
      <w:pPr>
        <w:pStyle w:val="Default"/>
        <w:jc w:val="both"/>
        <w:rPr>
          <w:rFonts w:eastAsiaTheme="minorEastAsia"/>
          <w:bCs/>
          <w:iCs/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C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NK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sr-Cyrl-CS"/>
            </w:rPr>
            <m:t>=</m:t>
          </m:r>
          <m:f>
            <m:fPr>
              <m:ctrlPr>
                <w:rPr>
                  <w:rFonts w:ascii="Cambria Math" w:hAnsi="Cambria Math" w:cs="Cambria Math"/>
                  <w:bCs/>
                  <w:iCs/>
                  <w:lang w:val="sr-Cyrl-CS"/>
                </w:rPr>
              </m:ctrlPr>
            </m:fPr>
            <m:num>
              <m:r>
                <w:rPr>
                  <w:rFonts w:ascii="Cambria Math" w:hAnsi="Cambria Math" w:cs="Cambria Math"/>
                  <w:lang w:val="sr-Cyrl-CS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bCs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∙C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BG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bCs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DE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d</m:t>
                  </m:r>
                </m:sub>
              </m:sSub>
            </m:den>
          </m:f>
        </m:oMath>
      </m:oMathPara>
    </w:p>
    <w:p w:rsidR="008171AB" w:rsidRPr="00FB52DC" w:rsidRDefault="008171AB" w:rsidP="008171AB">
      <w:pPr>
        <w:pStyle w:val="Default"/>
        <w:jc w:val="both"/>
        <w:rPr>
          <w:bCs/>
          <w:iCs/>
          <w:lang w:val="sr-Cyrl-CS"/>
        </w:rPr>
      </w:pP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Cs/>
          <w:lang w:val="sr-Cyrl-CS"/>
        </w:rPr>
        <w:t>где је:</w:t>
      </w:r>
    </w:p>
    <w:p w:rsidR="008171AB" w:rsidRPr="00FB52DC" w:rsidRDefault="008171AB" w:rsidP="008171AB">
      <w:pPr>
        <w:pStyle w:val="Default"/>
        <w:ind w:left="1080"/>
        <w:jc w:val="both"/>
        <w:rPr>
          <w:lang w:val="sr-Cyrl-CS"/>
        </w:rPr>
      </w:pPr>
      <w:r w:rsidRPr="00FB52DC">
        <w:rPr>
          <w:bCs/>
          <w:i/>
          <w:iCs/>
          <w:lang w:val="sr-Cyrl-CS"/>
        </w:rPr>
        <w:t>C</w:t>
      </w:r>
      <w:r w:rsidRPr="00FB52DC">
        <w:rPr>
          <w:bCs/>
          <w:i/>
          <w:iCs/>
          <w:vertAlign w:val="subscript"/>
          <w:lang w:val="sr-Cyrl-CS"/>
        </w:rPr>
        <w:t>BG</w:t>
      </w:r>
      <w:r w:rsidRPr="00FB52DC">
        <w:rPr>
          <w:bCs/>
          <w:iCs/>
          <w:lang w:val="sr-Cyrl-CS"/>
        </w:rPr>
        <w:t xml:space="preserve"> – </w:t>
      </w:r>
      <w:r w:rsidRPr="00FB52DC">
        <w:rPr>
          <w:lang w:val="sr-Cyrl-CS"/>
        </w:rPr>
        <w:t>цена биодизела, тип FAME 0°C, израчуната као просечна дневна цена у претходној години на основу спот дневних цена за претходну годину на берзи у Ротердаму, Немачка - FOB, [USD/t], а коју израчунава министарство на основу података које објављује Reinfinitiv;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/>
          <w:iCs/>
          <w:lang w:val="sr-Cyrl-CS"/>
        </w:rPr>
        <w:t>K</w:t>
      </w:r>
      <w:r w:rsidRPr="00FB52DC">
        <w:rPr>
          <w:bCs/>
          <w:i/>
          <w:iCs/>
          <w:vertAlign w:val="subscript"/>
          <w:lang w:val="sr-Cyrl-CS"/>
        </w:rPr>
        <w:t>DE</w:t>
      </w:r>
      <w:r w:rsidRPr="00FB52DC">
        <w:rPr>
          <w:bCs/>
          <w:iCs/>
          <w:lang w:val="sr-Cyrl-CS"/>
        </w:rPr>
        <w:t xml:space="preserve"> – Средњи курс евра Народне банке Србије на дан 30. априла текуће године [RSD/USD];</w:t>
      </w:r>
    </w:p>
    <w:p w:rsidR="008171AB" w:rsidRPr="00FB52DC" w:rsidRDefault="008171AB" w:rsidP="008171AB">
      <w:pPr>
        <w:pStyle w:val="Default"/>
        <w:ind w:left="1080"/>
        <w:jc w:val="both"/>
        <w:rPr>
          <w:bCs/>
          <w:iCs/>
          <w:lang w:val="sr-Cyrl-CS"/>
        </w:rPr>
      </w:pPr>
      <w:r w:rsidRPr="00FB52DC">
        <w:rPr>
          <w:bCs/>
          <w:i/>
          <w:iCs/>
          <w:lang w:val="sr-Cyrl-CS"/>
        </w:rPr>
        <w:t>Q</w:t>
      </w:r>
      <w:r w:rsidRPr="00FB52DC">
        <w:rPr>
          <w:bCs/>
          <w:i/>
          <w:iCs/>
          <w:vertAlign w:val="subscript"/>
          <w:lang w:val="sr-Cyrl-CS"/>
        </w:rPr>
        <w:t>d</w:t>
      </w:r>
      <w:r w:rsidRPr="00FB52DC">
        <w:rPr>
          <w:bCs/>
          <w:iCs/>
          <w:lang w:val="sr-Cyrl-CS"/>
        </w:rPr>
        <w:t xml:space="preserve"> – Доња топлотна моћ биогорива, која за потребе овог прорачуна износи 32 000 MJ/t. </w:t>
      </w:r>
    </w:p>
    <w:p w:rsidR="008171AB" w:rsidRPr="00FB52DC" w:rsidRDefault="008171AB" w:rsidP="008171AB">
      <w:pPr>
        <w:rPr>
          <w:rFonts w:ascii="Times New Roman" w:hAnsi="Times New Roman" w:cs="Times New Roman"/>
          <w:bCs/>
          <w:iCs/>
          <w:color w:val="000000"/>
          <w:sz w:val="24"/>
          <w:szCs w:val="24"/>
          <w:lang w:val="sr-Cyrl-CS"/>
        </w:rPr>
      </w:pPr>
    </w:p>
    <w:p w:rsidR="00563199" w:rsidRPr="00FB52DC" w:rsidRDefault="00563199">
      <w:pPr>
        <w:rPr>
          <w:lang w:val="sr-Cyrl-CS"/>
        </w:rPr>
      </w:pPr>
    </w:p>
    <w:sectPr w:rsidR="00563199" w:rsidRPr="00FB52DC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81564"/>
    <w:multiLevelType w:val="hybridMultilevel"/>
    <w:tmpl w:val="4C20D66E"/>
    <w:lvl w:ilvl="0" w:tplc="12D4B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95D0B"/>
    <w:multiLevelType w:val="hybridMultilevel"/>
    <w:tmpl w:val="C450BA46"/>
    <w:lvl w:ilvl="0" w:tplc="B7782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AB"/>
    <w:rsid w:val="000240B4"/>
    <w:rsid w:val="00084EA5"/>
    <w:rsid w:val="000E7A02"/>
    <w:rsid w:val="00221AAB"/>
    <w:rsid w:val="002A3C30"/>
    <w:rsid w:val="002B01F2"/>
    <w:rsid w:val="003232D4"/>
    <w:rsid w:val="00563199"/>
    <w:rsid w:val="007D62AE"/>
    <w:rsid w:val="008171AB"/>
    <w:rsid w:val="00833165"/>
    <w:rsid w:val="00CF7646"/>
    <w:rsid w:val="00E9011D"/>
    <w:rsid w:val="00EE7440"/>
    <w:rsid w:val="00FA21A5"/>
    <w:rsid w:val="00FA459A"/>
    <w:rsid w:val="00FB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A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71A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CM1">
    <w:name w:val="CM1"/>
    <w:basedOn w:val="Default"/>
    <w:next w:val="Default"/>
    <w:uiPriority w:val="99"/>
    <w:rsid w:val="008171AB"/>
    <w:rPr>
      <w:color w:val="auto"/>
    </w:rPr>
  </w:style>
  <w:style w:type="paragraph" w:customStyle="1" w:styleId="CM4">
    <w:name w:val="CM4"/>
    <w:basedOn w:val="Default"/>
    <w:next w:val="Default"/>
    <w:uiPriority w:val="99"/>
    <w:rsid w:val="008171AB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A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71A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CM1">
    <w:name w:val="CM1"/>
    <w:basedOn w:val="Default"/>
    <w:next w:val="Default"/>
    <w:uiPriority w:val="99"/>
    <w:rsid w:val="008171AB"/>
    <w:rPr>
      <w:color w:val="auto"/>
    </w:rPr>
  </w:style>
  <w:style w:type="paragraph" w:customStyle="1" w:styleId="CM4">
    <w:name w:val="CM4"/>
    <w:basedOn w:val="Default"/>
    <w:next w:val="Default"/>
    <w:uiPriority w:val="99"/>
    <w:rsid w:val="008171AB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Marija Gacanovic</cp:lastModifiedBy>
  <cp:revision>12</cp:revision>
  <dcterms:created xsi:type="dcterms:W3CDTF">2019-10-03T11:48:00Z</dcterms:created>
  <dcterms:modified xsi:type="dcterms:W3CDTF">2019-10-04T10:36:00Z</dcterms:modified>
</cp:coreProperties>
</file>