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7F951D" w14:textId="04D6C2B9" w:rsidR="008D378B" w:rsidRPr="00CF49C5" w:rsidRDefault="008D378B" w:rsidP="000C3F4F">
      <w:pPr>
        <w:shd w:val="clear" w:color="auto" w:fill="FFFFFF"/>
        <w:ind w:firstLine="720"/>
        <w:jc w:val="center"/>
        <w:rPr>
          <w:b/>
          <w:sz w:val="28"/>
          <w:lang w:val="sr-Cyrl-CS"/>
        </w:rPr>
      </w:pPr>
      <w:r w:rsidRPr="00CF49C5">
        <w:rPr>
          <w:b/>
          <w:sz w:val="28"/>
          <w:lang w:val="sr-Cyrl-CS"/>
        </w:rPr>
        <w:t>ИЗЈАВ</w:t>
      </w:r>
      <w:r w:rsidR="00B132E0" w:rsidRPr="00CF49C5">
        <w:rPr>
          <w:b/>
          <w:sz w:val="28"/>
          <w:lang w:val="sr-Cyrl-CS"/>
        </w:rPr>
        <w:t>А</w:t>
      </w:r>
      <w:r w:rsidRPr="00CF49C5">
        <w:rPr>
          <w:b/>
          <w:sz w:val="28"/>
          <w:lang w:val="sr-Cyrl-CS"/>
        </w:rPr>
        <w:t xml:space="preserve"> О УСКЛАЂЕНОСТИ ПРОПИСА СА ПРОПИСИМА ЕВРОПСКЕ УНИЈЕ</w:t>
      </w:r>
    </w:p>
    <w:p w14:paraId="578846C9" w14:textId="77777777" w:rsidR="008D378B" w:rsidRPr="00CF49C5" w:rsidRDefault="008D378B" w:rsidP="00C23B88">
      <w:pPr>
        <w:pStyle w:val="FootnoteText"/>
        <w:spacing w:line="240" w:lineRule="auto"/>
        <w:rPr>
          <w:lang w:val="sr-Cyrl-CS"/>
        </w:rPr>
      </w:pPr>
    </w:p>
    <w:p w14:paraId="22107FA9" w14:textId="188A4CF1" w:rsidR="008D378B" w:rsidRPr="00CF49C5" w:rsidRDefault="00332FFA" w:rsidP="00C23B88">
      <w:pPr>
        <w:numPr>
          <w:ilvl w:val="0"/>
          <w:numId w:val="1"/>
        </w:numPr>
        <w:jc w:val="both"/>
        <w:rPr>
          <w:b/>
          <w:lang w:val="sr-Cyrl-CS"/>
        </w:rPr>
      </w:pPr>
      <w:r w:rsidRPr="00CF49C5">
        <w:rPr>
          <w:b/>
          <w:lang w:val="sr-Cyrl-CS"/>
        </w:rPr>
        <w:t>О</w:t>
      </w:r>
      <w:r w:rsidR="008D378B" w:rsidRPr="00CF49C5">
        <w:rPr>
          <w:b/>
          <w:lang w:val="sr-Cyrl-CS"/>
        </w:rPr>
        <w:t>влашћени предлагач прописа</w:t>
      </w:r>
      <w:r w:rsidRPr="00CF49C5">
        <w:rPr>
          <w:b/>
          <w:lang w:val="sr-Cyrl-CS"/>
        </w:rPr>
        <w:t xml:space="preserve"> –</w:t>
      </w:r>
      <w:r w:rsidR="008D378B" w:rsidRPr="00CF49C5">
        <w:rPr>
          <w:lang w:val="sr-Cyrl-CS"/>
        </w:rPr>
        <w:t xml:space="preserve"> </w:t>
      </w:r>
      <w:r w:rsidR="008D378B" w:rsidRPr="00CF49C5">
        <w:rPr>
          <w:rFonts w:eastAsia="Calibri"/>
          <w:b/>
          <w:lang w:val="sr-Cyrl-CS"/>
        </w:rPr>
        <w:t>Влада</w:t>
      </w:r>
    </w:p>
    <w:p w14:paraId="6DFE4CC9" w14:textId="576BEC5D" w:rsidR="008D378B" w:rsidRPr="00CF49C5" w:rsidRDefault="00D4267A" w:rsidP="00D4267A">
      <w:pPr>
        <w:tabs>
          <w:tab w:val="left" w:pos="1418"/>
        </w:tabs>
        <w:spacing w:before="120"/>
        <w:jc w:val="both"/>
        <w:rPr>
          <w:rFonts w:eastAsia="Calibri"/>
          <w:b/>
          <w:lang w:val="sr-Cyrl-CS"/>
        </w:rPr>
      </w:pPr>
      <w:r w:rsidRPr="00CF49C5">
        <w:rPr>
          <w:rFonts w:eastAsia="Calibri"/>
          <w:b/>
          <w:lang w:val="sr-Cyrl-CS"/>
        </w:rPr>
        <w:t xml:space="preserve">          </w:t>
      </w:r>
      <w:r w:rsidR="008D378B" w:rsidRPr="00CF49C5">
        <w:rPr>
          <w:rFonts w:eastAsia="Calibri"/>
          <w:b/>
          <w:lang w:val="sr-Cyrl-CS"/>
        </w:rPr>
        <w:t>Обрађивач</w:t>
      </w:r>
      <w:r w:rsidR="00332FFA" w:rsidRPr="00CF49C5">
        <w:rPr>
          <w:rFonts w:eastAsia="Calibri"/>
          <w:b/>
          <w:lang w:val="sr-Cyrl-CS"/>
        </w:rPr>
        <w:t xml:space="preserve"> –</w:t>
      </w:r>
      <w:r w:rsidR="008D378B" w:rsidRPr="00CF49C5">
        <w:rPr>
          <w:rFonts w:eastAsia="Calibri"/>
          <w:b/>
          <w:lang w:val="sr-Cyrl-CS"/>
        </w:rPr>
        <w:t xml:space="preserve"> Министарство финансија</w:t>
      </w:r>
    </w:p>
    <w:p w14:paraId="4FD4A56B" w14:textId="77777777" w:rsidR="008D378B" w:rsidRPr="00CF49C5" w:rsidRDefault="008D378B" w:rsidP="00C23B88">
      <w:pPr>
        <w:ind w:left="720"/>
        <w:jc w:val="both"/>
        <w:rPr>
          <w:lang w:val="sr-Cyrl-CS"/>
        </w:rPr>
      </w:pPr>
    </w:p>
    <w:p w14:paraId="2BDAD104" w14:textId="77777777" w:rsidR="008D378B" w:rsidRPr="00CF49C5" w:rsidRDefault="008D378B" w:rsidP="00C23B88">
      <w:pPr>
        <w:jc w:val="both"/>
        <w:rPr>
          <w:lang w:val="sr-Cyrl-CS"/>
        </w:rPr>
      </w:pPr>
    </w:p>
    <w:p w14:paraId="04914373" w14:textId="77777777" w:rsidR="008D378B" w:rsidRPr="00CF49C5" w:rsidRDefault="008D378B" w:rsidP="00C23B88">
      <w:pPr>
        <w:numPr>
          <w:ilvl w:val="0"/>
          <w:numId w:val="1"/>
        </w:numPr>
        <w:jc w:val="both"/>
        <w:rPr>
          <w:lang w:val="sr-Cyrl-CS"/>
        </w:rPr>
      </w:pPr>
      <w:r w:rsidRPr="00CF49C5">
        <w:rPr>
          <w:lang w:val="sr-Cyrl-CS"/>
        </w:rPr>
        <w:t>Назив прописа:</w:t>
      </w:r>
    </w:p>
    <w:p w14:paraId="53D540B5" w14:textId="37A456AA" w:rsidR="008D378B" w:rsidRPr="00CF49C5" w:rsidRDefault="00B132E0" w:rsidP="00C23B88">
      <w:pPr>
        <w:tabs>
          <w:tab w:val="left" w:pos="1418"/>
        </w:tabs>
        <w:spacing w:before="120"/>
        <w:ind w:left="720"/>
        <w:jc w:val="both"/>
        <w:rPr>
          <w:rFonts w:eastAsia="Calibri"/>
          <w:b/>
          <w:lang w:val="sr-Cyrl-CS"/>
        </w:rPr>
      </w:pPr>
      <w:r w:rsidRPr="00CF49C5">
        <w:rPr>
          <w:rFonts w:eastAsia="Calibri"/>
          <w:b/>
          <w:lang w:val="sr-Cyrl-CS"/>
        </w:rPr>
        <w:t xml:space="preserve">Предлог закона </w:t>
      </w:r>
      <w:r w:rsidR="008D378B" w:rsidRPr="00CF49C5">
        <w:rPr>
          <w:rFonts w:eastAsia="Calibri"/>
          <w:b/>
          <w:lang w:val="sr-Cyrl-CS"/>
        </w:rPr>
        <w:t>о јавним набавкама</w:t>
      </w:r>
    </w:p>
    <w:p w14:paraId="372046DB" w14:textId="42C6CB3C" w:rsidR="008D378B" w:rsidRPr="00CF49C5" w:rsidRDefault="008D378B" w:rsidP="00C23B88">
      <w:pPr>
        <w:tabs>
          <w:tab w:val="left" w:pos="1418"/>
        </w:tabs>
        <w:ind w:left="720"/>
        <w:jc w:val="both"/>
        <w:rPr>
          <w:rFonts w:eastAsia="Calibri"/>
          <w:b/>
          <w:lang w:val="sr-Cyrl-CS"/>
        </w:rPr>
      </w:pPr>
      <w:r w:rsidRPr="00CF49C5">
        <w:rPr>
          <w:rFonts w:eastAsia="Calibri"/>
          <w:b/>
          <w:lang w:val="sr-Cyrl-CS"/>
        </w:rPr>
        <w:t xml:space="preserve">Draft </w:t>
      </w:r>
      <w:r w:rsidR="0003607D">
        <w:rPr>
          <w:rFonts w:eastAsia="Calibri"/>
          <w:b/>
          <w:lang w:val="en-US"/>
        </w:rPr>
        <w:t>L</w:t>
      </w:r>
      <w:r w:rsidRPr="00CF49C5">
        <w:rPr>
          <w:rFonts w:eastAsia="Calibri"/>
          <w:b/>
          <w:lang w:val="sr-Cyrl-CS"/>
        </w:rPr>
        <w:t>aw on public procurement</w:t>
      </w:r>
    </w:p>
    <w:p w14:paraId="6C4B16FF" w14:textId="77777777" w:rsidR="008D378B" w:rsidRPr="00CF49C5" w:rsidRDefault="008D378B" w:rsidP="00C23B88">
      <w:pPr>
        <w:ind w:left="720"/>
        <w:jc w:val="both"/>
        <w:rPr>
          <w:lang w:val="sr-Cyrl-CS"/>
        </w:rPr>
      </w:pPr>
    </w:p>
    <w:p w14:paraId="17BE33DE" w14:textId="77777777" w:rsidR="008D378B" w:rsidRPr="00CF49C5" w:rsidRDefault="008D378B" w:rsidP="00C23B88">
      <w:pPr>
        <w:jc w:val="both"/>
        <w:rPr>
          <w:lang w:val="sr-Cyrl-CS"/>
        </w:rPr>
      </w:pPr>
    </w:p>
    <w:p w14:paraId="76D88F9B" w14:textId="77777777" w:rsidR="008D378B" w:rsidRPr="00CF49C5" w:rsidRDefault="008D378B" w:rsidP="00C23B88">
      <w:pPr>
        <w:jc w:val="both"/>
        <w:rPr>
          <w:lang w:val="sr-Cyrl-CS"/>
        </w:rPr>
      </w:pPr>
      <w:r w:rsidRPr="00CF49C5">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6D0A23D8" w14:textId="77777777" w:rsidR="008D378B" w:rsidRPr="00CF49C5" w:rsidRDefault="008D378B" w:rsidP="00C23B88">
      <w:pPr>
        <w:jc w:val="both"/>
        <w:rPr>
          <w:lang w:val="sr-Cyrl-CS"/>
        </w:rPr>
      </w:pPr>
    </w:p>
    <w:p w14:paraId="390DFD18" w14:textId="77777777" w:rsidR="008D378B" w:rsidRPr="00CF49C5" w:rsidRDefault="008D378B" w:rsidP="00C23B88">
      <w:pPr>
        <w:jc w:val="both"/>
        <w:rPr>
          <w:lang w:val="sr-Cyrl-CS"/>
        </w:rPr>
      </w:pPr>
      <w:r w:rsidRPr="00CF49C5">
        <w:rPr>
          <w:lang w:val="sr-Cyrl-CS"/>
        </w:rPr>
        <w:t>а) Одредба Споразума која се односи на нормативну садржину прописа:</w:t>
      </w:r>
    </w:p>
    <w:p w14:paraId="68B363A6" w14:textId="77777777" w:rsidR="008D378B" w:rsidRPr="00CF49C5" w:rsidRDefault="008D378B" w:rsidP="00C23B88">
      <w:pPr>
        <w:tabs>
          <w:tab w:val="left" w:pos="1418"/>
        </w:tabs>
        <w:spacing w:before="120"/>
        <w:jc w:val="both"/>
        <w:rPr>
          <w:rFonts w:eastAsia="Calibri"/>
          <w:b/>
          <w:lang w:val="sr-Cyrl-CS"/>
        </w:rPr>
      </w:pPr>
      <w:r w:rsidRPr="00CF49C5">
        <w:rPr>
          <w:rFonts w:eastAsia="Calibri"/>
          <w:b/>
          <w:lang w:val="sr-Cyrl-CS"/>
        </w:rPr>
        <w:t xml:space="preserve">Споразум: Поглавље V Опште одредбе Наслов VI Усклађивање прописа, примена права и правила конкуренције члан 72. и члан 76. – Јавне набавке  </w:t>
      </w:r>
    </w:p>
    <w:p w14:paraId="4502C0A7" w14:textId="77777777" w:rsidR="008D378B" w:rsidRPr="00CF49C5" w:rsidRDefault="008D378B" w:rsidP="00C23B88">
      <w:pPr>
        <w:jc w:val="both"/>
        <w:rPr>
          <w:lang w:val="sr-Cyrl-CS"/>
        </w:rPr>
      </w:pPr>
      <w:r w:rsidRPr="00CF49C5">
        <w:rPr>
          <w:lang w:val="sr-Cyrl-CS"/>
        </w:rPr>
        <w:t>б) Прелазни рок за усклађивање законодавства према одредбама Споразума:</w:t>
      </w:r>
    </w:p>
    <w:p w14:paraId="15A5AF58" w14:textId="77777777" w:rsidR="008D378B" w:rsidRPr="00CF49C5" w:rsidRDefault="008D378B" w:rsidP="00C23B88">
      <w:pPr>
        <w:tabs>
          <w:tab w:val="left" w:pos="1418"/>
        </w:tabs>
        <w:spacing w:before="120"/>
        <w:jc w:val="both"/>
        <w:rPr>
          <w:b/>
          <w:lang w:val="sr-Cyrl-CS"/>
        </w:rPr>
      </w:pPr>
      <w:r w:rsidRPr="00CF49C5">
        <w:rPr>
          <w:b/>
          <w:lang w:val="sr-Cyrl-CS"/>
        </w:rPr>
        <w:t xml:space="preserve">Општи рок за усклађивање законодавства са законодавством заједнице према члану 72. Споразума; </w:t>
      </w:r>
    </w:p>
    <w:p w14:paraId="1044934C" w14:textId="77777777" w:rsidR="008D378B" w:rsidRPr="00CF49C5" w:rsidRDefault="008D378B" w:rsidP="00C23B88">
      <w:pPr>
        <w:tabs>
          <w:tab w:val="left" w:pos="1418"/>
        </w:tabs>
        <w:spacing w:before="120"/>
        <w:jc w:val="both"/>
        <w:rPr>
          <w:b/>
          <w:lang w:val="sr-Cyrl-CS"/>
        </w:rPr>
      </w:pPr>
      <w:r w:rsidRPr="00CF49C5">
        <w:rPr>
          <w:b/>
          <w:lang w:val="sr-Cyrl-CS"/>
        </w:rPr>
        <w:t>Рок за усклађивање одредби Закона о јавним набавкама у делу који се односи на предност дату домаћим понуђачима и добрима према члану 76. Споразума (предност дата домаћим понуђачима постаје предност изражена у цени и у периоду од пет година ће се постепено смањити у складу са динамиком наведеном у том споразуму).</w:t>
      </w:r>
    </w:p>
    <w:p w14:paraId="31D3734C" w14:textId="77777777" w:rsidR="008D378B" w:rsidRPr="00CF49C5" w:rsidRDefault="008D378B" w:rsidP="00C23B88">
      <w:pPr>
        <w:jc w:val="both"/>
        <w:rPr>
          <w:lang w:val="sr-Cyrl-CS"/>
        </w:rPr>
      </w:pPr>
    </w:p>
    <w:p w14:paraId="17FAF64A" w14:textId="77777777" w:rsidR="008D378B" w:rsidRPr="00CF49C5" w:rsidRDefault="008D378B" w:rsidP="00C23B88">
      <w:pPr>
        <w:jc w:val="both"/>
        <w:rPr>
          <w:lang w:val="sr-Cyrl-CS"/>
        </w:rPr>
      </w:pPr>
      <w:r w:rsidRPr="00CF49C5">
        <w:rPr>
          <w:lang w:val="sr-Cyrl-CS"/>
        </w:rPr>
        <w:t>в) Оцена испуњености обавезе које произлазе из наведене одредбе Споразума,</w:t>
      </w:r>
    </w:p>
    <w:p w14:paraId="11C739E5" w14:textId="705651C1" w:rsidR="008D378B" w:rsidRPr="00CF49C5" w:rsidRDefault="008D378B" w:rsidP="00C23B88">
      <w:pPr>
        <w:tabs>
          <w:tab w:val="left" w:pos="1418"/>
        </w:tabs>
        <w:spacing w:before="120"/>
        <w:jc w:val="both"/>
        <w:rPr>
          <w:rFonts w:eastAsia="TimesNewRomanPSMT"/>
          <w:b/>
          <w:lang w:val="sr-Cyrl-CS"/>
        </w:rPr>
      </w:pPr>
      <w:r w:rsidRPr="00CF49C5">
        <w:rPr>
          <w:rFonts w:eastAsia="Calibri"/>
          <w:b/>
          <w:lang w:val="sr-Cyrl-CS"/>
        </w:rPr>
        <w:t>Испуњена (</w:t>
      </w:r>
      <w:r w:rsidR="00332FFA" w:rsidRPr="00CF49C5">
        <w:rPr>
          <w:rFonts w:eastAsia="Calibri"/>
          <w:b/>
          <w:lang w:val="sr-Cyrl-CS"/>
        </w:rPr>
        <w:t xml:space="preserve">Предлог </w:t>
      </w:r>
      <w:r w:rsidRPr="00CF49C5">
        <w:rPr>
          <w:rFonts w:eastAsia="Calibri"/>
          <w:b/>
          <w:lang w:val="sr-Cyrl-CS"/>
        </w:rPr>
        <w:t xml:space="preserve">закона о јавним набавкама потпуно је усклађен са </w:t>
      </w:r>
      <w:r w:rsidRPr="00CF49C5">
        <w:rPr>
          <w:rFonts w:eastAsia="TimesNewRomanPSMT"/>
          <w:b/>
          <w:lang w:val="sr-Cyrl-CS"/>
        </w:rPr>
        <w:t>законодавством Европске уније и најбољом европском праксом у области јавних набавки</w:t>
      </w:r>
      <w:r w:rsidR="00BB4133">
        <w:rPr>
          <w:rFonts w:eastAsia="TimesNewRomanPSMT"/>
          <w:b/>
          <w:lang w:val="sr-Cyrl-RS"/>
        </w:rPr>
        <w:t>)</w:t>
      </w:r>
      <w:r w:rsidRPr="00CF49C5">
        <w:rPr>
          <w:rFonts w:eastAsia="TimesNewRomanPSMT"/>
          <w:b/>
          <w:lang w:val="sr-Cyrl-CS"/>
        </w:rPr>
        <w:t>.</w:t>
      </w:r>
    </w:p>
    <w:p w14:paraId="2304C4D5" w14:textId="77777777" w:rsidR="008D378B" w:rsidRPr="00CF49C5" w:rsidRDefault="008D378B" w:rsidP="00C23B88">
      <w:pPr>
        <w:tabs>
          <w:tab w:val="left" w:pos="1418"/>
        </w:tabs>
        <w:spacing w:before="120"/>
        <w:jc w:val="both"/>
        <w:rPr>
          <w:rFonts w:eastAsia="TimesNewRomanPSMT"/>
          <w:b/>
          <w:lang w:val="sr-Cyrl-CS"/>
        </w:rPr>
      </w:pPr>
    </w:p>
    <w:p w14:paraId="08FFF387" w14:textId="77777777" w:rsidR="008D378B" w:rsidRPr="00CF49C5" w:rsidRDefault="008D378B" w:rsidP="00C23B88">
      <w:pPr>
        <w:jc w:val="both"/>
        <w:rPr>
          <w:lang w:val="sr-Cyrl-CS"/>
        </w:rPr>
      </w:pPr>
      <w:r w:rsidRPr="00CF49C5">
        <w:rPr>
          <w:lang w:val="sr-Cyrl-CS"/>
        </w:rPr>
        <w:t>г) Разлози за делимично испуњавање, односно неиспуњавање обавеза које произлазе из наведене одредбе Споразума,</w:t>
      </w:r>
    </w:p>
    <w:p w14:paraId="5E2E34D8" w14:textId="77777777" w:rsidR="008D378B" w:rsidRPr="00CF49C5" w:rsidRDefault="008D378B" w:rsidP="00C23B88">
      <w:pPr>
        <w:jc w:val="both"/>
        <w:rPr>
          <w:lang w:val="sr-Cyrl-CS"/>
        </w:rPr>
      </w:pPr>
      <w:r w:rsidRPr="00CF49C5">
        <w:rPr>
          <w:lang w:val="sr-Cyrl-CS"/>
        </w:rPr>
        <w:t>д) Веза са Националним програмом за усвајање правних тековина Европске уније.</w:t>
      </w:r>
    </w:p>
    <w:p w14:paraId="2DAE2227" w14:textId="7E9C5C7C" w:rsidR="008D378B" w:rsidRPr="00CF49C5" w:rsidRDefault="00C23B88" w:rsidP="00C23B88">
      <w:pPr>
        <w:tabs>
          <w:tab w:val="left" w:pos="1418"/>
        </w:tabs>
        <w:jc w:val="both"/>
        <w:rPr>
          <w:rFonts w:eastAsia="Calibri"/>
          <w:b/>
          <w:lang w:val="sr-Cyrl-CS"/>
        </w:rPr>
      </w:pPr>
      <w:r w:rsidRPr="00CF49C5">
        <w:rPr>
          <w:rFonts w:eastAsia="Calibri"/>
          <w:b/>
          <w:lang w:val="sr-Cyrl-CS"/>
        </w:rPr>
        <w:t xml:space="preserve">Доношење </w:t>
      </w:r>
      <w:r w:rsidR="00332FFA" w:rsidRPr="00CF49C5">
        <w:rPr>
          <w:rFonts w:eastAsia="Calibri"/>
          <w:b/>
          <w:lang w:val="sr-Cyrl-CS"/>
        </w:rPr>
        <w:t xml:space="preserve">овог </w:t>
      </w:r>
      <w:r w:rsidR="008D378B" w:rsidRPr="00CF49C5">
        <w:rPr>
          <w:rFonts w:eastAsia="Calibri"/>
          <w:b/>
          <w:lang w:val="sr-Cyrl-CS"/>
        </w:rPr>
        <w:t xml:space="preserve">закона </w:t>
      </w:r>
      <w:r w:rsidRPr="00CF49C5">
        <w:rPr>
          <w:rFonts w:eastAsia="Calibri"/>
          <w:b/>
          <w:lang w:val="sr-Cyrl-CS"/>
        </w:rPr>
        <w:t xml:space="preserve">је планирано </w:t>
      </w:r>
      <w:r w:rsidRPr="00CF49C5">
        <w:rPr>
          <w:lang w:val="sr-Cyrl-CS"/>
        </w:rPr>
        <w:t>Националним програмом за усвајање правних тековина Европске уније,</w:t>
      </w:r>
      <w:r w:rsidRPr="00CF49C5">
        <w:rPr>
          <w:rFonts w:eastAsia="Calibri"/>
          <w:b/>
          <w:lang w:val="sr-Cyrl-CS"/>
        </w:rPr>
        <w:t xml:space="preserve"> у тачки 3.5 „Јавне набавке</w:t>
      </w:r>
      <w:r w:rsidR="00B132E0" w:rsidRPr="00CF49C5">
        <w:rPr>
          <w:b/>
          <w:lang w:val="sr-Cyrl-CS"/>
        </w:rPr>
        <w:t>”</w:t>
      </w:r>
      <w:r w:rsidRPr="00CF49C5">
        <w:rPr>
          <w:rFonts w:eastAsia="Calibri"/>
          <w:b/>
          <w:lang w:val="sr-Cyrl-CS"/>
        </w:rPr>
        <w:t>, за 2. квартал 2018. години.</w:t>
      </w:r>
    </w:p>
    <w:p w14:paraId="0C610A4A" w14:textId="77777777" w:rsidR="008D378B" w:rsidRPr="00CF49C5" w:rsidRDefault="008D378B" w:rsidP="00C23B88">
      <w:pPr>
        <w:jc w:val="both"/>
        <w:rPr>
          <w:lang w:val="sr-Cyrl-CS"/>
        </w:rPr>
      </w:pPr>
    </w:p>
    <w:p w14:paraId="01D45D61" w14:textId="77777777" w:rsidR="008D378B" w:rsidRPr="00CF49C5" w:rsidRDefault="008D378B" w:rsidP="00C23B88">
      <w:pPr>
        <w:jc w:val="both"/>
        <w:rPr>
          <w:lang w:val="sr-Cyrl-CS"/>
        </w:rPr>
      </w:pPr>
      <w:r w:rsidRPr="00CF49C5">
        <w:rPr>
          <w:lang w:val="sr-Cyrl-CS"/>
        </w:rPr>
        <w:t>4. Усклађеност прописа са прописима Европске уније:</w:t>
      </w:r>
    </w:p>
    <w:p w14:paraId="4B0EF0F5" w14:textId="77777777" w:rsidR="008D378B" w:rsidRPr="00CF49C5" w:rsidRDefault="008D378B" w:rsidP="00C23B88">
      <w:pPr>
        <w:jc w:val="both"/>
        <w:rPr>
          <w:lang w:val="sr-Cyrl-CS"/>
        </w:rPr>
      </w:pPr>
    </w:p>
    <w:p w14:paraId="173ED2FB" w14:textId="77777777" w:rsidR="008D378B" w:rsidRPr="00CF49C5" w:rsidRDefault="008D378B" w:rsidP="00C23B88">
      <w:pPr>
        <w:jc w:val="both"/>
        <w:rPr>
          <w:lang w:val="sr-Cyrl-CS"/>
        </w:rPr>
      </w:pPr>
      <w:r w:rsidRPr="00CF49C5">
        <w:rPr>
          <w:lang w:val="sr-Cyrl-CS"/>
        </w:rPr>
        <w:t>а) Навођење одредби примарних извора права Европске уније и оцене усклађености са њима,</w:t>
      </w:r>
    </w:p>
    <w:p w14:paraId="6030A7D8" w14:textId="70F52D1E" w:rsidR="008D378B" w:rsidRPr="00CF49C5" w:rsidRDefault="008D378B" w:rsidP="00C23B88">
      <w:pPr>
        <w:tabs>
          <w:tab w:val="left" w:pos="1418"/>
        </w:tabs>
        <w:spacing w:before="120"/>
        <w:jc w:val="both"/>
        <w:rPr>
          <w:rFonts w:eastAsia="Calibri"/>
          <w:b/>
          <w:lang w:val="sr-Cyrl-CS"/>
        </w:rPr>
      </w:pPr>
      <w:r w:rsidRPr="00CF49C5">
        <w:rPr>
          <w:rFonts w:eastAsia="Calibri"/>
          <w:b/>
          <w:lang w:val="sr-Cyrl-CS"/>
        </w:rPr>
        <w:t xml:space="preserve">Уговор о </w:t>
      </w:r>
      <w:r w:rsidR="00BD718B" w:rsidRPr="00CF49C5">
        <w:rPr>
          <w:rFonts w:eastAsia="Calibri"/>
          <w:b/>
          <w:lang w:val="sr-Cyrl-CS"/>
        </w:rPr>
        <w:t>Е</w:t>
      </w:r>
      <w:r w:rsidRPr="00CF49C5">
        <w:rPr>
          <w:rFonts w:eastAsia="Calibri"/>
          <w:b/>
          <w:lang w:val="sr-Cyrl-CS"/>
        </w:rPr>
        <w:t>вропској унији и Уговор о функционисању Европске уније</w:t>
      </w:r>
    </w:p>
    <w:p w14:paraId="45A4004E" w14:textId="77777777" w:rsidR="008D378B" w:rsidRPr="00CF49C5" w:rsidRDefault="008D378B" w:rsidP="00C23B88">
      <w:pPr>
        <w:tabs>
          <w:tab w:val="left" w:pos="1418"/>
        </w:tabs>
        <w:spacing w:before="120"/>
        <w:jc w:val="both"/>
        <w:rPr>
          <w:rFonts w:eastAsia="Calibri"/>
          <w:b/>
          <w:lang w:val="sr-Cyrl-CS"/>
        </w:rPr>
      </w:pPr>
      <w:r w:rsidRPr="00CF49C5">
        <w:rPr>
          <w:rFonts w:eastAsia="Calibri"/>
          <w:b/>
          <w:lang w:val="sr-Cyrl-CS"/>
        </w:rPr>
        <w:lastRenderedPageBreak/>
        <w:t>Treaty on European Union and the Treaty on the Functioning of the European Union</w:t>
      </w:r>
    </w:p>
    <w:p w14:paraId="3FAC8D53" w14:textId="77777777" w:rsidR="008D378B" w:rsidRPr="00CF49C5" w:rsidRDefault="008D378B" w:rsidP="00C23B88">
      <w:pPr>
        <w:jc w:val="both"/>
        <w:rPr>
          <w:lang w:val="sr-Cyrl-CS"/>
        </w:rPr>
      </w:pPr>
    </w:p>
    <w:p w14:paraId="59B66C96" w14:textId="77777777" w:rsidR="008D378B" w:rsidRPr="00CF49C5" w:rsidRDefault="008D378B" w:rsidP="00C23B88">
      <w:pPr>
        <w:jc w:val="both"/>
        <w:rPr>
          <w:lang w:val="sr-Cyrl-CS"/>
        </w:rPr>
      </w:pPr>
      <w:r w:rsidRPr="00CF49C5">
        <w:rPr>
          <w:lang w:val="sr-Cyrl-CS"/>
        </w:rPr>
        <w:t>б) Навођење секундарних извора права Европске уније и оцене усклађености са њима,</w:t>
      </w:r>
    </w:p>
    <w:p w14:paraId="4670A29D" w14:textId="77777777" w:rsidR="008D378B" w:rsidRPr="00CF49C5" w:rsidRDefault="008D378B" w:rsidP="00C23B88">
      <w:pPr>
        <w:jc w:val="both"/>
        <w:rPr>
          <w:rFonts w:eastAsia="Calibri"/>
          <w:lang w:val="sr-Cyrl-CS"/>
        </w:rPr>
      </w:pPr>
      <w:r w:rsidRPr="00CF49C5">
        <w:rPr>
          <w:rFonts w:eastAsia="Calibri"/>
          <w:lang w:val="sr-Cyrl-CS"/>
        </w:rPr>
        <w:t>Директивa Европског парламента и Савета 2014/24/ЕУ од 26. фебруара 2014. године о јавним набавкама и о стављању ван снаге Директиве 2004/18/ЕЗ</w:t>
      </w:r>
    </w:p>
    <w:p w14:paraId="6A1B3EFE" w14:textId="77777777" w:rsidR="008D378B" w:rsidRPr="00CF49C5" w:rsidRDefault="008D378B" w:rsidP="00C23B88">
      <w:pPr>
        <w:autoSpaceDE w:val="0"/>
        <w:autoSpaceDN w:val="0"/>
        <w:adjustRightInd w:val="0"/>
        <w:spacing w:before="120"/>
        <w:jc w:val="both"/>
        <w:rPr>
          <w:rFonts w:eastAsia="Calibri"/>
          <w:b/>
          <w:lang w:val="sr-Cyrl-CS"/>
        </w:rPr>
      </w:pPr>
      <w:r w:rsidRPr="00CF49C5">
        <w:rPr>
          <w:rFonts w:eastAsia="Calibri"/>
          <w:b/>
          <w:lang w:val="sr-Cyrl-CS"/>
        </w:rPr>
        <w:t>Directive 2014/24/EU of the European Parliament and of the Council of 26 February 2014 on public procurement and repealing Directive 2004/18/EC</w:t>
      </w:r>
    </w:p>
    <w:p w14:paraId="324C8DEF" w14:textId="77777777" w:rsidR="008D378B" w:rsidRPr="00CF49C5" w:rsidRDefault="008D378B" w:rsidP="00C23B88">
      <w:pPr>
        <w:spacing w:before="120"/>
        <w:jc w:val="both"/>
        <w:rPr>
          <w:rFonts w:eastAsia="Calibri"/>
          <w:b/>
          <w:lang w:val="sr-Cyrl-CS"/>
        </w:rPr>
      </w:pPr>
      <w:r w:rsidRPr="00CF49C5">
        <w:rPr>
          <w:rFonts w:eastAsia="Calibri"/>
          <w:b/>
          <w:lang w:val="sr-Cyrl-CS"/>
        </w:rPr>
        <w:t>Директива Европског парламента и Савета 2014/25/ЕУ од 26. фебруара 2014. године о набавкама наручилаца који обављају делатности у области водопривреде, енергетике, саобраћаја и поштанских услуга и стављању ван снаге Директиве 2004/18/ЕЗ</w:t>
      </w:r>
    </w:p>
    <w:p w14:paraId="3DEDE6BC" w14:textId="77777777" w:rsidR="008D378B" w:rsidRPr="00CF49C5" w:rsidRDefault="008D378B" w:rsidP="00C23B88">
      <w:pPr>
        <w:autoSpaceDE w:val="0"/>
        <w:autoSpaceDN w:val="0"/>
        <w:adjustRightInd w:val="0"/>
        <w:spacing w:before="120"/>
        <w:jc w:val="both"/>
        <w:rPr>
          <w:rFonts w:eastAsia="Calibri"/>
          <w:b/>
          <w:lang w:val="sr-Cyrl-CS"/>
        </w:rPr>
      </w:pPr>
      <w:r w:rsidRPr="00CF49C5">
        <w:rPr>
          <w:rFonts w:eastAsia="Calibri"/>
          <w:b/>
          <w:lang w:val="sr-Cyrl-CS"/>
        </w:rPr>
        <w:t>Directive 2014/25/EU of the European Parliament and of the Council of 26 February 2014 on procurement by entities operating in the water, energy, transport and postal services sectors and repealing Directive 2004/17/EC</w:t>
      </w:r>
    </w:p>
    <w:p w14:paraId="0A06563D" w14:textId="77777777" w:rsidR="008D378B" w:rsidRPr="00CF49C5" w:rsidRDefault="008D378B" w:rsidP="00C23B88">
      <w:pPr>
        <w:tabs>
          <w:tab w:val="left" w:pos="1418"/>
        </w:tabs>
        <w:spacing w:before="120"/>
        <w:jc w:val="both"/>
        <w:rPr>
          <w:rFonts w:eastAsia="Calibri"/>
          <w:b/>
          <w:lang w:val="sr-Cyrl-CS"/>
        </w:rPr>
      </w:pPr>
      <w:r w:rsidRPr="00CF49C5">
        <w:rPr>
          <w:rFonts w:eastAsia="Calibri"/>
          <w:b/>
          <w:lang w:val="sr-Cyrl-CS"/>
        </w:rPr>
        <w:t xml:space="preserve">Директива Савета </w:t>
      </w:r>
      <w:r w:rsidRPr="00CF49C5">
        <w:rPr>
          <w:rFonts w:eastAsia="Calibri"/>
          <w:b/>
          <w:bCs/>
          <w:color w:val="000000"/>
          <w:lang w:val="sr-Cyrl-CS"/>
        </w:rPr>
        <w:t>89/665/EEC од 21. децембра 1989. године о координацији закона, прописа и административних одредби које се односе на примену контролних процедура ради доделе уговора за јавно снабдевање и јавне радове</w:t>
      </w:r>
    </w:p>
    <w:p w14:paraId="302710B1" w14:textId="77777777" w:rsidR="008D378B" w:rsidRPr="00CF49C5" w:rsidRDefault="008D378B" w:rsidP="00C23B88">
      <w:pPr>
        <w:tabs>
          <w:tab w:val="left" w:pos="1418"/>
        </w:tabs>
        <w:spacing w:before="120"/>
        <w:jc w:val="both"/>
        <w:rPr>
          <w:rFonts w:eastAsia="Calibri"/>
          <w:b/>
          <w:lang w:val="sr-Cyrl-CS"/>
        </w:rPr>
      </w:pPr>
      <w:r w:rsidRPr="00CF49C5">
        <w:rPr>
          <w:rFonts w:eastAsia="Calibri"/>
          <w:b/>
          <w:lang w:val="sr-Cyrl-CS"/>
        </w:rPr>
        <w:t xml:space="preserve">Council Directive 89/665/EEC of 21 December 1989 on the coordination of the laws, regulations and administrative provisions relating to the application of review procedures to the award of public supply and public works contracts </w:t>
      </w:r>
    </w:p>
    <w:p w14:paraId="65B8286C" w14:textId="77777777" w:rsidR="008D378B" w:rsidRPr="00CF49C5" w:rsidRDefault="008D378B" w:rsidP="00C23B88">
      <w:pPr>
        <w:tabs>
          <w:tab w:val="left" w:pos="1418"/>
        </w:tabs>
        <w:autoSpaceDE w:val="0"/>
        <w:autoSpaceDN w:val="0"/>
        <w:adjustRightInd w:val="0"/>
        <w:spacing w:before="120"/>
        <w:jc w:val="both"/>
        <w:rPr>
          <w:rFonts w:eastAsia="Calibri"/>
          <w:b/>
          <w:lang w:val="sr-Cyrl-CS"/>
        </w:rPr>
      </w:pPr>
      <w:r w:rsidRPr="00CF49C5">
        <w:rPr>
          <w:rFonts w:eastAsia="Calibri"/>
          <w:b/>
          <w:lang w:val="sr-Cyrl-CS"/>
        </w:rPr>
        <w:t>Директива Савета 92/13/ЕЕЗ od 25. фебруара 1992. године о усклађивању прописа и управних одредби које се односе на примену правила Заједнице о поступцима набавке субјеката који делују у области водопривреде, енергетике, саобраћаја и телекомуникација</w:t>
      </w:r>
    </w:p>
    <w:p w14:paraId="64F39412" w14:textId="77777777" w:rsidR="008D378B" w:rsidRPr="00CF49C5" w:rsidRDefault="008D378B" w:rsidP="00C23B88">
      <w:pPr>
        <w:tabs>
          <w:tab w:val="left" w:pos="1418"/>
        </w:tabs>
        <w:spacing w:before="120"/>
        <w:jc w:val="both"/>
        <w:rPr>
          <w:rFonts w:eastAsia="Calibri"/>
          <w:b/>
          <w:lang w:val="sr-Cyrl-CS"/>
        </w:rPr>
      </w:pPr>
      <w:r w:rsidRPr="00CF49C5">
        <w:rPr>
          <w:rFonts w:eastAsia="Calibri"/>
          <w:b/>
          <w:lang w:val="sr-Cyrl-CS"/>
        </w:rPr>
        <w:t>Council Directive 92/13/EEC of 25. February 1992 on the coordination of the laws, regulations and administrative provision relating to the application of Community rules on the procurement procedures of entities operating in the water, energy, transport and telecommunications sectors</w:t>
      </w:r>
    </w:p>
    <w:p w14:paraId="6F845266" w14:textId="77777777" w:rsidR="008D378B" w:rsidRPr="00CF49C5" w:rsidRDefault="008D378B" w:rsidP="00C23B88">
      <w:pPr>
        <w:tabs>
          <w:tab w:val="left" w:pos="1418"/>
        </w:tabs>
        <w:spacing w:before="120"/>
        <w:jc w:val="both"/>
        <w:rPr>
          <w:rFonts w:eastAsia="Calibri"/>
          <w:b/>
          <w:lang w:val="sr-Cyrl-CS"/>
        </w:rPr>
      </w:pPr>
      <w:r w:rsidRPr="00CF49C5">
        <w:rPr>
          <w:rFonts w:eastAsia="Calibri"/>
          <w:b/>
          <w:bCs/>
          <w:lang w:val="sr-Cyrl-CS"/>
        </w:rPr>
        <w:t xml:space="preserve">Директива 2007/66/ЕЗ </w:t>
      </w:r>
      <w:r w:rsidRPr="00CF49C5">
        <w:rPr>
          <w:rFonts w:eastAsia="Calibri"/>
          <w:b/>
          <w:lang w:val="sr-Cyrl-CS"/>
        </w:rPr>
        <w:t>Европског парламента и Савета од 11. Децембра 2007. године којом се мењају и допуњују Директиве Савета 89/665/ЕЕЗ и 92/13/ЕЕЗ везано за унапређење поступка ревизије у вези са доделом уговора о јавним набавкама</w:t>
      </w:r>
    </w:p>
    <w:p w14:paraId="425A076B" w14:textId="77777777" w:rsidR="008D378B" w:rsidRPr="00CF49C5" w:rsidRDefault="008D378B" w:rsidP="00C23B88">
      <w:pPr>
        <w:tabs>
          <w:tab w:val="left" w:pos="1418"/>
        </w:tabs>
        <w:spacing w:before="120"/>
        <w:jc w:val="both"/>
        <w:rPr>
          <w:rFonts w:eastAsia="Calibri"/>
          <w:b/>
          <w:lang w:val="sr-Cyrl-CS"/>
        </w:rPr>
      </w:pPr>
      <w:r w:rsidRPr="00CF49C5">
        <w:rPr>
          <w:rFonts w:eastAsia="Calibri"/>
          <w:b/>
          <w:lang w:val="sr-Cyrl-CS"/>
        </w:rPr>
        <w:t>Directive 2007/66/EC of the European Parliament and of the Council of 11 December 2007 amending Council Directive 89/665/EEC and Council Directive 92/13/EEC with regard to improving the effectivenessof review procedures concerning the award ofpublic contracts</w:t>
      </w:r>
    </w:p>
    <w:p w14:paraId="12DB7129" w14:textId="77777777" w:rsidR="008D378B" w:rsidRPr="00CF49C5" w:rsidRDefault="008D378B" w:rsidP="00C23B88">
      <w:pPr>
        <w:tabs>
          <w:tab w:val="left" w:pos="1418"/>
        </w:tabs>
        <w:spacing w:before="120"/>
        <w:jc w:val="both"/>
        <w:rPr>
          <w:rFonts w:eastAsia="Calibri"/>
          <w:b/>
          <w:lang w:val="sr-Cyrl-CS"/>
        </w:rPr>
      </w:pPr>
      <w:r w:rsidRPr="00CF49C5">
        <w:rPr>
          <w:rFonts w:eastAsia="Calibri"/>
          <w:b/>
          <w:lang w:val="sr-Cyrl-CS"/>
        </w:rPr>
        <w:t>Уредба Европске комисије број 2151/2003 од 16. децембра 2003. године о измени и допуни Уредбе број 2195/2002 Европског парламента и Савета о општем речнику набавке (CPV)</w:t>
      </w:r>
    </w:p>
    <w:p w14:paraId="0790EAD8" w14:textId="77777777" w:rsidR="008D378B" w:rsidRPr="00CF49C5" w:rsidRDefault="008D378B" w:rsidP="00C23B88">
      <w:pPr>
        <w:spacing w:before="120"/>
        <w:jc w:val="both"/>
        <w:rPr>
          <w:rFonts w:eastAsia="Calibri"/>
          <w:b/>
          <w:lang w:val="sr-Cyrl-CS" w:eastAsia="sl-SI"/>
        </w:rPr>
      </w:pPr>
      <w:r w:rsidRPr="00CF49C5">
        <w:rPr>
          <w:rFonts w:eastAsia="Calibri"/>
          <w:b/>
          <w:lang w:val="sr-Cyrl-CS" w:eastAsia="sl-SI"/>
        </w:rPr>
        <w:t>Commission Regulation (EC) No 2151/2003</w:t>
      </w:r>
      <w:r w:rsidRPr="00CF49C5">
        <w:rPr>
          <w:rFonts w:eastAsia="Calibri"/>
          <w:b/>
          <w:vanish/>
          <w:u w:val="single"/>
          <w:lang w:val="sr-Cyrl-CS" w:eastAsia="sl-SI"/>
        </w:rPr>
        <w:t xml:space="preserve"> begin_of_the_skype_highlighting</w:t>
      </w:r>
      <w:r w:rsidRPr="00CF49C5">
        <w:rPr>
          <w:rFonts w:eastAsia="Calibri"/>
          <w:b/>
          <w:lang w:val="sr-Cyrl-CS" w:eastAsia="sl-SI"/>
        </w:rPr>
        <w:t> </w:t>
      </w:r>
      <w:r w:rsidRPr="00CF49C5">
        <w:rPr>
          <w:rFonts w:eastAsia="Calibri"/>
          <w:b/>
          <w:vanish/>
          <w:u w:val="single"/>
          <w:lang w:val="sr-Cyrl-CS" w:eastAsia="sl-SI"/>
        </w:rPr>
        <w:t>end_of_the_skype_highlighting</w:t>
      </w:r>
      <w:r w:rsidRPr="00CF49C5">
        <w:rPr>
          <w:rFonts w:eastAsia="Calibri"/>
          <w:b/>
          <w:lang w:val="sr-Cyrl-CS" w:eastAsia="sl-SI"/>
        </w:rPr>
        <w:t xml:space="preserve">of the 16 December 2003 amending Regulation (EC) No </w:t>
      </w:r>
      <w:hyperlink r:id="rId8" w:tgtFrame="_blank" w:tooltip="2195/2002" w:history="1">
        <w:r w:rsidRPr="00CF49C5">
          <w:rPr>
            <w:rFonts w:eastAsia="Calibri"/>
            <w:b/>
            <w:lang w:val="sr-Cyrl-CS" w:eastAsia="sl-SI"/>
          </w:rPr>
          <w:t xml:space="preserve">2195/2002 </w:t>
        </w:r>
        <w:r w:rsidRPr="00CF49C5">
          <w:rPr>
            <w:rFonts w:eastAsia="Calibri"/>
            <w:b/>
            <w:vanish/>
            <w:u w:val="single"/>
            <w:lang w:val="sr-Cyrl-CS" w:eastAsia="sl-SI"/>
          </w:rPr>
          <w:t>begin_of_the_skype_highlighting</w:t>
        </w:r>
        <w:r w:rsidRPr="00CF49C5">
          <w:rPr>
            <w:rFonts w:eastAsia="Calibri"/>
            <w:b/>
            <w:lang w:val="sr-Cyrl-CS" w:eastAsia="sl-SI"/>
          </w:rPr>
          <w:t> </w:t>
        </w:r>
        <w:r w:rsidRPr="00CF49C5">
          <w:rPr>
            <w:rFonts w:eastAsia="Calibri"/>
            <w:b/>
            <w:vanish/>
            <w:u w:val="single"/>
            <w:lang w:val="sr-Cyrl-CS" w:eastAsia="sl-SI"/>
          </w:rPr>
          <w:t>end_of_the_skype_highlighting</w:t>
        </w:r>
      </w:hyperlink>
      <w:r w:rsidRPr="00CF49C5">
        <w:rPr>
          <w:rFonts w:eastAsia="Calibri"/>
          <w:b/>
          <w:lang w:val="sr-Cyrl-CS" w:eastAsia="sl-SI"/>
        </w:rPr>
        <w:t>of the European Parliament and of the Council on the Common Procurement Vocabulary (CPV)</w:t>
      </w:r>
    </w:p>
    <w:p w14:paraId="5D8E15BE" w14:textId="77777777" w:rsidR="008D378B" w:rsidRDefault="008D378B" w:rsidP="00C23B88">
      <w:pPr>
        <w:jc w:val="both"/>
        <w:rPr>
          <w:lang w:val="sr-Cyrl-CS"/>
        </w:rPr>
      </w:pPr>
    </w:p>
    <w:p w14:paraId="3A8B5A37" w14:textId="77777777" w:rsidR="00BB4133" w:rsidRPr="00CF49C5" w:rsidRDefault="00BB4133" w:rsidP="00C23B88">
      <w:pPr>
        <w:jc w:val="both"/>
        <w:rPr>
          <w:lang w:val="sr-Cyrl-CS"/>
        </w:rPr>
      </w:pPr>
      <w:bookmarkStart w:id="0" w:name="_GoBack"/>
      <w:bookmarkEnd w:id="0"/>
    </w:p>
    <w:p w14:paraId="2EE4F97C" w14:textId="77777777" w:rsidR="008D378B" w:rsidRPr="00CF49C5" w:rsidRDefault="008D378B" w:rsidP="00C23B88">
      <w:pPr>
        <w:jc w:val="both"/>
        <w:rPr>
          <w:lang w:val="sr-Cyrl-CS"/>
        </w:rPr>
      </w:pPr>
      <w:r w:rsidRPr="00CF49C5">
        <w:rPr>
          <w:lang w:val="sr-Cyrl-CS"/>
        </w:rPr>
        <w:lastRenderedPageBreak/>
        <w:t>в) Навођење осталих извора права Европске уније и усклађенoст са њима,</w:t>
      </w:r>
    </w:p>
    <w:p w14:paraId="2143CD42" w14:textId="77777777" w:rsidR="008D378B" w:rsidRPr="00CF49C5" w:rsidRDefault="008D378B" w:rsidP="00C23B88">
      <w:pPr>
        <w:jc w:val="both"/>
        <w:rPr>
          <w:lang w:val="sr-Cyrl-CS"/>
        </w:rPr>
      </w:pPr>
      <w:r w:rsidRPr="00CF49C5">
        <w:rPr>
          <w:lang w:val="sr-Cyrl-CS"/>
        </w:rPr>
        <w:t>г) Разлози за делимичну усклађеност, односно неусклађеност,</w:t>
      </w:r>
    </w:p>
    <w:p w14:paraId="41263431" w14:textId="77777777" w:rsidR="008D378B" w:rsidRPr="00CF49C5" w:rsidRDefault="008D378B" w:rsidP="00C23B88">
      <w:pPr>
        <w:jc w:val="both"/>
        <w:rPr>
          <w:lang w:val="sr-Cyrl-CS"/>
        </w:rPr>
      </w:pPr>
      <w:r w:rsidRPr="00CF49C5">
        <w:rPr>
          <w:lang w:val="sr-Cyrl-CS"/>
        </w:rPr>
        <w:t>д) Рок у којем је предвиђено постизање потпуне усклађености прописа са прописима Европске уније.</w:t>
      </w:r>
    </w:p>
    <w:p w14:paraId="71AD261F" w14:textId="77777777" w:rsidR="008D378B" w:rsidRPr="00CF49C5" w:rsidRDefault="008D378B" w:rsidP="00C23B88">
      <w:pPr>
        <w:tabs>
          <w:tab w:val="left" w:pos="1418"/>
        </w:tabs>
        <w:jc w:val="both"/>
        <w:rPr>
          <w:b/>
          <w:lang w:val="sr-Cyrl-CS"/>
        </w:rPr>
      </w:pPr>
      <w:r w:rsidRPr="00CF49C5">
        <w:rPr>
          <w:b/>
          <w:lang w:val="sr-Cyrl-CS"/>
        </w:rPr>
        <w:t>Општи рок за усклађивање законодавства са законодавством заједнице према члану 72. Споразума;</w:t>
      </w:r>
    </w:p>
    <w:p w14:paraId="1A9C69CD" w14:textId="77777777" w:rsidR="008D378B" w:rsidRPr="00CF49C5" w:rsidRDefault="008D378B" w:rsidP="00C23B88">
      <w:pPr>
        <w:jc w:val="both"/>
        <w:rPr>
          <w:i/>
          <w:lang w:val="sr-Cyrl-CS"/>
        </w:rPr>
      </w:pPr>
    </w:p>
    <w:p w14:paraId="7D939EBB" w14:textId="77777777" w:rsidR="008D378B" w:rsidRPr="00CF49C5" w:rsidRDefault="008D378B" w:rsidP="00C23B88">
      <w:pPr>
        <w:jc w:val="both"/>
        <w:rPr>
          <w:color w:val="000000"/>
          <w:lang w:val="sr-Cyrl-CS"/>
        </w:rPr>
      </w:pPr>
      <w:r w:rsidRPr="00CF49C5">
        <w:rPr>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CF49C5">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233D7428" w14:textId="77777777" w:rsidR="008D378B" w:rsidRPr="00CF49C5" w:rsidRDefault="008D378B" w:rsidP="00C23B88">
      <w:pPr>
        <w:jc w:val="both"/>
        <w:rPr>
          <w:lang w:val="sr-Cyrl-CS"/>
        </w:rPr>
      </w:pPr>
    </w:p>
    <w:p w14:paraId="079DDEB4" w14:textId="77777777" w:rsidR="008D378B" w:rsidRPr="00CF49C5" w:rsidRDefault="008D378B" w:rsidP="00C23B88">
      <w:pPr>
        <w:jc w:val="both"/>
        <w:rPr>
          <w:lang w:val="sr-Cyrl-CS"/>
        </w:rPr>
      </w:pPr>
      <w:r w:rsidRPr="00CF49C5">
        <w:rPr>
          <w:lang w:val="sr-Cyrl-CS"/>
        </w:rPr>
        <w:t>6. Да ли су претходно наведени извори права Европске уније преведени на српски језик?</w:t>
      </w:r>
    </w:p>
    <w:p w14:paraId="4E754D65" w14:textId="765676B9" w:rsidR="008D378B" w:rsidRPr="00CF49C5" w:rsidRDefault="00C23B88" w:rsidP="00C23B88">
      <w:pPr>
        <w:jc w:val="both"/>
        <w:rPr>
          <w:b/>
          <w:lang w:val="sr-Cyrl-CS"/>
        </w:rPr>
      </w:pPr>
      <w:r w:rsidRPr="00CF49C5">
        <w:rPr>
          <w:b/>
          <w:lang w:val="sr-Cyrl-CS"/>
        </w:rPr>
        <w:t>Да</w:t>
      </w:r>
      <w:r w:rsidR="008D378B" w:rsidRPr="00CF49C5">
        <w:rPr>
          <w:b/>
          <w:lang w:val="sr-Cyrl-CS"/>
        </w:rPr>
        <w:t>.</w:t>
      </w:r>
    </w:p>
    <w:p w14:paraId="052709C4" w14:textId="77777777" w:rsidR="008D378B" w:rsidRPr="00CF49C5" w:rsidRDefault="008D378B" w:rsidP="00C23B88">
      <w:pPr>
        <w:jc w:val="both"/>
        <w:rPr>
          <w:lang w:val="sr-Cyrl-CS"/>
        </w:rPr>
      </w:pPr>
    </w:p>
    <w:p w14:paraId="45AE5129" w14:textId="77777777" w:rsidR="008D378B" w:rsidRPr="00CF49C5" w:rsidRDefault="008D378B" w:rsidP="00C23B88">
      <w:pPr>
        <w:jc w:val="both"/>
        <w:rPr>
          <w:lang w:val="sr-Cyrl-CS"/>
        </w:rPr>
      </w:pPr>
      <w:r w:rsidRPr="00CF49C5">
        <w:rPr>
          <w:lang w:val="sr-Cyrl-CS"/>
        </w:rPr>
        <w:t>7. Да ли је пропис преведен на неки службени језик Европске уније?</w:t>
      </w:r>
    </w:p>
    <w:p w14:paraId="4B6C6B22" w14:textId="77777777" w:rsidR="008D378B" w:rsidRPr="00CF49C5" w:rsidRDefault="008D378B" w:rsidP="00C23B88">
      <w:pPr>
        <w:tabs>
          <w:tab w:val="left" w:pos="1418"/>
        </w:tabs>
        <w:jc w:val="both"/>
        <w:rPr>
          <w:rFonts w:eastAsia="Calibri"/>
          <w:b/>
          <w:lang w:val="sr-Cyrl-CS"/>
        </w:rPr>
      </w:pPr>
      <w:r w:rsidRPr="00CF49C5">
        <w:rPr>
          <w:rFonts w:eastAsia="Calibri"/>
          <w:b/>
          <w:lang w:val="sr-Cyrl-CS"/>
        </w:rPr>
        <w:t>Пропис је преведен на службени језик ЕУ.</w:t>
      </w:r>
    </w:p>
    <w:p w14:paraId="1956DE02" w14:textId="77777777" w:rsidR="008D378B" w:rsidRPr="00CF49C5" w:rsidRDefault="008D378B" w:rsidP="00C23B88">
      <w:pPr>
        <w:jc w:val="both"/>
        <w:rPr>
          <w:lang w:val="sr-Cyrl-CS"/>
        </w:rPr>
      </w:pPr>
    </w:p>
    <w:p w14:paraId="348FA05C" w14:textId="77777777" w:rsidR="008D378B" w:rsidRPr="00CF49C5" w:rsidRDefault="008D378B" w:rsidP="00C23B88">
      <w:pPr>
        <w:jc w:val="both"/>
        <w:rPr>
          <w:lang w:val="sr-Cyrl-CS"/>
        </w:rPr>
      </w:pPr>
    </w:p>
    <w:p w14:paraId="0507B4A7" w14:textId="77777777" w:rsidR="008D378B" w:rsidRPr="00CF49C5" w:rsidRDefault="008D378B" w:rsidP="00C23B88">
      <w:pPr>
        <w:jc w:val="both"/>
        <w:rPr>
          <w:lang w:val="sr-Cyrl-CS"/>
        </w:rPr>
      </w:pPr>
      <w:r w:rsidRPr="00CF49C5">
        <w:rPr>
          <w:lang w:val="sr-Cyrl-CS"/>
        </w:rPr>
        <w:t>8. Сарадња са Европском унијом и учешће консултаната у изради прописа и њихово мишљење о усклађености.</w:t>
      </w:r>
    </w:p>
    <w:p w14:paraId="026FAACE" w14:textId="26A13868" w:rsidR="008D378B" w:rsidRPr="00CF49C5" w:rsidRDefault="008D378B" w:rsidP="00C23B88">
      <w:pPr>
        <w:jc w:val="both"/>
        <w:rPr>
          <w:rFonts w:eastAsia="Calibri"/>
          <w:color w:val="000000"/>
          <w:lang w:val="sr-Cyrl-CS"/>
        </w:rPr>
      </w:pPr>
      <w:r w:rsidRPr="00CF49C5">
        <w:rPr>
          <w:b/>
          <w:lang w:val="sr-Cyrl-CS"/>
        </w:rPr>
        <w:t xml:space="preserve">У поступку припреме наведеног прописа остварена је сарадња са консултантима ангажованим на </w:t>
      </w:r>
      <w:r w:rsidRPr="00CF49C5">
        <w:rPr>
          <w:rFonts w:eastAsia="Calibri"/>
          <w:b/>
          <w:color w:val="000000"/>
          <w:lang w:val="sr-Cyrl-CS"/>
        </w:rPr>
        <w:t>пројект</w:t>
      </w:r>
      <w:r w:rsidR="00C23B88" w:rsidRPr="00CF49C5">
        <w:rPr>
          <w:rFonts w:eastAsia="Calibri"/>
          <w:b/>
          <w:color w:val="000000"/>
          <w:lang w:val="sr-Cyrl-CS"/>
        </w:rPr>
        <w:t>у који ј</w:t>
      </w:r>
      <w:r w:rsidRPr="00CF49C5">
        <w:rPr>
          <w:rFonts w:eastAsia="Calibri"/>
          <w:b/>
          <w:color w:val="000000"/>
          <w:lang w:val="sr-Cyrl-CS"/>
        </w:rPr>
        <w:t xml:space="preserve">е финансиран из ЕУ фондова </w:t>
      </w:r>
      <w:r w:rsidR="006666ED" w:rsidRPr="00CF49C5">
        <w:rPr>
          <w:b/>
          <w:lang w:val="sr-Cyrl-CS"/>
        </w:rPr>
        <w:t>„</w:t>
      </w:r>
      <w:r w:rsidRPr="00CF49C5">
        <w:rPr>
          <w:rFonts w:eastAsia="Calibri"/>
          <w:b/>
          <w:color w:val="000000"/>
          <w:lang w:val="sr-Cyrl-CS"/>
        </w:rPr>
        <w:t>Support for Further Improvement of Public Procurement System in Serbia (13SER01/01/31</w:t>
      </w:r>
      <w:r w:rsidRPr="00CF49C5">
        <w:rPr>
          <w:rFonts w:eastAsia="Calibri"/>
          <w:color w:val="000000"/>
          <w:lang w:val="sr-Cyrl-CS"/>
        </w:rPr>
        <w:t>)</w:t>
      </w:r>
      <w:r w:rsidRPr="00CF49C5">
        <w:rPr>
          <w:rFonts w:eastAsia="Calibri"/>
          <w:b/>
          <w:color w:val="000000"/>
          <w:lang w:val="sr-Cyrl-CS"/>
        </w:rPr>
        <w:t>”</w:t>
      </w:r>
      <w:r w:rsidR="00C23B88" w:rsidRPr="00CF49C5">
        <w:rPr>
          <w:rFonts w:eastAsia="Calibri"/>
          <w:color w:val="000000"/>
          <w:lang w:val="sr-Cyrl-CS"/>
        </w:rPr>
        <w:t xml:space="preserve">. Такође, у поступку припреме </w:t>
      </w:r>
      <w:r w:rsidR="00B132E0" w:rsidRPr="00CF49C5">
        <w:rPr>
          <w:rFonts w:eastAsia="Calibri"/>
          <w:color w:val="000000"/>
          <w:lang w:val="sr-Cyrl-CS"/>
        </w:rPr>
        <w:t xml:space="preserve">овог </w:t>
      </w:r>
      <w:r w:rsidR="00C23B88" w:rsidRPr="00CF49C5">
        <w:rPr>
          <w:rFonts w:eastAsia="Calibri"/>
          <w:color w:val="000000"/>
          <w:lang w:val="sr-Cyrl-CS"/>
        </w:rPr>
        <w:t xml:space="preserve">закона, исти је достављен и Европској комисији на мишљење, те је сходно њиховим коментарима и сугестијама израђен </w:t>
      </w:r>
      <w:r w:rsidR="00332FFA" w:rsidRPr="00CF49C5">
        <w:rPr>
          <w:rFonts w:eastAsia="Calibri"/>
          <w:color w:val="000000"/>
          <w:lang w:val="sr-Cyrl-CS"/>
        </w:rPr>
        <w:t xml:space="preserve">Предлог </w:t>
      </w:r>
      <w:r w:rsidR="00B132E0" w:rsidRPr="00CF49C5">
        <w:rPr>
          <w:rFonts w:eastAsia="Calibri"/>
          <w:color w:val="000000"/>
          <w:lang w:val="sr-Cyrl-CS"/>
        </w:rPr>
        <w:t>закон</w:t>
      </w:r>
      <w:r w:rsidR="00332FFA" w:rsidRPr="00CF49C5">
        <w:rPr>
          <w:rFonts w:eastAsia="Calibri"/>
          <w:color w:val="000000"/>
          <w:lang w:val="sr-Cyrl-CS"/>
        </w:rPr>
        <w:t>а о јавним набавкама</w:t>
      </w:r>
      <w:r w:rsidR="00C23B88" w:rsidRPr="00CF49C5">
        <w:rPr>
          <w:rFonts w:eastAsia="Calibri"/>
          <w:color w:val="000000"/>
          <w:lang w:val="sr-Cyrl-CS"/>
        </w:rPr>
        <w:t>.</w:t>
      </w:r>
    </w:p>
    <w:p w14:paraId="0B851F23" w14:textId="08C7052A" w:rsidR="00C23B88" w:rsidRPr="00CF49C5" w:rsidRDefault="00C23B88" w:rsidP="00C23B88">
      <w:pPr>
        <w:jc w:val="both"/>
        <w:rPr>
          <w:lang w:val="sr-Cyrl-CS"/>
        </w:rPr>
      </w:pPr>
    </w:p>
    <w:p w14:paraId="561DD62D" w14:textId="51AE65D9" w:rsidR="00C23B88" w:rsidRPr="00CF49C5" w:rsidRDefault="00C23B88" w:rsidP="00C23B88">
      <w:pPr>
        <w:jc w:val="both"/>
        <w:rPr>
          <w:lang w:val="sr-Cyrl-CS"/>
        </w:rPr>
      </w:pPr>
    </w:p>
    <w:p w14:paraId="2A860615" w14:textId="77777777" w:rsidR="00C23B88" w:rsidRPr="00CF49C5" w:rsidRDefault="00C23B88" w:rsidP="00C23B88">
      <w:pPr>
        <w:jc w:val="right"/>
        <w:rPr>
          <w:lang w:val="sr-Cyrl-CS"/>
        </w:rPr>
      </w:pPr>
    </w:p>
    <w:p w14:paraId="16D52355" w14:textId="77777777" w:rsidR="00714D53" w:rsidRPr="00CF49C5" w:rsidRDefault="00714D53" w:rsidP="00C23B88">
      <w:pPr>
        <w:jc w:val="right"/>
        <w:rPr>
          <w:lang w:val="sr-Cyrl-CS"/>
        </w:rPr>
      </w:pPr>
    </w:p>
    <w:sectPr w:rsidR="00714D53" w:rsidRPr="00CF49C5" w:rsidSect="00B132E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92D7DE" w14:textId="77777777" w:rsidR="006E1C74" w:rsidRDefault="006E1C74" w:rsidP="00B132E0">
      <w:r>
        <w:separator/>
      </w:r>
    </w:p>
  </w:endnote>
  <w:endnote w:type="continuationSeparator" w:id="0">
    <w:p w14:paraId="1F116042" w14:textId="77777777" w:rsidR="006E1C74" w:rsidRDefault="006E1C74" w:rsidP="00B13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NewRomanPSMT">
    <w:altName w:val="Times New Roman"/>
    <w:charset w:val="8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E8EF5" w14:textId="77777777" w:rsidR="00B132E0" w:rsidRDefault="00B132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3813579"/>
      <w:docPartObj>
        <w:docPartGallery w:val="Page Numbers (Bottom of Page)"/>
        <w:docPartUnique/>
      </w:docPartObj>
    </w:sdtPr>
    <w:sdtEndPr>
      <w:rPr>
        <w:noProof/>
      </w:rPr>
    </w:sdtEndPr>
    <w:sdtContent>
      <w:p w14:paraId="3106D71E" w14:textId="752F968F" w:rsidR="00B132E0" w:rsidRDefault="00B132E0">
        <w:pPr>
          <w:pStyle w:val="Footer"/>
          <w:jc w:val="right"/>
        </w:pPr>
        <w:r>
          <w:fldChar w:fldCharType="begin"/>
        </w:r>
        <w:r>
          <w:instrText xml:space="preserve"> PAGE   \* MERGEFORMAT </w:instrText>
        </w:r>
        <w:r>
          <w:fldChar w:fldCharType="separate"/>
        </w:r>
        <w:r w:rsidR="00BB4133">
          <w:rPr>
            <w:noProof/>
          </w:rPr>
          <w:t>3</w:t>
        </w:r>
        <w:r>
          <w:rPr>
            <w:noProof/>
          </w:rPr>
          <w:fldChar w:fldCharType="end"/>
        </w:r>
      </w:p>
    </w:sdtContent>
  </w:sdt>
  <w:p w14:paraId="628947E6" w14:textId="77777777" w:rsidR="00B132E0" w:rsidRDefault="00B132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0270D" w14:textId="77777777" w:rsidR="00B132E0" w:rsidRDefault="00B132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3F5B48" w14:textId="77777777" w:rsidR="006E1C74" w:rsidRDefault="006E1C74" w:rsidP="00B132E0">
      <w:r>
        <w:separator/>
      </w:r>
    </w:p>
  </w:footnote>
  <w:footnote w:type="continuationSeparator" w:id="0">
    <w:p w14:paraId="241684BB" w14:textId="77777777" w:rsidR="006E1C74" w:rsidRDefault="006E1C74" w:rsidP="00B132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39A13" w14:textId="77777777" w:rsidR="00B132E0" w:rsidRDefault="00B132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3147E" w14:textId="77777777" w:rsidR="00B132E0" w:rsidRDefault="00B132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3BCDF" w14:textId="77777777" w:rsidR="00B132E0" w:rsidRDefault="00B132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D4066"/>
    <w:multiLevelType w:val="hybridMultilevel"/>
    <w:tmpl w:val="7BF0259E"/>
    <w:lvl w:ilvl="0" w:tplc="AB207E7A">
      <w:start w:val="1"/>
      <w:numFmt w:val="decimal"/>
      <w:lvlText w:val="%1."/>
      <w:lvlJc w:val="left"/>
      <w:pPr>
        <w:ind w:left="644"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78B"/>
    <w:rsid w:val="0003607D"/>
    <w:rsid w:val="000B652B"/>
    <w:rsid w:val="000C3F4F"/>
    <w:rsid w:val="00332FFA"/>
    <w:rsid w:val="003C7659"/>
    <w:rsid w:val="00410B56"/>
    <w:rsid w:val="00514D90"/>
    <w:rsid w:val="006558C3"/>
    <w:rsid w:val="006666ED"/>
    <w:rsid w:val="006A0ADA"/>
    <w:rsid w:val="006E1C74"/>
    <w:rsid w:val="00714D53"/>
    <w:rsid w:val="0089073F"/>
    <w:rsid w:val="008D378B"/>
    <w:rsid w:val="009500D2"/>
    <w:rsid w:val="00A01138"/>
    <w:rsid w:val="00B132E0"/>
    <w:rsid w:val="00BB4133"/>
    <w:rsid w:val="00BD718B"/>
    <w:rsid w:val="00C23B88"/>
    <w:rsid w:val="00CF49C5"/>
    <w:rsid w:val="00D4267A"/>
    <w:rsid w:val="00D64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A8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78B"/>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8D378B"/>
    <w:pPr>
      <w:spacing w:line="240" w:lineRule="atLeast"/>
      <w:jc w:val="both"/>
    </w:pPr>
    <w:rPr>
      <w:szCs w:val="20"/>
      <w:lang w:val="hu-HU"/>
    </w:rPr>
  </w:style>
  <w:style w:type="character" w:customStyle="1" w:styleId="FootnoteTextChar">
    <w:name w:val="Footnote Text Char"/>
    <w:basedOn w:val="DefaultParagraphFont"/>
    <w:link w:val="FootnoteText"/>
    <w:semiHidden/>
    <w:rsid w:val="008D378B"/>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8D37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378B"/>
    <w:rPr>
      <w:rFonts w:ascii="Segoe UI" w:eastAsia="Times New Roman" w:hAnsi="Segoe UI" w:cs="Segoe UI"/>
      <w:sz w:val="18"/>
      <w:szCs w:val="18"/>
      <w:lang w:val="hr-HR" w:eastAsia="hr-HR"/>
    </w:rPr>
  </w:style>
  <w:style w:type="character" w:styleId="CommentReference">
    <w:name w:val="annotation reference"/>
    <w:basedOn w:val="DefaultParagraphFont"/>
    <w:uiPriority w:val="99"/>
    <w:semiHidden/>
    <w:unhideWhenUsed/>
    <w:rsid w:val="009500D2"/>
    <w:rPr>
      <w:sz w:val="16"/>
      <w:szCs w:val="16"/>
    </w:rPr>
  </w:style>
  <w:style w:type="paragraph" w:styleId="CommentText">
    <w:name w:val="annotation text"/>
    <w:basedOn w:val="Normal"/>
    <w:link w:val="CommentTextChar"/>
    <w:uiPriority w:val="99"/>
    <w:semiHidden/>
    <w:unhideWhenUsed/>
    <w:rsid w:val="009500D2"/>
    <w:rPr>
      <w:sz w:val="20"/>
      <w:szCs w:val="20"/>
    </w:rPr>
  </w:style>
  <w:style w:type="character" w:customStyle="1" w:styleId="CommentTextChar">
    <w:name w:val="Comment Text Char"/>
    <w:basedOn w:val="DefaultParagraphFont"/>
    <w:link w:val="CommentText"/>
    <w:uiPriority w:val="99"/>
    <w:semiHidden/>
    <w:rsid w:val="009500D2"/>
    <w:rPr>
      <w:rFonts w:ascii="Times New Roman" w:eastAsia="Times New Roman" w:hAnsi="Times New Roman" w:cs="Times New Roman"/>
      <w:sz w:val="20"/>
      <w:szCs w:val="20"/>
      <w:lang w:val="hr-HR" w:eastAsia="hr-HR"/>
    </w:rPr>
  </w:style>
  <w:style w:type="paragraph" w:styleId="CommentSubject">
    <w:name w:val="annotation subject"/>
    <w:basedOn w:val="CommentText"/>
    <w:next w:val="CommentText"/>
    <w:link w:val="CommentSubjectChar"/>
    <w:uiPriority w:val="99"/>
    <w:semiHidden/>
    <w:unhideWhenUsed/>
    <w:rsid w:val="009500D2"/>
    <w:rPr>
      <w:b/>
      <w:bCs/>
    </w:rPr>
  </w:style>
  <w:style w:type="character" w:customStyle="1" w:styleId="CommentSubjectChar">
    <w:name w:val="Comment Subject Char"/>
    <w:basedOn w:val="CommentTextChar"/>
    <w:link w:val="CommentSubject"/>
    <w:uiPriority w:val="99"/>
    <w:semiHidden/>
    <w:rsid w:val="009500D2"/>
    <w:rPr>
      <w:rFonts w:ascii="Times New Roman" w:eastAsia="Times New Roman" w:hAnsi="Times New Roman" w:cs="Times New Roman"/>
      <w:b/>
      <w:bCs/>
      <w:sz w:val="20"/>
      <w:szCs w:val="20"/>
      <w:lang w:val="hr-HR" w:eastAsia="hr-HR"/>
    </w:rPr>
  </w:style>
  <w:style w:type="paragraph" w:styleId="Header">
    <w:name w:val="header"/>
    <w:basedOn w:val="Normal"/>
    <w:link w:val="HeaderChar"/>
    <w:uiPriority w:val="99"/>
    <w:unhideWhenUsed/>
    <w:rsid w:val="00B132E0"/>
    <w:pPr>
      <w:tabs>
        <w:tab w:val="center" w:pos="4680"/>
        <w:tab w:val="right" w:pos="9360"/>
      </w:tabs>
    </w:pPr>
  </w:style>
  <w:style w:type="character" w:customStyle="1" w:styleId="HeaderChar">
    <w:name w:val="Header Char"/>
    <w:basedOn w:val="DefaultParagraphFont"/>
    <w:link w:val="Header"/>
    <w:uiPriority w:val="99"/>
    <w:rsid w:val="00B132E0"/>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B132E0"/>
    <w:pPr>
      <w:tabs>
        <w:tab w:val="center" w:pos="4680"/>
        <w:tab w:val="right" w:pos="9360"/>
      </w:tabs>
    </w:pPr>
  </w:style>
  <w:style w:type="character" w:customStyle="1" w:styleId="FooterChar">
    <w:name w:val="Footer Char"/>
    <w:basedOn w:val="DefaultParagraphFont"/>
    <w:link w:val="Footer"/>
    <w:uiPriority w:val="99"/>
    <w:rsid w:val="00B132E0"/>
    <w:rPr>
      <w:rFonts w:ascii="Times New Roman" w:eastAsia="Times New Roman" w:hAnsi="Times New Roman" w:cs="Times New Roman"/>
      <w:sz w:val="24"/>
      <w:szCs w:val="24"/>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78B"/>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8D378B"/>
    <w:pPr>
      <w:spacing w:line="240" w:lineRule="atLeast"/>
      <w:jc w:val="both"/>
    </w:pPr>
    <w:rPr>
      <w:szCs w:val="20"/>
      <w:lang w:val="hu-HU"/>
    </w:rPr>
  </w:style>
  <w:style w:type="character" w:customStyle="1" w:styleId="FootnoteTextChar">
    <w:name w:val="Footnote Text Char"/>
    <w:basedOn w:val="DefaultParagraphFont"/>
    <w:link w:val="FootnoteText"/>
    <w:semiHidden/>
    <w:rsid w:val="008D378B"/>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8D37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378B"/>
    <w:rPr>
      <w:rFonts w:ascii="Segoe UI" w:eastAsia="Times New Roman" w:hAnsi="Segoe UI" w:cs="Segoe UI"/>
      <w:sz w:val="18"/>
      <w:szCs w:val="18"/>
      <w:lang w:val="hr-HR" w:eastAsia="hr-HR"/>
    </w:rPr>
  </w:style>
  <w:style w:type="character" w:styleId="CommentReference">
    <w:name w:val="annotation reference"/>
    <w:basedOn w:val="DefaultParagraphFont"/>
    <w:uiPriority w:val="99"/>
    <w:semiHidden/>
    <w:unhideWhenUsed/>
    <w:rsid w:val="009500D2"/>
    <w:rPr>
      <w:sz w:val="16"/>
      <w:szCs w:val="16"/>
    </w:rPr>
  </w:style>
  <w:style w:type="paragraph" w:styleId="CommentText">
    <w:name w:val="annotation text"/>
    <w:basedOn w:val="Normal"/>
    <w:link w:val="CommentTextChar"/>
    <w:uiPriority w:val="99"/>
    <w:semiHidden/>
    <w:unhideWhenUsed/>
    <w:rsid w:val="009500D2"/>
    <w:rPr>
      <w:sz w:val="20"/>
      <w:szCs w:val="20"/>
    </w:rPr>
  </w:style>
  <w:style w:type="character" w:customStyle="1" w:styleId="CommentTextChar">
    <w:name w:val="Comment Text Char"/>
    <w:basedOn w:val="DefaultParagraphFont"/>
    <w:link w:val="CommentText"/>
    <w:uiPriority w:val="99"/>
    <w:semiHidden/>
    <w:rsid w:val="009500D2"/>
    <w:rPr>
      <w:rFonts w:ascii="Times New Roman" w:eastAsia="Times New Roman" w:hAnsi="Times New Roman" w:cs="Times New Roman"/>
      <w:sz w:val="20"/>
      <w:szCs w:val="20"/>
      <w:lang w:val="hr-HR" w:eastAsia="hr-HR"/>
    </w:rPr>
  </w:style>
  <w:style w:type="paragraph" w:styleId="CommentSubject">
    <w:name w:val="annotation subject"/>
    <w:basedOn w:val="CommentText"/>
    <w:next w:val="CommentText"/>
    <w:link w:val="CommentSubjectChar"/>
    <w:uiPriority w:val="99"/>
    <w:semiHidden/>
    <w:unhideWhenUsed/>
    <w:rsid w:val="009500D2"/>
    <w:rPr>
      <w:b/>
      <w:bCs/>
    </w:rPr>
  </w:style>
  <w:style w:type="character" w:customStyle="1" w:styleId="CommentSubjectChar">
    <w:name w:val="Comment Subject Char"/>
    <w:basedOn w:val="CommentTextChar"/>
    <w:link w:val="CommentSubject"/>
    <w:uiPriority w:val="99"/>
    <w:semiHidden/>
    <w:rsid w:val="009500D2"/>
    <w:rPr>
      <w:rFonts w:ascii="Times New Roman" w:eastAsia="Times New Roman" w:hAnsi="Times New Roman" w:cs="Times New Roman"/>
      <w:b/>
      <w:bCs/>
      <w:sz w:val="20"/>
      <w:szCs w:val="20"/>
      <w:lang w:val="hr-HR" w:eastAsia="hr-HR"/>
    </w:rPr>
  </w:style>
  <w:style w:type="paragraph" w:styleId="Header">
    <w:name w:val="header"/>
    <w:basedOn w:val="Normal"/>
    <w:link w:val="HeaderChar"/>
    <w:uiPriority w:val="99"/>
    <w:unhideWhenUsed/>
    <w:rsid w:val="00B132E0"/>
    <w:pPr>
      <w:tabs>
        <w:tab w:val="center" w:pos="4680"/>
        <w:tab w:val="right" w:pos="9360"/>
      </w:tabs>
    </w:pPr>
  </w:style>
  <w:style w:type="character" w:customStyle="1" w:styleId="HeaderChar">
    <w:name w:val="Header Char"/>
    <w:basedOn w:val="DefaultParagraphFont"/>
    <w:link w:val="Header"/>
    <w:uiPriority w:val="99"/>
    <w:rsid w:val="00B132E0"/>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B132E0"/>
    <w:pPr>
      <w:tabs>
        <w:tab w:val="center" w:pos="4680"/>
        <w:tab w:val="right" w:pos="9360"/>
      </w:tabs>
    </w:pPr>
  </w:style>
  <w:style w:type="character" w:customStyle="1" w:styleId="FooterChar">
    <w:name w:val="Footer Char"/>
    <w:basedOn w:val="DefaultParagraphFont"/>
    <w:link w:val="Footer"/>
    <w:uiPriority w:val="99"/>
    <w:rsid w:val="00B132E0"/>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CELEX:32002R2195:EN:NOT"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1000</Words>
  <Characters>5701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Strahinja Vujicic</cp:lastModifiedBy>
  <cp:revision>12</cp:revision>
  <cp:lastPrinted>2019-09-12T10:24:00Z</cp:lastPrinted>
  <dcterms:created xsi:type="dcterms:W3CDTF">2019-09-12T11:10:00Z</dcterms:created>
  <dcterms:modified xsi:type="dcterms:W3CDTF">2019-09-24T12:19:00Z</dcterms:modified>
</cp:coreProperties>
</file>