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728" w:rsidRPr="009C3A32" w:rsidRDefault="00060728" w:rsidP="009C3A32">
      <w:pPr>
        <w:shd w:val="clear" w:color="auto" w:fill="FFFFFF"/>
        <w:suppressAutoHyphens/>
        <w:jc w:val="center"/>
        <w:rPr>
          <w:rFonts w:ascii="Times New Roman" w:eastAsia="Times New Roman" w:hAnsi="Times New Roman" w:cs="Times New Roman"/>
          <w:b/>
          <w:bCs/>
          <w:kern w:val="20"/>
          <w:sz w:val="24"/>
          <w:szCs w:val="24"/>
          <w:lang w:val="sr-Latn-CS"/>
        </w:rPr>
      </w:pPr>
      <w:r w:rsidRPr="009C3A32">
        <w:rPr>
          <w:rFonts w:ascii="Times New Roman" w:eastAsia="Times New Roman" w:hAnsi="Times New Roman" w:cs="Times New Roman"/>
          <w:b/>
          <w:bCs/>
          <w:kern w:val="20"/>
          <w:sz w:val="24"/>
          <w:szCs w:val="24"/>
          <w:lang w:val="sr-Latn-CS"/>
        </w:rPr>
        <w:t>ИЗЈАВ</w:t>
      </w:r>
      <w:r w:rsidR="0045135C">
        <w:rPr>
          <w:rFonts w:ascii="Times New Roman" w:eastAsia="Times New Roman" w:hAnsi="Times New Roman" w:cs="Times New Roman"/>
          <w:b/>
          <w:bCs/>
          <w:kern w:val="20"/>
          <w:sz w:val="24"/>
          <w:szCs w:val="24"/>
          <w:lang w:val="sr-Latn-CS"/>
        </w:rPr>
        <w:t>A</w:t>
      </w:r>
      <w:bookmarkStart w:id="0" w:name="_GoBack"/>
      <w:bookmarkEnd w:id="0"/>
      <w:r w:rsidRPr="009C3A32">
        <w:rPr>
          <w:rFonts w:ascii="Times New Roman" w:eastAsia="Times New Roman" w:hAnsi="Times New Roman" w:cs="Times New Roman"/>
          <w:b/>
          <w:bCs/>
          <w:kern w:val="20"/>
          <w:sz w:val="24"/>
          <w:szCs w:val="24"/>
          <w:lang w:val="sr-Latn-CS"/>
        </w:rPr>
        <w:t xml:space="preserve"> О УСКЛАЂЕНОСТИ ПРОПИСА СА ПРОПИСИМА ЕВРОПСКЕ УНИЈЕ</w:t>
      </w: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eastAsia="Times New Roman" w:hAnsi="Times New Roman" w:cs="Times New Roman"/>
          <w:b/>
          <w:bCs/>
          <w:kern w:val="20"/>
          <w:sz w:val="24"/>
          <w:szCs w:val="24"/>
          <w:lang w:val="sr-Cyrl-CS"/>
        </w:rPr>
      </w:pPr>
      <w:r w:rsidRPr="009C3A32">
        <w:rPr>
          <w:rFonts w:ascii="Times New Roman" w:eastAsia="Times New Roman" w:hAnsi="Times New Roman" w:cs="Times New Roman"/>
          <w:b/>
          <w:bCs/>
          <w:kern w:val="20"/>
          <w:sz w:val="24"/>
          <w:szCs w:val="24"/>
          <w:lang w:val="sr-Latn-CS"/>
        </w:rPr>
        <w:t xml:space="preserve"> </w:t>
      </w: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t xml:space="preserve">1. Орган државне управе, односно други овлашћени предлагач прописа </w:t>
      </w:r>
    </w:p>
    <w:p w:rsidR="00060728" w:rsidRPr="009C3A32" w:rsidRDefault="00060728" w:rsidP="00060728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Предлагач: ВЛАДА</w:t>
      </w:r>
    </w:p>
    <w:p w:rsidR="00060728" w:rsidRPr="009C3A32" w:rsidRDefault="00060728" w:rsidP="00060728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Обрађивач: МИНИСТАРСТВО ФИНАНСИЈА</w:t>
      </w: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sz w:val="24"/>
          <w:szCs w:val="24"/>
          <w:lang w:val="sr-Cyrl-CS"/>
        </w:rPr>
      </w:pP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t xml:space="preserve">2. Назив прописа </w:t>
      </w:r>
    </w:p>
    <w:p w:rsidR="00A2266A" w:rsidRDefault="00A2266A" w:rsidP="00060728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CS"/>
        </w:rPr>
      </w:pPr>
      <w:r>
        <w:rPr>
          <w:rFonts w:ascii="Times New Roman" w:hAnsi="Times New Roman" w:cs="Times New Roman"/>
          <w:kern w:val="2"/>
          <w:sz w:val="24"/>
          <w:szCs w:val="24"/>
          <w:lang w:val="sr-Cyrl-CS"/>
        </w:rPr>
        <w:t>Предлог</w:t>
      </w:r>
      <w:r w:rsidR="00060728"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 xml:space="preserve"> закона о </w:t>
      </w:r>
      <w:r w:rsidR="00C42CED"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отвореним инвестиционим фондовима са јавном понудом</w:t>
      </w:r>
    </w:p>
    <w:p w:rsidR="00060728" w:rsidRPr="009C3A32" w:rsidRDefault="00627E0C" w:rsidP="00060728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Latn-CS"/>
        </w:rPr>
      </w:pP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Draft Law on O</w:t>
      </w:r>
      <w:r w:rsidR="00870401"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pen</w:t>
      </w:r>
      <w:r w:rsidR="00870401" w:rsidRPr="009C3A32">
        <w:rPr>
          <w:rFonts w:ascii="Times New Roman" w:hAnsi="Times New Roman" w:cs="Times New Roman"/>
          <w:kern w:val="2"/>
          <w:sz w:val="24"/>
          <w:szCs w:val="24"/>
          <w:lang w:val="sr-Latn-CS"/>
        </w:rPr>
        <w:t>-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Ended I</w:t>
      </w:r>
      <w:r w:rsidR="00870401"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nv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estment Funds with</w:t>
      </w:r>
      <w:r w:rsidR="00190A67" w:rsidRPr="009C3A32">
        <w:rPr>
          <w:rFonts w:ascii="Times New Roman" w:hAnsi="Times New Roman" w:cs="Times New Roman"/>
          <w:kern w:val="2"/>
          <w:sz w:val="24"/>
          <w:szCs w:val="24"/>
          <w:lang w:val="sr-Latn-CS"/>
        </w:rPr>
        <w:t xml:space="preserve"> a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 xml:space="preserve"> Public O</w:t>
      </w:r>
      <w:r w:rsidR="00870401"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ffering</w:t>
      </w: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sz w:val="24"/>
          <w:szCs w:val="24"/>
          <w:lang w:val="sr-Latn-CS"/>
        </w:rPr>
      </w:pP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t xml:space="preserve"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споразум): </w:t>
      </w: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t xml:space="preserve">а) Одредба Споразума и Прелазног споразума које се односе на нормативну саржину прописа, </w:t>
      </w:r>
    </w:p>
    <w:p w:rsidR="00060728" w:rsidRPr="009C3A32" w:rsidRDefault="00060728" w:rsidP="00060728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Latn-CS"/>
        </w:rPr>
      </w:pP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Споразум о стабилизацији и придруживању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Latn-CS"/>
        </w:rPr>
        <w:t>,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 xml:space="preserve"> Поглавље 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Latn-CS"/>
        </w:rPr>
        <w:t>III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Cyrl-RS"/>
        </w:rPr>
        <w:t xml:space="preserve"> -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Latn-CS"/>
        </w:rPr>
        <w:t xml:space="preserve"> 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 xml:space="preserve">Пружање услуга и Наслов 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Latn-CS"/>
        </w:rPr>
        <w:t>VI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Latn-RS"/>
        </w:rPr>
        <w:t>II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Cyrl-RS"/>
        </w:rPr>
        <w:t xml:space="preserve"> 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Latn-RS"/>
        </w:rPr>
        <w:t>-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Cyrl-RS"/>
        </w:rPr>
        <w:t xml:space="preserve"> Политике сарадње,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Latn-CS"/>
        </w:rPr>
        <w:t xml:space="preserve"> 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члан 91. Банкарство, осигурање и финансијске услуге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Latn-CS"/>
        </w:rPr>
        <w:t>.</w:t>
      </w: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t xml:space="preserve">б) Прелазни рок за усклађивање законодавства према одредбама Споразума и Прелазног споразума, </w:t>
      </w:r>
    </w:p>
    <w:p w:rsidR="00060728" w:rsidRPr="009C3A32" w:rsidRDefault="00060728" w:rsidP="00060728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Општи рок за усклађивање законодавства према члану 72. Споразума.</w:t>
      </w: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sz w:val="24"/>
          <w:szCs w:val="24"/>
          <w:lang w:val="sr-Cyrl-CS"/>
        </w:rPr>
      </w:pP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t xml:space="preserve">в) Оцена испуњености обавезе које произлазе из наведене одредбе Споразума и Прелазног споразума, </w:t>
      </w:r>
    </w:p>
    <w:p w:rsidR="00060728" w:rsidRPr="009C3A32" w:rsidRDefault="00060728" w:rsidP="00060728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Делимично испуњена</w:t>
      </w:r>
      <w:r w:rsidRPr="009C3A32">
        <w:rPr>
          <w:rFonts w:ascii="Times New Roman" w:hAnsi="Times New Roman" w:cs="Times New Roman"/>
          <w:kern w:val="2"/>
          <w:sz w:val="24"/>
          <w:szCs w:val="24"/>
        </w:rPr>
        <w:t>.</w:t>
      </w: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sz w:val="24"/>
          <w:szCs w:val="24"/>
          <w:lang w:val="sr-Cyrl-CS"/>
        </w:rPr>
      </w:pP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t xml:space="preserve">г) Разлози за делимично испуњавање, односно неиспуњавање обавеза које произлазе из наведене одредбе Споразума и Прелазног споразума, </w:t>
      </w:r>
    </w:p>
    <w:p w:rsidR="00060728" w:rsidRPr="009C3A32" w:rsidRDefault="00060728" w:rsidP="0006072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sz w:val="24"/>
          <w:szCs w:val="24"/>
          <w:lang w:val="sr-Cyrl-CS"/>
        </w:rPr>
        <w:t>Потпуно усклађивање ће бити извршено у року предвиђен чланом 8. ССП-а.</w:t>
      </w: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sz w:val="24"/>
          <w:szCs w:val="24"/>
          <w:lang w:val="sr-Cyrl-CS"/>
        </w:rPr>
      </w:pP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t>д) Веза са Националним програмом за усвајање правних тековина Европске уније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 xml:space="preserve">. </w:t>
      </w:r>
    </w:p>
    <w:p w:rsidR="00060728" w:rsidRPr="009C3A32" w:rsidRDefault="00060728" w:rsidP="00060728">
      <w:pPr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9C3A32">
        <w:rPr>
          <w:rFonts w:ascii="Times New Roman" w:hAnsi="Times New Roman" w:cs="Times New Roman"/>
          <w:kern w:val="2"/>
          <w:sz w:val="24"/>
          <w:szCs w:val="24"/>
          <w:lang w:val="sr-Cyrl-RS"/>
        </w:rPr>
        <w:t>3.9.4. Тржиште хартија од вредности и инвестиционе услуге</w:t>
      </w:r>
      <w:r w:rsidRPr="009C3A32">
        <w:rPr>
          <w:rFonts w:ascii="Times New Roman" w:hAnsi="Times New Roman" w:cs="Times New Roman"/>
          <w:kern w:val="2"/>
          <w:sz w:val="24"/>
          <w:szCs w:val="24"/>
        </w:rPr>
        <w:t>.</w:t>
      </w:r>
    </w:p>
    <w:p w:rsidR="00060728" w:rsidRPr="009C3A32" w:rsidRDefault="00060728" w:rsidP="00060728">
      <w:pPr>
        <w:suppressAutoHyphens/>
        <w:jc w:val="both"/>
        <w:rPr>
          <w:rFonts w:ascii="Times New Roman" w:hAnsi="Times New Roman" w:cs="Times New Roman"/>
          <w:kern w:val="2"/>
          <w:sz w:val="24"/>
          <w:szCs w:val="24"/>
          <w:lang w:val="sr-Cyrl-CS"/>
        </w:rPr>
      </w:pP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t xml:space="preserve">4. Усклађеност прописа са прописима Европске уније: </w:t>
      </w: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t xml:space="preserve">а) Навођење одредби примарних извора права Европске уније и оцене усклађености са њима, </w:t>
      </w:r>
    </w:p>
    <w:p w:rsidR="00060728" w:rsidRPr="009C3A32" w:rsidRDefault="00060728" w:rsidP="00060728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sz w:val="24"/>
          <w:szCs w:val="24"/>
          <w:lang w:val="sr-Cyrl-CS"/>
        </w:rPr>
        <w:t xml:space="preserve">Уговор о функционисању Европске уније, Део трећи, Наслов </w:t>
      </w:r>
      <w:r w:rsidRPr="009C3A32">
        <w:rPr>
          <w:rFonts w:ascii="Times New Roman" w:hAnsi="Times New Roman" w:cs="Times New Roman"/>
          <w:sz w:val="24"/>
          <w:szCs w:val="24"/>
        </w:rPr>
        <w:t>IV</w:t>
      </w:r>
      <w:r w:rsidRPr="009C3A32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9C3A32">
        <w:rPr>
          <w:rFonts w:ascii="Times New Roman" w:hAnsi="Times New Roman" w:cs="Times New Roman"/>
          <w:sz w:val="24"/>
          <w:szCs w:val="24"/>
          <w:lang w:val="sr-Cyrl-CS"/>
        </w:rPr>
        <w:t>Слободно кретање лица, услуга и капитала.</w:t>
      </w: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t xml:space="preserve">б) Навођење секундарних извора права Европске уније и оцене усклађености са њима, </w:t>
      </w:r>
    </w:p>
    <w:p w:rsidR="00060728" w:rsidRPr="009C3A32" w:rsidRDefault="00AE6EFF" w:rsidP="00060728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lastRenderedPageBreak/>
        <w:t>Directive 2009/65/EC of the European Parliament and of the Council of 13 July 2009 on the coordination of laws, regulations and administrative provisions relating to undertakings for collective investment in transferable securities</w:t>
      </w:r>
      <w:r w:rsidR="00060728"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.</w:t>
      </w:r>
    </w:p>
    <w:p w:rsidR="00060728" w:rsidRPr="009C3A32" w:rsidRDefault="00060728" w:rsidP="00060728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(</w:t>
      </w:r>
      <w:r w:rsidR="002C2E3A" w:rsidRPr="009C3A32">
        <w:rPr>
          <w:rFonts w:ascii="Times New Roman" w:hAnsi="Times New Roman" w:cs="Times New Roman"/>
          <w:sz w:val="24"/>
          <w:szCs w:val="24"/>
          <w:lang w:val="sr-Cyrl-CS"/>
        </w:rPr>
        <w:t>Директива 2009/65/EЗ Европског парламента и Савета од 13. јула 2009. године о координацији закона, прописа и административних одредби које се односе на подухвате везане за колективне инвестиције у преносиве хартије од вредности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)</w:t>
      </w:r>
      <w:r w:rsidRPr="009C3A32">
        <w:rPr>
          <w:rFonts w:ascii="Times New Roman" w:hAnsi="Times New Roman" w:cs="Times New Roman"/>
          <w:kern w:val="2"/>
          <w:sz w:val="24"/>
          <w:szCs w:val="24"/>
        </w:rPr>
        <w:t>.</w:t>
      </w:r>
    </w:p>
    <w:p w:rsidR="00AE6EFF" w:rsidRPr="009C3A32" w:rsidRDefault="00AE6EFF" w:rsidP="00060728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9C3A32">
        <w:rPr>
          <w:rFonts w:ascii="Times New Roman" w:hAnsi="Times New Roman" w:cs="Times New Roman"/>
          <w:sz w:val="24"/>
          <w:szCs w:val="24"/>
          <w:lang w:val="en-GB"/>
        </w:rPr>
        <w:t>Directive 2014/91/ЕU of the European Parliament and of the Council of 23 July 2014 amending Directive 2009/65/EC of the European Parliament and of the Council of 13 July 2009 on the coordination of laws, regulations and administrative provisions relating to undertakings for collective investment in transferable securities</w:t>
      </w:r>
      <w:r w:rsidR="00D20034" w:rsidRPr="009C3A32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2C2E3A" w:rsidRPr="009C3A32" w:rsidRDefault="002C2E3A" w:rsidP="00060728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sz w:val="24"/>
          <w:szCs w:val="24"/>
          <w:lang w:val="sr-Cyrl-CS"/>
        </w:rPr>
        <w:t>(Директива 2014/91/ЕУ Европског парламента и Савета</w:t>
      </w:r>
      <w:r w:rsidRPr="009C3A3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/>
        </w:rPr>
        <w:t xml:space="preserve"> од 23. јула 2014. којом се мења и допуњава </w:t>
      </w:r>
      <w:r w:rsidRPr="009C3A32">
        <w:rPr>
          <w:rFonts w:ascii="Times New Roman" w:hAnsi="Times New Roman" w:cs="Times New Roman"/>
          <w:sz w:val="24"/>
          <w:szCs w:val="24"/>
          <w:lang w:val="sr-Cyrl-CS"/>
        </w:rPr>
        <w:t>Директива 2009/65/EЗ Европског парламента и Савета од 13. јула 2009. године о координацији закона, прописа и административних одредби које се односе на подухвате везане за колективне инвестиције у преносиве хартије од вредности).</w:t>
      </w:r>
    </w:p>
    <w:p w:rsidR="00E05C53" w:rsidRPr="009C3A32" w:rsidRDefault="00E556A7" w:rsidP="00060728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sz w:val="24"/>
          <w:szCs w:val="24"/>
          <w:lang w:val="sr-Cyrl-CS"/>
        </w:rPr>
        <w:t>Directive 2013/14/EU of the European Parliament and of the Council of 21 May 2013 amending Directive 2003/41/EC on the activities and supervision of institutions for occupational retirement provision, Directive 2009/65/EC on the coordination of laws, regulations and administrative provisions relating to undertakings for collective investment in transferable securities (UCITS) and Directive 2011/61/EU on Alternative Investment Funds Managers in respect of over-reliance on credit ratings.</w:t>
      </w:r>
    </w:p>
    <w:p w:rsidR="00E05C53" w:rsidRPr="009C3A32" w:rsidRDefault="00E05C53" w:rsidP="00060728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(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Директивa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2013/14/EУ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Европског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парламента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и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Савета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,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од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21. </w:t>
      </w:r>
      <w:proofErr w:type="spellStart"/>
      <w:proofErr w:type="gramStart"/>
      <w:r w:rsidRPr="009C3A32">
        <w:rPr>
          <w:rFonts w:ascii="Times New Roman" w:hAnsi="Times New Roman" w:cs="Times New Roman"/>
          <w:kern w:val="2"/>
          <w:sz w:val="24"/>
          <w:szCs w:val="24"/>
        </w:rPr>
        <w:t>маја</w:t>
      </w:r>
      <w:proofErr w:type="spellEnd"/>
      <w:proofErr w:type="gram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2013.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године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o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измeни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Дирeктивe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2003/41/EЗ о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делатностима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и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надзору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институција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за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струковно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пензијско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осигурање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,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Дирeктивe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2009/65/EЗ о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координацији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закона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,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прописа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и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административних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одредби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које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се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односе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на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подухвате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везане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за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колективне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инвестиције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у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преносиве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хартије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од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вредности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(UCITS) и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Дирeктивe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2011/61/EУ о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друштвима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за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управљање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алтернативним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инвестиционим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фондовима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у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односу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на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превелико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ослањање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на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кредитне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9C3A32">
        <w:rPr>
          <w:rFonts w:ascii="Times New Roman" w:hAnsi="Times New Roman" w:cs="Times New Roman"/>
          <w:kern w:val="2"/>
          <w:sz w:val="24"/>
          <w:szCs w:val="24"/>
        </w:rPr>
        <w:t>рејтинге</w:t>
      </w:r>
      <w:proofErr w:type="spellEnd"/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).</w:t>
      </w:r>
    </w:p>
    <w:p w:rsidR="00060728" w:rsidRPr="009C3A32" w:rsidRDefault="00060728" w:rsidP="00060728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CS"/>
        </w:rPr>
      </w:pPr>
      <w:proofErr w:type="gramStart"/>
      <w:r w:rsidRPr="009C3A32">
        <w:rPr>
          <w:rFonts w:ascii="Times New Roman" w:hAnsi="Times New Roman" w:cs="Times New Roman"/>
          <w:kern w:val="2"/>
          <w:sz w:val="24"/>
          <w:szCs w:val="24"/>
        </w:rPr>
        <w:t>-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делимично усклађен</w:t>
      </w:r>
      <w:r w:rsidRPr="009C3A32">
        <w:rPr>
          <w:rFonts w:ascii="Times New Roman" w:hAnsi="Times New Roman" w:cs="Times New Roman"/>
          <w:kern w:val="2"/>
          <w:sz w:val="24"/>
          <w:szCs w:val="24"/>
        </w:rPr>
        <w:t>.</w:t>
      </w:r>
      <w:proofErr w:type="gramEnd"/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 xml:space="preserve"> </w:t>
      </w: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t xml:space="preserve">в) Навођење осталих извора права Европске уније и усклађеност са њима, </w:t>
      </w:r>
    </w:p>
    <w:p w:rsidR="00060728" w:rsidRPr="009C3A32" w:rsidRDefault="00060728" w:rsidP="00060728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Нема</w:t>
      </w:r>
      <w:r w:rsidRPr="009C3A32">
        <w:rPr>
          <w:rFonts w:ascii="Times New Roman" w:hAnsi="Times New Roman" w:cs="Times New Roman"/>
          <w:kern w:val="2"/>
          <w:sz w:val="24"/>
          <w:szCs w:val="24"/>
        </w:rPr>
        <w:t>.</w:t>
      </w: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sz w:val="24"/>
          <w:szCs w:val="24"/>
          <w:lang w:val="sr-Latn-RS"/>
        </w:rPr>
      </w:pP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t>г) Разлози за делимичну усклађеност, односно неусклађеност,</w:t>
      </w:r>
    </w:p>
    <w:p w:rsidR="00060728" w:rsidRPr="009C3A32" w:rsidRDefault="00060728" w:rsidP="00193210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 xml:space="preserve">Предлог је </w:t>
      </w:r>
      <w:r w:rsidR="00193210"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у великој мери потпуно усклађен. О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дредбе које нису у потпуности усклађене (видети табелу усклађености), делимично су усклађене из разлога специфичности националног тржишта и његовог тренутн</w:t>
      </w:r>
      <w:r w:rsidR="00193210"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 xml:space="preserve">ог стања, односно неусклађене су из разлога што Република Србија није држава чланица Европске уније.  </w:t>
      </w:r>
    </w:p>
    <w:p w:rsidR="00193210" w:rsidRPr="009C3A32" w:rsidRDefault="00193210" w:rsidP="00193210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CS"/>
        </w:rPr>
      </w:pP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t>д) Рок у којем је предвиђено постизање потпуне усклађености прописа са прописима Европске уније.</w:t>
      </w:r>
    </w:p>
    <w:p w:rsidR="00060728" w:rsidRPr="009C3A32" w:rsidRDefault="00060728" w:rsidP="00060728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Потпуно усклађивање са прописима Европске уније извршић</w:t>
      </w:r>
      <w:r w:rsidR="009D7F25"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 xml:space="preserve">е се 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 xml:space="preserve">до четвртог квартала 2021. године. </w:t>
      </w: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sz w:val="24"/>
          <w:szCs w:val="24"/>
          <w:lang w:val="sr-Cyrl-CS"/>
        </w:rPr>
      </w:pP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t xml:space="preserve">5. Уколико не постоје одговарајуће надлежности Европске уније у материји коју регулише пропис, и/или не постоје одговарајући секундарни извори права Европске </w:t>
      </w: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lastRenderedPageBreak/>
        <w:t xml:space="preserve">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</w:t>
      </w: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t>-</w:t>
      </w: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t xml:space="preserve">6. Да ли су претходно наведени извори права Европске уније преведени на српски језик? </w:t>
      </w:r>
    </w:p>
    <w:p w:rsidR="00060728" w:rsidRPr="009C3A32" w:rsidRDefault="00DD0511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C3A32">
        <w:rPr>
          <w:rFonts w:ascii="Times New Roman" w:hAnsi="Times New Roman" w:cs="Times New Roman"/>
          <w:sz w:val="24"/>
          <w:szCs w:val="24"/>
          <w:lang w:val="sr-Cyrl-CS"/>
        </w:rPr>
        <w:t>Директива 2009/65/EЗ</w:t>
      </w:r>
      <w:r w:rsidRPr="009C3A32">
        <w:rPr>
          <w:rFonts w:ascii="Times New Roman" w:hAnsi="Times New Roman" w:cs="Times New Roman"/>
          <w:sz w:val="24"/>
          <w:szCs w:val="24"/>
        </w:rPr>
        <w:t xml:space="preserve"> je </w:t>
      </w:r>
      <w:r w:rsidRPr="009C3A32">
        <w:rPr>
          <w:rFonts w:ascii="Times New Roman" w:hAnsi="Times New Roman" w:cs="Times New Roman"/>
          <w:sz w:val="24"/>
          <w:szCs w:val="24"/>
          <w:lang w:val="sr-Cyrl-CS"/>
        </w:rPr>
        <w:t>преведена на српски језик, док Директива 2014/91/ЕУ</w:t>
      </w:r>
      <w:r w:rsidR="00191042" w:rsidRPr="009C3A32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proofErr w:type="spellStart"/>
      <w:r w:rsidR="00191042" w:rsidRPr="009C3A32">
        <w:rPr>
          <w:rFonts w:ascii="Times New Roman" w:hAnsi="Times New Roman" w:cs="Times New Roman"/>
          <w:kern w:val="2"/>
          <w:sz w:val="24"/>
          <w:szCs w:val="24"/>
        </w:rPr>
        <w:t>Директивa</w:t>
      </w:r>
      <w:proofErr w:type="spellEnd"/>
      <w:r w:rsidR="00191042" w:rsidRPr="009C3A32">
        <w:rPr>
          <w:rFonts w:ascii="Times New Roman" w:hAnsi="Times New Roman" w:cs="Times New Roman"/>
          <w:kern w:val="2"/>
          <w:sz w:val="24"/>
          <w:szCs w:val="24"/>
        </w:rPr>
        <w:t xml:space="preserve"> 2013/14/EУ</w:t>
      </w:r>
      <w:r w:rsidR="00952BA1" w:rsidRPr="009C3A32">
        <w:rPr>
          <w:rFonts w:ascii="Times New Roman" w:hAnsi="Times New Roman" w:cs="Times New Roman"/>
          <w:sz w:val="24"/>
          <w:szCs w:val="24"/>
          <w:lang w:val="sr-Cyrl-CS"/>
        </w:rPr>
        <w:t xml:space="preserve"> нису преведене на српски језик</w:t>
      </w:r>
      <w:r w:rsidRPr="009C3A3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D0511" w:rsidRPr="009C3A32" w:rsidRDefault="00DD0511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sz w:val="24"/>
          <w:szCs w:val="24"/>
          <w:lang w:val="sr-Cyrl-CS"/>
        </w:rPr>
      </w:pP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t xml:space="preserve">7. Да ли је пропис преведен на неки службени језик Европске уније? </w:t>
      </w:r>
    </w:p>
    <w:p w:rsidR="00060728" w:rsidRPr="009C3A32" w:rsidRDefault="00060728" w:rsidP="00060728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Пропис је преведен на енглески језик.</w:t>
      </w: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sz w:val="24"/>
          <w:szCs w:val="24"/>
          <w:lang w:val="sr-Cyrl-CS"/>
        </w:rPr>
      </w:pPr>
    </w:p>
    <w:p w:rsidR="00060728" w:rsidRPr="009C3A32" w:rsidRDefault="00060728" w:rsidP="00060728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</w:pPr>
      <w:r w:rsidRPr="009C3A32">
        <w:rPr>
          <w:rFonts w:ascii="Times New Roman" w:hAnsi="Times New Roman" w:cs="Times New Roman"/>
          <w:b/>
          <w:kern w:val="2"/>
          <w:sz w:val="24"/>
          <w:szCs w:val="24"/>
          <w:lang w:val="sr-Cyrl-CS"/>
        </w:rPr>
        <w:t xml:space="preserve">8. Сарадња са Европском унијом и учешће консултаната у изради прописа и њихово мишљење о усклађености </w:t>
      </w:r>
    </w:p>
    <w:p w:rsidR="00060728" w:rsidRPr="009C3A32" w:rsidRDefault="00060728" w:rsidP="00060728">
      <w:pPr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>Техничка подршка пружена од стране пројекта Правна подршка преговорима (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Latn-CS"/>
        </w:rPr>
        <w:t>PLAC II</w:t>
      </w:r>
      <w:r w:rsidRPr="009C3A32">
        <w:rPr>
          <w:rFonts w:ascii="Times New Roman" w:hAnsi="Times New Roman" w:cs="Times New Roman"/>
          <w:kern w:val="2"/>
          <w:sz w:val="24"/>
          <w:szCs w:val="24"/>
          <w:lang w:val="sr-Cyrl-CS"/>
        </w:rPr>
        <w:t xml:space="preserve">). </w:t>
      </w:r>
    </w:p>
    <w:p w:rsidR="00060728" w:rsidRPr="009C3A32" w:rsidRDefault="00060728" w:rsidP="00060728">
      <w:pPr>
        <w:suppressAutoHyphens/>
        <w:ind w:firstLine="720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060728" w:rsidRPr="009C3A32" w:rsidRDefault="00060728" w:rsidP="00060728">
      <w:pPr>
        <w:rPr>
          <w:rFonts w:ascii="Times New Roman" w:hAnsi="Times New Roman" w:cs="Times New Roman"/>
          <w:sz w:val="24"/>
          <w:szCs w:val="24"/>
        </w:rPr>
      </w:pPr>
      <w:r w:rsidRPr="009C3A3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273DC6" w:rsidRPr="009C3A32" w:rsidRDefault="00273DC6">
      <w:pPr>
        <w:rPr>
          <w:rFonts w:ascii="Times New Roman" w:hAnsi="Times New Roman" w:cs="Times New Roman"/>
          <w:sz w:val="24"/>
          <w:szCs w:val="24"/>
        </w:rPr>
      </w:pPr>
    </w:p>
    <w:sectPr w:rsidR="00273DC6" w:rsidRPr="009C3A32" w:rsidSect="00A2266A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7E3" w:rsidRDefault="00F327E3" w:rsidP="00A2266A">
      <w:r>
        <w:separator/>
      </w:r>
    </w:p>
  </w:endnote>
  <w:endnote w:type="continuationSeparator" w:id="0">
    <w:p w:rsidR="00F327E3" w:rsidRDefault="00F327E3" w:rsidP="00A2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99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266A" w:rsidRDefault="00A2266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135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2266A" w:rsidRDefault="00A226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7E3" w:rsidRDefault="00F327E3" w:rsidP="00A2266A">
      <w:r>
        <w:separator/>
      </w:r>
    </w:p>
  </w:footnote>
  <w:footnote w:type="continuationSeparator" w:id="0">
    <w:p w:rsidR="00F327E3" w:rsidRDefault="00F327E3" w:rsidP="00A22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728"/>
    <w:rsid w:val="000074A8"/>
    <w:rsid w:val="00060728"/>
    <w:rsid w:val="000F5E08"/>
    <w:rsid w:val="00190A67"/>
    <w:rsid w:val="00191042"/>
    <w:rsid w:val="00193210"/>
    <w:rsid w:val="00194648"/>
    <w:rsid w:val="002170E4"/>
    <w:rsid w:val="00273DC6"/>
    <w:rsid w:val="002C2E3A"/>
    <w:rsid w:val="00356856"/>
    <w:rsid w:val="00362977"/>
    <w:rsid w:val="00397663"/>
    <w:rsid w:val="0045135C"/>
    <w:rsid w:val="004E3A64"/>
    <w:rsid w:val="00501C0B"/>
    <w:rsid w:val="00627E0C"/>
    <w:rsid w:val="006F48C6"/>
    <w:rsid w:val="00864457"/>
    <w:rsid w:val="00870401"/>
    <w:rsid w:val="00952BA1"/>
    <w:rsid w:val="009C3A32"/>
    <w:rsid w:val="009D7F25"/>
    <w:rsid w:val="00A2266A"/>
    <w:rsid w:val="00AE6EFF"/>
    <w:rsid w:val="00BD117F"/>
    <w:rsid w:val="00C42CED"/>
    <w:rsid w:val="00D20034"/>
    <w:rsid w:val="00DD0511"/>
    <w:rsid w:val="00E05C53"/>
    <w:rsid w:val="00E556A7"/>
    <w:rsid w:val="00F327E3"/>
    <w:rsid w:val="00F967DD"/>
    <w:rsid w:val="00FC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728"/>
    <w:pPr>
      <w:spacing w:after="0" w:line="240" w:lineRule="auto"/>
    </w:pPr>
    <w:rPr>
      <w:rFonts w:ascii="Arial" w:eastAsia="Calibri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1D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D1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26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266A"/>
    <w:rPr>
      <w:rFonts w:ascii="Arial" w:eastAsia="Calibri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226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266A"/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728"/>
    <w:pPr>
      <w:spacing w:after="0" w:line="240" w:lineRule="auto"/>
    </w:pPr>
    <w:rPr>
      <w:rFonts w:ascii="Arial" w:eastAsia="Calibri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1D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D1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26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266A"/>
    <w:rPr>
      <w:rFonts w:ascii="Arial" w:eastAsia="Calibri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226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266A"/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Stankovic</dc:creator>
  <cp:keywords/>
  <dc:description/>
  <cp:lastModifiedBy>Strahinja Vujicic</cp:lastModifiedBy>
  <cp:revision>11</cp:revision>
  <cp:lastPrinted>2019-09-03T07:38:00Z</cp:lastPrinted>
  <dcterms:created xsi:type="dcterms:W3CDTF">2019-08-28T09:56:00Z</dcterms:created>
  <dcterms:modified xsi:type="dcterms:W3CDTF">2019-09-09T06:55:00Z</dcterms:modified>
</cp:coreProperties>
</file>