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5E7" w:rsidRDefault="00A665E7" w:rsidP="00A665E7">
      <w:pPr>
        <w:suppressAutoHyphens/>
        <w:spacing w:line="240" w:lineRule="auto"/>
        <w:jc w:val="right"/>
        <w:rPr>
          <w:b/>
          <w:sz w:val="22"/>
          <w:szCs w:val="22"/>
        </w:rPr>
      </w:pPr>
    </w:p>
    <w:p w:rsidR="00007FA3" w:rsidRPr="004327C2" w:rsidRDefault="00007FA3" w:rsidP="00A665E7">
      <w:pPr>
        <w:suppressAutoHyphens/>
        <w:spacing w:line="240" w:lineRule="auto"/>
        <w:jc w:val="right"/>
        <w:rPr>
          <w:b/>
          <w:sz w:val="22"/>
          <w:szCs w:val="22"/>
        </w:rPr>
      </w:pPr>
    </w:p>
    <w:p w:rsidR="0021552A" w:rsidRPr="000F7355" w:rsidRDefault="000F7355" w:rsidP="0021552A">
      <w:pPr>
        <w:spacing w:line="240" w:lineRule="auto"/>
        <w:jc w:val="center"/>
        <w:rPr>
          <w:szCs w:val="24"/>
          <w:lang w:val="sr-Cyrl-RS"/>
        </w:rPr>
      </w:pPr>
      <w:r>
        <w:rPr>
          <w:szCs w:val="24"/>
          <w:lang w:val="sr-Cyrl-RS"/>
        </w:rPr>
        <w:t>ПРЕДЛОГ ЗАКОНА</w:t>
      </w:r>
    </w:p>
    <w:p w:rsidR="0021552A" w:rsidRPr="009C7308" w:rsidRDefault="0021552A" w:rsidP="0021552A">
      <w:pPr>
        <w:spacing w:line="240" w:lineRule="auto"/>
        <w:jc w:val="center"/>
        <w:rPr>
          <w:szCs w:val="24"/>
        </w:rPr>
      </w:pPr>
      <w:r w:rsidRPr="009C7308">
        <w:rPr>
          <w:szCs w:val="24"/>
          <w:lang w:val="sr-Cyrl-CS"/>
        </w:rPr>
        <w:t xml:space="preserve">О ПОТВРЂИВАЊУ </w:t>
      </w:r>
      <w:bookmarkStart w:id="0" w:name="SADRZAJ_002"/>
      <w:r w:rsidRPr="009C7308">
        <w:rPr>
          <w:szCs w:val="24"/>
          <w:lang w:val="sr-Cyrl-CS"/>
        </w:rPr>
        <w:t xml:space="preserve">СПОРАЗУМА О </w:t>
      </w:r>
      <w:r w:rsidRPr="00357109">
        <w:rPr>
          <w:szCs w:val="24"/>
          <w:lang w:val="sr-Cyrl-CS"/>
        </w:rPr>
        <w:t xml:space="preserve">ЗАЈМУ </w:t>
      </w:r>
      <w:r w:rsidRPr="00A52870">
        <w:rPr>
          <w:szCs w:val="24"/>
        </w:rPr>
        <w:t>(</w:t>
      </w:r>
      <w:r w:rsidR="00357BB1" w:rsidRPr="00357BB1">
        <w:t>ПРОЈЕКАТ УНАПРЕЂЕЊА УСЛУГА ЕЛЕКТРОНСКЕ УПРАВЕ</w:t>
      </w:r>
      <w:r w:rsidRPr="00A52870">
        <w:rPr>
          <w:szCs w:val="24"/>
        </w:rPr>
        <w:t>)</w:t>
      </w:r>
      <w:r>
        <w:rPr>
          <w:szCs w:val="24"/>
        </w:rPr>
        <w:t xml:space="preserve"> </w:t>
      </w:r>
      <w:r w:rsidRPr="009C7308">
        <w:rPr>
          <w:szCs w:val="24"/>
          <w:lang w:val="sr-Cyrl-CS"/>
        </w:rPr>
        <w:t>ИЗМЕЂУ РЕПУБЛИКЕ СРБИЈЕ И МЕЂУНАРО</w:t>
      </w:r>
      <w:bookmarkStart w:id="1" w:name="_GoBack"/>
      <w:bookmarkEnd w:id="1"/>
      <w:r w:rsidRPr="009C7308">
        <w:rPr>
          <w:szCs w:val="24"/>
          <w:lang w:val="sr-Cyrl-CS"/>
        </w:rPr>
        <w:t>ДНЕ БАНКЕ ЗА ОБНОВУ И</w:t>
      </w:r>
      <w:r>
        <w:rPr>
          <w:szCs w:val="24"/>
          <w:lang w:val="sr-Cyrl-CS"/>
        </w:rPr>
        <w:t xml:space="preserve"> РА</w:t>
      </w:r>
      <w:r w:rsidRPr="009C7308">
        <w:rPr>
          <w:szCs w:val="24"/>
          <w:lang w:val="sr-Cyrl-CS"/>
        </w:rPr>
        <w:t>ЗВОЈ</w:t>
      </w:r>
    </w:p>
    <w:p w:rsidR="0021552A" w:rsidRPr="00EB3E6D" w:rsidRDefault="0021552A" w:rsidP="0021552A">
      <w:pPr>
        <w:pStyle w:val="2zakon"/>
        <w:rPr>
          <w:rFonts w:ascii="Times New Roman" w:hAnsi="Times New Roman" w:cs="Times New Roman"/>
          <w:b/>
          <w:color w:val="auto"/>
          <w:sz w:val="24"/>
          <w:szCs w:val="24"/>
          <w:lang w:val="sr-Cyrl-CS"/>
        </w:rPr>
      </w:pPr>
      <w:bookmarkStart w:id="2" w:name="SADRZAJ_003"/>
      <w:bookmarkEnd w:id="0"/>
    </w:p>
    <w:p w:rsidR="0021552A" w:rsidRPr="00352AC5" w:rsidRDefault="0021552A" w:rsidP="0021552A">
      <w:pPr>
        <w:pStyle w:val="NoSpacing"/>
        <w:jc w:val="center"/>
      </w:pPr>
      <w:r w:rsidRPr="00352AC5">
        <w:t>Члан 1.</w:t>
      </w:r>
    </w:p>
    <w:p w:rsidR="0021552A" w:rsidRPr="00352AC5" w:rsidRDefault="0021552A" w:rsidP="0021552A">
      <w:pPr>
        <w:pStyle w:val="NoSpacing"/>
        <w:ind w:firstLine="709"/>
        <w:jc w:val="both"/>
      </w:pPr>
      <w:bookmarkStart w:id="3" w:name="SADRZAJ_004"/>
      <w:bookmarkEnd w:id="2"/>
      <w:r w:rsidRPr="00352AC5">
        <w:t>Потврђује се Споразум о зајму (</w:t>
      </w:r>
      <w:r w:rsidR="00357BB1" w:rsidRPr="00357BB1">
        <w:t>Пројекат унапређења услуга електронске управе</w:t>
      </w:r>
      <w:r w:rsidRPr="00352AC5">
        <w:t xml:space="preserve">) између Републике Србије и Међународне банке за обнову и развој, који је потписан </w:t>
      </w:r>
      <w:r w:rsidR="00357BB1">
        <w:rPr>
          <w:lang w:val="sr-Cyrl-RS"/>
        </w:rPr>
        <w:t>7</w:t>
      </w:r>
      <w:r w:rsidRPr="00352AC5">
        <w:t xml:space="preserve">. </w:t>
      </w:r>
      <w:r w:rsidR="00357BB1">
        <w:rPr>
          <w:lang w:val="sr-Cyrl-RS"/>
        </w:rPr>
        <w:t>маја</w:t>
      </w:r>
      <w:r>
        <w:t xml:space="preserve"> </w:t>
      </w:r>
      <w:r w:rsidRPr="00352AC5">
        <w:rPr>
          <w:lang w:val="it-IT"/>
        </w:rPr>
        <w:t>201</w:t>
      </w:r>
      <w:r w:rsidR="00E01E90">
        <w:t>9</w:t>
      </w:r>
      <w:r w:rsidRPr="00352AC5">
        <w:rPr>
          <w:lang w:val="it-IT"/>
        </w:rPr>
        <w:t>.</w:t>
      </w:r>
      <w:r w:rsidRPr="00352AC5">
        <w:t xml:space="preserve"> године у Београду, у оригиналу на енглеском језику.</w:t>
      </w:r>
    </w:p>
    <w:p w:rsidR="0021552A" w:rsidRPr="00352AC5" w:rsidRDefault="0021552A" w:rsidP="0021552A">
      <w:pPr>
        <w:pStyle w:val="NoSpacing"/>
        <w:jc w:val="both"/>
      </w:pPr>
    </w:p>
    <w:p w:rsidR="0021552A" w:rsidRPr="00352AC5" w:rsidRDefault="0021552A" w:rsidP="0021552A">
      <w:pPr>
        <w:pStyle w:val="NoSpacing"/>
        <w:jc w:val="center"/>
        <w:rPr>
          <w:b/>
        </w:rPr>
      </w:pPr>
      <w:r w:rsidRPr="00352AC5">
        <w:t>Члан 2.</w:t>
      </w:r>
      <w:bookmarkEnd w:id="3"/>
    </w:p>
    <w:p w:rsidR="0021552A" w:rsidRPr="00352AC5" w:rsidRDefault="0021552A" w:rsidP="0021552A">
      <w:pPr>
        <w:pStyle w:val="NoSpacing"/>
        <w:ind w:firstLine="709"/>
        <w:jc w:val="both"/>
        <w:rPr>
          <w:b/>
          <w:u w:val="single"/>
        </w:rPr>
      </w:pPr>
      <w:r w:rsidRPr="00352AC5">
        <w:t>Текст Споразума о зајму (</w:t>
      </w:r>
      <w:r w:rsidR="00357BB1" w:rsidRPr="00357BB1">
        <w:t>Пројекат унапређења услуга електронске управе</w:t>
      </w:r>
      <w:r w:rsidRPr="00352AC5">
        <w:t xml:space="preserve">) између Републике Србије и Међународне банке за обнову и развој, у оригиналу на енглеском језику и </w:t>
      </w:r>
      <w:bookmarkStart w:id="4" w:name="SADRZAJ_013"/>
      <w:r w:rsidRPr="00352AC5">
        <w:t>у преводу на српски језик гласи</w:t>
      </w:r>
      <w:bookmarkEnd w:id="4"/>
      <w:r w:rsidRPr="00352AC5">
        <w:t xml:space="preserve">: </w:t>
      </w:r>
    </w:p>
    <w:p w:rsidR="003848A0" w:rsidRDefault="003848A0">
      <w:pPr>
        <w:spacing w:line="240" w:lineRule="auto"/>
        <w:rPr>
          <w:b/>
          <w:bCs/>
          <w:color w:val="FF0000"/>
          <w:sz w:val="22"/>
          <w:szCs w:val="22"/>
        </w:rPr>
      </w:pPr>
      <w:r>
        <w:rPr>
          <w:b/>
          <w:bCs/>
          <w:color w:val="FF0000"/>
          <w:sz w:val="22"/>
          <w:szCs w:val="22"/>
        </w:rPr>
        <w:br w:type="page"/>
      </w:r>
    </w:p>
    <w:p w:rsidR="003F5FA1" w:rsidRPr="00317019" w:rsidRDefault="003F5FA1" w:rsidP="00606E9B">
      <w:pPr>
        <w:suppressAutoHyphens/>
        <w:spacing w:line="240" w:lineRule="auto"/>
        <w:jc w:val="both"/>
        <w:rPr>
          <w:b/>
          <w:bCs/>
          <w:color w:val="FF0000"/>
          <w:sz w:val="22"/>
          <w:szCs w:val="22"/>
        </w:rPr>
      </w:pPr>
    </w:p>
    <w:p w:rsidR="00357BB1" w:rsidRDefault="00357BB1" w:rsidP="0090447C">
      <w:pPr>
        <w:suppressAutoHyphens/>
        <w:spacing w:line="240" w:lineRule="auto"/>
        <w:rPr>
          <w:b/>
          <w:i/>
          <w:sz w:val="22"/>
          <w:szCs w:val="22"/>
        </w:rPr>
      </w:pPr>
      <w:bookmarkStart w:id="5" w:name="_Hlk3279125"/>
    </w:p>
    <w:p w:rsidR="00357BB1" w:rsidRDefault="00357BB1" w:rsidP="0090447C">
      <w:pPr>
        <w:suppressAutoHyphens/>
        <w:spacing w:line="240" w:lineRule="auto"/>
        <w:rPr>
          <w:b/>
          <w:i/>
          <w:sz w:val="22"/>
          <w:szCs w:val="22"/>
        </w:rPr>
      </w:pPr>
    </w:p>
    <w:p w:rsidR="00357BB1" w:rsidRDefault="00357BB1" w:rsidP="0090447C">
      <w:pPr>
        <w:suppressAutoHyphens/>
        <w:spacing w:line="240" w:lineRule="auto"/>
        <w:rPr>
          <w:b/>
          <w:i/>
          <w:sz w:val="22"/>
          <w:szCs w:val="22"/>
        </w:rPr>
      </w:pPr>
    </w:p>
    <w:p w:rsidR="00357BB1" w:rsidRDefault="00357BB1" w:rsidP="0090447C">
      <w:pPr>
        <w:suppressAutoHyphens/>
        <w:spacing w:line="240" w:lineRule="auto"/>
        <w:jc w:val="right"/>
        <w:rPr>
          <w:b/>
          <w:sz w:val="22"/>
          <w:szCs w:val="22"/>
        </w:rPr>
      </w:pPr>
    </w:p>
    <w:p w:rsidR="00357BB1" w:rsidRDefault="00357BB1" w:rsidP="0090447C">
      <w:pPr>
        <w:suppressAutoHyphens/>
        <w:spacing w:line="240" w:lineRule="auto"/>
        <w:jc w:val="right"/>
        <w:rPr>
          <w:b/>
          <w:sz w:val="22"/>
          <w:szCs w:val="22"/>
        </w:rPr>
      </w:pPr>
    </w:p>
    <w:p w:rsidR="00357BB1" w:rsidRPr="00115CF5" w:rsidRDefault="00357BB1" w:rsidP="0090447C">
      <w:pPr>
        <w:suppressAutoHyphens/>
        <w:spacing w:line="240" w:lineRule="auto"/>
        <w:jc w:val="right"/>
        <w:rPr>
          <w:b/>
          <w:sz w:val="22"/>
          <w:szCs w:val="22"/>
        </w:rPr>
      </w:pPr>
      <w:r w:rsidRPr="00115CF5">
        <w:rPr>
          <w:b/>
          <w:sz w:val="22"/>
          <w:szCs w:val="22"/>
        </w:rPr>
        <w:t xml:space="preserve">LOAN NUMBER </w:t>
      </w:r>
      <w:r>
        <w:rPr>
          <w:b/>
          <w:sz w:val="22"/>
          <w:szCs w:val="22"/>
        </w:rPr>
        <w:t>IBRD 8947</w:t>
      </w:r>
      <w:r w:rsidRPr="00115CF5">
        <w:rPr>
          <w:b/>
          <w:sz w:val="22"/>
          <w:szCs w:val="22"/>
        </w:rPr>
        <w:t>-</w:t>
      </w:r>
      <w:r>
        <w:rPr>
          <w:b/>
          <w:sz w:val="22"/>
          <w:szCs w:val="22"/>
        </w:rPr>
        <w:t>YF</w:t>
      </w:r>
    </w:p>
    <w:p w:rsidR="00357BB1" w:rsidRDefault="00357BB1" w:rsidP="0090447C">
      <w:pPr>
        <w:suppressAutoHyphens/>
        <w:spacing w:line="240" w:lineRule="auto"/>
        <w:rPr>
          <w:b/>
          <w:sz w:val="22"/>
          <w:szCs w:val="22"/>
        </w:rPr>
      </w:pPr>
    </w:p>
    <w:p w:rsidR="00357BB1" w:rsidRDefault="00357BB1" w:rsidP="0090447C">
      <w:pPr>
        <w:suppressAutoHyphens/>
        <w:spacing w:line="240" w:lineRule="auto"/>
        <w:rPr>
          <w:b/>
          <w:sz w:val="22"/>
          <w:szCs w:val="22"/>
        </w:rPr>
      </w:pPr>
    </w:p>
    <w:p w:rsidR="00357BB1" w:rsidRDefault="00357BB1" w:rsidP="0090447C">
      <w:pPr>
        <w:suppressAutoHyphens/>
        <w:spacing w:line="240" w:lineRule="auto"/>
        <w:rPr>
          <w:b/>
          <w:sz w:val="22"/>
          <w:szCs w:val="22"/>
        </w:rPr>
      </w:pPr>
    </w:p>
    <w:p w:rsidR="00357BB1" w:rsidRDefault="00357BB1" w:rsidP="0090447C">
      <w:pPr>
        <w:suppressAutoHyphens/>
        <w:spacing w:line="240" w:lineRule="auto"/>
        <w:rPr>
          <w:b/>
          <w:sz w:val="22"/>
          <w:szCs w:val="22"/>
        </w:rPr>
      </w:pPr>
    </w:p>
    <w:p w:rsidR="00357BB1" w:rsidRDefault="00357BB1" w:rsidP="0090447C">
      <w:pPr>
        <w:suppressAutoHyphens/>
        <w:spacing w:line="240" w:lineRule="auto"/>
        <w:jc w:val="center"/>
        <w:rPr>
          <w:b/>
          <w:sz w:val="50"/>
        </w:rPr>
      </w:pPr>
      <w:r>
        <w:rPr>
          <w:b/>
          <w:sz w:val="50"/>
        </w:rPr>
        <w:t>Loan Agreement</w:t>
      </w: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Pr="00115CF5" w:rsidRDefault="00357BB1" w:rsidP="0090447C">
      <w:pPr>
        <w:suppressAutoHyphens/>
        <w:spacing w:line="240" w:lineRule="auto"/>
        <w:jc w:val="center"/>
        <w:rPr>
          <w:b/>
          <w:sz w:val="22"/>
          <w:szCs w:val="22"/>
        </w:rPr>
      </w:pPr>
      <w:r w:rsidRPr="00115CF5">
        <w:rPr>
          <w:b/>
          <w:sz w:val="22"/>
          <w:szCs w:val="22"/>
        </w:rPr>
        <w:t>(</w:t>
      </w:r>
      <w:r>
        <w:rPr>
          <w:b/>
          <w:sz w:val="22"/>
          <w:szCs w:val="22"/>
        </w:rPr>
        <w:t>Enabling Digital Governance</w:t>
      </w:r>
      <w:r w:rsidRPr="00115CF5">
        <w:rPr>
          <w:b/>
          <w:sz w:val="22"/>
          <w:szCs w:val="22"/>
        </w:rPr>
        <w:t xml:space="preserve"> Project)</w:t>
      </w:r>
    </w:p>
    <w:p w:rsidR="00357BB1" w:rsidRDefault="00357BB1" w:rsidP="0090447C">
      <w:pPr>
        <w:suppressAutoHyphens/>
        <w:spacing w:line="240" w:lineRule="auto"/>
        <w:jc w:val="center"/>
        <w:rPr>
          <w:b/>
          <w:sz w:val="22"/>
          <w:szCs w:val="22"/>
        </w:rPr>
      </w:pPr>
    </w:p>
    <w:p w:rsidR="00357BB1" w:rsidRDefault="00357BB1" w:rsidP="0090447C">
      <w:pPr>
        <w:suppressAutoHyphens/>
        <w:spacing w:line="240" w:lineRule="auto"/>
        <w:jc w:val="center"/>
        <w:rPr>
          <w:b/>
          <w:sz w:val="22"/>
          <w:szCs w:val="22"/>
        </w:rPr>
      </w:pPr>
    </w:p>
    <w:p w:rsidR="00357BB1" w:rsidRDefault="00357BB1" w:rsidP="0090447C">
      <w:pPr>
        <w:suppressAutoHyphens/>
        <w:spacing w:line="240" w:lineRule="auto"/>
        <w:jc w:val="center"/>
        <w:rPr>
          <w:b/>
          <w:sz w:val="22"/>
          <w:szCs w:val="22"/>
        </w:rPr>
      </w:pPr>
    </w:p>
    <w:p w:rsidR="00357BB1" w:rsidRPr="00115CF5" w:rsidRDefault="00357BB1" w:rsidP="0090447C">
      <w:pPr>
        <w:suppressAutoHyphens/>
        <w:spacing w:line="240" w:lineRule="auto"/>
        <w:jc w:val="center"/>
        <w:rPr>
          <w:b/>
          <w:sz w:val="22"/>
          <w:szCs w:val="22"/>
        </w:rPr>
      </w:pPr>
      <w:r w:rsidRPr="00115CF5">
        <w:rPr>
          <w:b/>
          <w:sz w:val="22"/>
          <w:szCs w:val="22"/>
        </w:rPr>
        <w:t>between</w:t>
      </w:r>
    </w:p>
    <w:p w:rsidR="00357BB1" w:rsidRDefault="00357BB1" w:rsidP="0090447C">
      <w:pPr>
        <w:suppressAutoHyphens/>
        <w:spacing w:line="240" w:lineRule="auto"/>
        <w:jc w:val="center"/>
        <w:rPr>
          <w:b/>
          <w:sz w:val="22"/>
          <w:szCs w:val="22"/>
        </w:rPr>
      </w:pPr>
    </w:p>
    <w:p w:rsidR="00357BB1" w:rsidRPr="00115CF5" w:rsidRDefault="00357BB1" w:rsidP="0090447C">
      <w:pPr>
        <w:suppressAutoHyphens/>
        <w:spacing w:line="240" w:lineRule="auto"/>
        <w:jc w:val="center"/>
        <w:rPr>
          <w:b/>
          <w:sz w:val="22"/>
          <w:szCs w:val="22"/>
        </w:rPr>
      </w:pPr>
    </w:p>
    <w:p w:rsidR="00357BB1" w:rsidRDefault="00357BB1" w:rsidP="0090447C">
      <w:pPr>
        <w:suppressAutoHyphens/>
        <w:spacing w:line="240" w:lineRule="auto"/>
        <w:jc w:val="center"/>
        <w:rPr>
          <w:b/>
          <w:sz w:val="22"/>
          <w:szCs w:val="22"/>
        </w:rPr>
      </w:pPr>
      <w:r>
        <w:rPr>
          <w:b/>
          <w:sz w:val="22"/>
          <w:szCs w:val="22"/>
        </w:rPr>
        <w:t>REPUBLIC OF SERBIA</w:t>
      </w:r>
    </w:p>
    <w:p w:rsidR="00357BB1" w:rsidRDefault="00357BB1" w:rsidP="0090447C">
      <w:pPr>
        <w:suppressAutoHyphens/>
        <w:spacing w:line="240" w:lineRule="auto"/>
        <w:jc w:val="center"/>
        <w:rPr>
          <w:b/>
          <w:sz w:val="22"/>
          <w:szCs w:val="22"/>
        </w:rPr>
      </w:pPr>
    </w:p>
    <w:p w:rsidR="00357BB1" w:rsidRPr="00115CF5" w:rsidRDefault="00357BB1" w:rsidP="0090447C">
      <w:pPr>
        <w:suppressAutoHyphens/>
        <w:spacing w:line="240" w:lineRule="auto"/>
        <w:jc w:val="center"/>
        <w:rPr>
          <w:b/>
          <w:sz w:val="22"/>
          <w:szCs w:val="22"/>
        </w:rPr>
      </w:pPr>
    </w:p>
    <w:p w:rsidR="00357BB1" w:rsidRPr="00115CF5" w:rsidRDefault="00357BB1" w:rsidP="0090447C">
      <w:pPr>
        <w:suppressAutoHyphens/>
        <w:spacing w:line="240" w:lineRule="auto"/>
        <w:jc w:val="center"/>
        <w:rPr>
          <w:b/>
          <w:sz w:val="22"/>
          <w:szCs w:val="22"/>
        </w:rPr>
      </w:pPr>
      <w:r w:rsidRPr="00115CF5">
        <w:rPr>
          <w:b/>
          <w:sz w:val="22"/>
          <w:szCs w:val="22"/>
        </w:rPr>
        <w:t>and</w:t>
      </w:r>
    </w:p>
    <w:p w:rsidR="00357BB1" w:rsidRDefault="00357BB1" w:rsidP="0090447C">
      <w:pPr>
        <w:tabs>
          <w:tab w:val="left" w:pos="3435"/>
        </w:tabs>
        <w:suppressAutoHyphens/>
        <w:spacing w:line="240" w:lineRule="auto"/>
        <w:rPr>
          <w:b/>
          <w:sz w:val="22"/>
          <w:szCs w:val="22"/>
        </w:rPr>
      </w:pPr>
      <w:r>
        <w:rPr>
          <w:b/>
          <w:sz w:val="22"/>
          <w:szCs w:val="22"/>
        </w:rPr>
        <w:tab/>
      </w:r>
    </w:p>
    <w:p w:rsidR="00357BB1" w:rsidRPr="00115CF5" w:rsidRDefault="00357BB1" w:rsidP="0090447C">
      <w:pPr>
        <w:suppressAutoHyphens/>
        <w:spacing w:line="240" w:lineRule="auto"/>
        <w:jc w:val="center"/>
        <w:rPr>
          <w:b/>
          <w:sz w:val="22"/>
          <w:szCs w:val="22"/>
        </w:rPr>
      </w:pPr>
    </w:p>
    <w:p w:rsidR="00357BB1" w:rsidRDefault="00357BB1" w:rsidP="0090447C">
      <w:pPr>
        <w:suppressAutoHyphens/>
        <w:spacing w:line="240" w:lineRule="auto"/>
        <w:jc w:val="center"/>
        <w:rPr>
          <w:b/>
          <w:sz w:val="22"/>
          <w:szCs w:val="22"/>
        </w:rPr>
      </w:pPr>
      <w:r w:rsidRPr="00115CF5">
        <w:rPr>
          <w:b/>
          <w:sz w:val="22"/>
          <w:szCs w:val="22"/>
        </w:rPr>
        <w:t xml:space="preserve">INTERNATIONAL BANK FOR </w:t>
      </w:r>
    </w:p>
    <w:p w:rsidR="00357BB1" w:rsidRPr="00115CF5" w:rsidRDefault="00357BB1" w:rsidP="0090447C">
      <w:pPr>
        <w:suppressAutoHyphens/>
        <w:spacing w:line="240" w:lineRule="auto"/>
        <w:jc w:val="center"/>
        <w:rPr>
          <w:b/>
          <w:sz w:val="22"/>
          <w:szCs w:val="22"/>
        </w:rPr>
      </w:pPr>
      <w:r w:rsidRPr="00115CF5">
        <w:rPr>
          <w:b/>
          <w:sz w:val="22"/>
          <w:szCs w:val="22"/>
        </w:rPr>
        <w:t>RECONSTRUCTION</w:t>
      </w:r>
      <w:r>
        <w:rPr>
          <w:b/>
          <w:sz w:val="22"/>
          <w:szCs w:val="22"/>
        </w:rPr>
        <w:t xml:space="preserve"> </w:t>
      </w:r>
      <w:r w:rsidRPr="00115CF5">
        <w:rPr>
          <w:b/>
          <w:sz w:val="22"/>
          <w:szCs w:val="22"/>
        </w:rPr>
        <w:t>AND DEVELOPMENT</w:t>
      </w:r>
    </w:p>
    <w:p w:rsidR="00357BB1" w:rsidRDefault="00357BB1" w:rsidP="0090447C">
      <w:pPr>
        <w:suppressAutoHyphens/>
        <w:spacing w:line="240" w:lineRule="auto"/>
        <w:rPr>
          <w:b/>
          <w:sz w:val="22"/>
          <w:szCs w:val="22"/>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pPr>
    </w:p>
    <w:p w:rsidR="00357BB1" w:rsidRDefault="00357BB1" w:rsidP="0090447C">
      <w:pPr>
        <w:suppressAutoHyphens/>
        <w:spacing w:line="240" w:lineRule="auto"/>
        <w:jc w:val="center"/>
        <w:rPr>
          <w:b/>
        </w:rPr>
        <w:sectPr w:rsidR="00357BB1" w:rsidSect="00357BB1">
          <w:pgSz w:w="12240" w:h="15840"/>
          <w:pgMar w:top="1135" w:right="2160" w:bottom="2160" w:left="2160" w:header="720" w:footer="720" w:gutter="0"/>
          <w:cols w:space="720"/>
          <w:docGrid w:linePitch="326"/>
        </w:sectPr>
      </w:pPr>
    </w:p>
    <w:p w:rsidR="00357BB1" w:rsidRPr="00115CF5" w:rsidRDefault="00357BB1" w:rsidP="0090447C">
      <w:pPr>
        <w:pStyle w:val="Title"/>
        <w:spacing w:line="240" w:lineRule="auto"/>
        <w:rPr>
          <w:sz w:val="22"/>
          <w:szCs w:val="22"/>
        </w:rPr>
      </w:pPr>
      <w:r w:rsidRPr="00115CF5">
        <w:rPr>
          <w:sz w:val="22"/>
          <w:szCs w:val="22"/>
        </w:rPr>
        <w:lastRenderedPageBreak/>
        <w:t>LOAN AGREEMENT</w:t>
      </w:r>
    </w:p>
    <w:p w:rsidR="00357BB1" w:rsidRPr="00115CF5" w:rsidRDefault="00357BB1" w:rsidP="0090447C">
      <w:pPr>
        <w:spacing w:line="240" w:lineRule="auto"/>
        <w:jc w:val="center"/>
        <w:rPr>
          <w:sz w:val="22"/>
          <w:szCs w:val="22"/>
        </w:rPr>
      </w:pPr>
    </w:p>
    <w:p w:rsidR="00357BB1" w:rsidRPr="00115CF5" w:rsidRDefault="00357BB1" w:rsidP="0090447C">
      <w:pPr>
        <w:spacing w:line="240" w:lineRule="auto"/>
        <w:jc w:val="both"/>
        <w:rPr>
          <w:sz w:val="22"/>
          <w:szCs w:val="22"/>
        </w:rPr>
      </w:pPr>
      <w:r w:rsidRPr="00115CF5">
        <w:rPr>
          <w:sz w:val="22"/>
          <w:szCs w:val="22"/>
        </w:rPr>
        <w:tab/>
      </w:r>
      <w:r>
        <w:rPr>
          <w:sz w:val="22"/>
          <w:szCs w:val="22"/>
        </w:rPr>
        <w:t>AGREEMENT</w:t>
      </w:r>
      <w:r w:rsidRPr="00115CF5">
        <w:rPr>
          <w:sz w:val="22"/>
          <w:szCs w:val="22"/>
        </w:rPr>
        <w:t xml:space="preserve"> dated </w:t>
      </w:r>
      <w:r>
        <w:rPr>
          <w:sz w:val="22"/>
          <w:szCs w:val="22"/>
        </w:rPr>
        <w:t>as of the Signature Date</w:t>
      </w:r>
      <w:r w:rsidRPr="00115CF5">
        <w:rPr>
          <w:sz w:val="22"/>
          <w:szCs w:val="22"/>
        </w:rPr>
        <w:t xml:space="preserve"> between </w:t>
      </w:r>
      <w:r>
        <w:rPr>
          <w:sz w:val="22"/>
          <w:szCs w:val="22"/>
        </w:rPr>
        <w:t>REPUBLIC OF SERBIA</w:t>
      </w:r>
      <w:r w:rsidRPr="00115CF5">
        <w:rPr>
          <w:sz w:val="22"/>
          <w:szCs w:val="22"/>
        </w:rPr>
        <w:t xml:space="preserve"> (“Borrower”) and INTERNATIONAL BANK FOR RECONSTRUCTION AND DEVELOPMENT (“Bank”).  The Borrower and the Bank hereby agree as follows:</w:t>
      </w:r>
    </w:p>
    <w:p w:rsidR="00357BB1" w:rsidRPr="00115CF5" w:rsidRDefault="00357BB1" w:rsidP="0090447C">
      <w:pPr>
        <w:spacing w:line="240" w:lineRule="auto"/>
        <w:jc w:val="both"/>
        <w:rPr>
          <w:sz w:val="22"/>
          <w:szCs w:val="22"/>
        </w:rPr>
      </w:pPr>
    </w:p>
    <w:p w:rsidR="00357BB1" w:rsidRPr="00115CF5" w:rsidRDefault="00357BB1" w:rsidP="0090447C">
      <w:pPr>
        <w:pStyle w:val="Heading1"/>
        <w:spacing w:line="240" w:lineRule="auto"/>
        <w:rPr>
          <w:sz w:val="22"/>
          <w:szCs w:val="22"/>
        </w:rPr>
      </w:pPr>
    </w:p>
    <w:p w:rsidR="00357BB1" w:rsidRPr="00115CF5" w:rsidRDefault="00357BB1" w:rsidP="0090447C">
      <w:pPr>
        <w:pStyle w:val="Heading1"/>
        <w:spacing w:line="240" w:lineRule="auto"/>
        <w:rPr>
          <w:sz w:val="22"/>
          <w:szCs w:val="22"/>
        </w:rPr>
      </w:pPr>
      <w:r w:rsidRPr="00115CF5">
        <w:rPr>
          <w:sz w:val="22"/>
          <w:szCs w:val="22"/>
        </w:rPr>
        <w:t>ARTICLE I — GENERAL CONDITIONS; DEFINITIONS</w:t>
      </w:r>
    </w:p>
    <w:p w:rsidR="00357BB1" w:rsidRPr="00115CF5" w:rsidRDefault="00357BB1" w:rsidP="0090447C">
      <w:pPr>
        <w:spacing w:line="240" w:lineRule="auto"/>
        <w:rPr>
          <w:sz w:val="22"/>
          <w:szCs w:val="22"/>
        </w:rPr>
      </w:pPr>
    </w:p>
    <w:p w:rsidR="00357BB1" w:rsidRPr="00115CF5" w:rsidRDefault="00357BB1" w:rsidP="0090447C">
      <w:pPr>
        <w:pStyle w:val="BodyText"/>
        <w:numPr>
          <w:ilvl w:val="1"/>
          <w:numId w:val="2"/>
        </w:numPr>
        <w:tabs>
          <w:tab w:val="clear" w:pos="1485"/>
          <w:tab w:val="num" w:pos="720"/>
        </w:tabs>
        <w:ind w:left="720" w:hanging="720"/>
        <w:rPr>
          <w:sz w:val="22"/>
          <w:szCs w:val="22"/>
        </w:rPr>
      </w:pPr>
      <w:r w:rsidRPr="00115CF5">
        <w:rPr>
          <w:sz w:val="22"/>
          <w:szCs w:val="22"/>
        </w:rPr>
        <w:t xml:space="preserve">The General Conditions (as defined in </w:t>
      </w:r>
      <w:r>
        <w:rPr>
          <w:sz w:val="22"/>
          <w:szCs w:val="22"/>
        </w:rPr>
        <w:t>the Appendix to this Agreement) apply to and form</w:t>
      </w:r>
      <w:r w:rsidRPr="00115CF5">
        <w:rPr>
          <w:sz w:val="22"/>
          <w:szCs w:val="22"/>
        </w:rPr>
        <w:t xml:space="preserve"> part of this Agreement.</w:t>
      </w:r>
    </w:p>
    <w:p w:rsidR="00357BB1" w:rsidRPr="00115CF5" w:rsidRDefault="00357BB1" w:rsidP="0090447C">
      <w:pPr>
        <w:pStyle w:val="BodyText"/>
        <w:tabs>
          <w:tab w:val="num" w:pos="720"/>
        </w:tabs>
        <w:ind w:left="720" w:hanging="720"/>
        <w:rPr>
          <w:sz w:val="22"/>
          <w:szCs w:val="22"/>
        </w:rPr>
      </w:pPr>
    </w:p>
    <w:p w:rsidR="00357BB1" w:rsidRDefault="00357BB1" w:rsidP="0090447C">
      <w:pPr>
        <w:pStyle w:val="BodyText"/>
        <w:numPr>
          <w:ilvl w:val="1"/>
          <w:numId w:val="2"/>
        </w:numPr>
        <w:tabs>
          <w:tab w:val="clear" w:pos="1485"/>
          <w:tab w:val="num" w:pos="720"/>
        </w:tabs>
        <w:ind w:left="720" w:hanging="720"/>
        <w:rPr>
          <w:sz w:val="22"/>
          <w:szCs w:val="22"/>
        </w:rPr>
      </w:pPr>
      <w:r w:rsidRPr="00115CF5">
        <w:rPr>
          <w:sz w:val="22"/>
          <w:szCs w:val="22"/>
        </w:rPr>
        <w:t>Unless the context requires otherwise, the capitalized terms used in this Agreement have the meanings ascribed to them in the General Cond</w:t>
      </w:r>
      <w:r>
        <w:rPr>
          <w:sz w:val="22"/>
          <w:szCs w:val="22"/>
        </w:rPr>
        <w:t xml:space="preserve">itions </w:t>
      </w:r>
      <w:r w:rsidRPr="00115CF5">
        <w:rPr>
          <w:sz w:val="22"/>
          <w:szCs w:val="22"/>
        </w:rPr>
        <w:t>or in</w:t>
      </w:r>
      <w:r>
        <w:rPr>
          <w:sz w:val="22"/>
          <w:szCs w:val="22"/>
        </w:rPr>
        <w:t xml:space="preserve"> the Appendix to this Agreement</w:t>
      </w:r>
      <w:r w:rsidRPr="00115CF5">
        <w:rPr>
          <w:sz w:val="22"/>
          <w:szCs w:val="22"/>
        </w:rPr>
        <w:t>.</w:t>
      </w:r>
    </w:p>
    <w:p w:rsidR="00357BB1" w:rsidRDefault="00357BB1" w:rsidP="0090447C">
      <w:pPr>
        <w:pStyle w:val="BodyText"/>
        <w:rPr>
          <w:sz w:val="22"/>
          <w:szCs w:val="22"/>
        </w:rPr>
      </w:pPr>
    </w:p>
    <w:p w:rsidR="00357BB1" w:rsidRPr="00115CF5" w:rsidRDefault="00357BB1" w:rsidP="0090447C">
      <w:pPr>
        <w:pStyle w:val="BodyText"/>
        <w:rPr>
          <w:sz w:val="22"/>
          <w:szCs w:val="22"/>
        </w:rPr>
      </w:pPr>
    </w:p>
    <w:p w:rsidR="00357BB1" w:rsidRPr="00115CF5" w:rsidRDefault="00357BB1" w:rsidP="0090447C">
      <w:pPr>
        <w:pStyle w:val="BodyText"/>
        <w:jc w:val="center"/>
        <w:rPr>
          <w:b/>
          <w:bCs/>
          <w:sz w:val="22"/>
          <w:szCs w:val="22"/>
        </w:rPr>
      </w:pPr>
      <w:r w:rsidRPr="00115CF5">
        <w:rPr>
          <w:b/>
          <w:bCs/>
          <w:sz w:val="22"/>
          <w:szCs w:val="22"/>
        </w:rPr>
        <w:t>ARTICLE II — LOAN</w:t>
      </w:r>
    </w:p>
    <w:p w:rsidR="00357BB1" w:rsidRPr="00115CF5" w:rsidRDefault="00357BB1" w:rsidP="0090447C">
      <w:pPr>
        <w:pStyle w:val="BodyText"/>
        <w:jc w:val="center"/>
        <w:rPr>
          <w:b/>
          <w:bCs/>
          <w:sz w:val="22"/>
          <w:szCs w:val="22"/>
        </w:rPr>
      </w:pPr>
    </w:p>
    <w:p w:rsidR="00357BB1" w:rsidRPr="00115CF5" w:rsidRDefault="00357BB1" w:rsidP="0090447C">
      <w:pPr>
        <w:pStyle w:val="BodyText"/>
        <w:ind w:left="720" w:hanging="720"/>
        <w:rPr>
          <w:sz w:val="22"/>
          <w:szCs w:val="22"/>
        </w:rPr>
      </w:pPr>
      <w:r w:rsidRPr="00115CF5">
        <w:rPr>
          <w:sz w:val="22"/>
          <w:szCs w:val="22"/>
        </w:rPr>
        <w:t>2.01.</w:t>
      </w:r>
      <w:r w:rsidRPr="00115CF5">
        <w:rPr>
          <w:sz w:val="22"/>
          <w:szCs w:val="22"/>
        </w:rPr>
        <w:tab/>
        <w:t>The Bank</w:t>
      </w:r>
      <w:r>
        <w:rPr>
          <w:sz w:val="22"/>
          <w:szCs w:val="22"/>
        </w:rPr>
        <w:t xml:space="preserve"> agrees to lend to the Borrower </w:t>
      </w:r>
      <w:r w:rsidRPr="00115CF5">
        <w:rPr>
          <w:sz w:val="22"/>
          <w:szCs w:val="22"/>
        </w:rPr>
        <w:t xml:space="preserve">the amount of </w:t>
      </w:r>
      <w:r>
        <w:rPr>
          <w:sz w:val="22"/>
          <w:szCs w:val="22"/>
        </w:rPr>
        <w:t>forty-three million eight hundred thousand Euros</w:t>
      </w:r>
      <w:r w:rsidRPr="00115CF5">
        <w:rPr>
          <w:sz w:val="22"/>
          <w:szCs w:val="22"/>
        </w:rPr>
        <w:t xml:space="preserve"> (</w:t>
      </w:r>
      <w:r>
        <w:rPr>
          <w:sz w:val="22"/>
          <w:szCs w:val="22"/>
        </w:rPr>
        <w:t>€43,800,000</w:t>
      </w:r>
      <w:r w:rsidRPr="00115CF5">
        <w:rPr>
          <w:sz w:val="22"/>
          <w:szCs w:val="22"/>
        </w:rPr>
        <w:t>), as such amount may be converted from time to tim</w:t>
      </w:r>
      <w:r>
        <w:rPr>
          <w:sz w:val="22"/>
          <w:szCs w:val="22"/>
        </w:rPr>
        <w:t>e through a Currency Conversion</w:t>
      </w:r>
      <w:r w:rsidRPr="00115CF5">
        <w:rPr>
          <w:sz w:val="22"/>
          <w:szCs w:val="22"/>
        </w:rPr>
        <w:t xml:space="preserve"> (“Loan”),</w:t>
      </w:r>
      <w:r>
        <w:rPr>
          <w:sz w:val="22"/>
          <w:szCs w:val="22"/>
        </w:rPr>
        <w:t xml:space="preserve"> </w:t>
      </w:r>
      <w:r w:rsidRPr="00115CF5">
        <w:rPr>
          <w:sz w:val="22"/>
          <w:szCs w:val="22"/>
        </w:rPr>
        <w:t>to assist in financing the project described in Schedule 1 to this Agreement (“Project”).</w:t>
      </w:r>
    </w:p>
    <w:p w:rsidR="00357BB1" w:rsidRPr="00115CF5" w:rsidRDefault="00357BB1" w:rsidP="0090447C">
      <w:pPr>
        <w:pStyle w:val="BodyText"/>
        <w:tabs>
          <w:tab w:val="num" w:pos="720"/>
        </w:tabs>
        <w:ind w:left="720" w:hanging="720"/>
        <w:rPr>
          <w:sz w:val="22"/>
          <w:szCs w:val="22"/>
        </w:rPr>
      </w:pPr>
    </w:p>
    <w:p w:rsidR="00357BB1" w:rsidRDefault="00357BB1" w:rsidP="00357BB1">
      <w:pPr>
        <w:pStyle w:val="BodyText"/>
        <w:numPr>
          <w:ilvl w:val="1"/>
          <w:numId w:val="6"/>
        </w:numPr>
        <w:tabs>
          <w:tab w:val="clear" w:pos="480"/>
        </w:tabs>
        <w:ind w:left="720" w:hanging="720"/>
        <w:rPr>
          <w:sz w:val="22"/>
          <w:szCs w:val="22"/>
        </w:rPr>
      </w:pPr>
      <w:r w:rsidRPr="00716E72">
        <w:rPr>
          <w:sz w:val="22"/>
          <w:szCs w:val="22"/>
        </w:rPr>
        <w:t>The Borrower may withdraw the proceeds of the Loan in accordance with Section III of Schedule 2 to this Agreement.</w:t>
      </w:r>
      <w:r w:rsidRPr="00716E72">
        <w:rPr>
          <w:rStyle w:val="FootnoteReference"/>
          <w:sz w:val="22"/>
          <w:szCs w:val="22"/>
        </w:rPr>
        <w:t xml:space="preserve"> </w:t>
      </w:r>
      <w:r w:rsidRPr="00716E72">
        <w:rPr>
          <w:sz w:val="22"/>
          <w:szCs w:val="22"/>
        </w:rPr>
        <w:t xml:space="preserve"> </w:t>
      </w:r>
    </w:p>
    <w:p w:rsidR="00357BB1" w:rsidRPr="00716E72" w:rsidRDefault="00357BB1" w:rsidP="0090447C">
      <w:pPr>
        <w:pStyle w:val="BodyText"/>
        <w:ind w:left="720"/>
        <w:rPr>
          <w:sz w:val="22"/>
          <w:szCs w:val="22"/>
        </w:rPr>
      </w:pPr>
    </w:p>
    <w:p w:rsidR="00357BB1" w:rsidRPr="00115CF5" w:rsidRDefault="00357BB1" w:rsidP="00357BB1">
      <w:pPr>
        <w:pStyle w:val="BodyText"/>
        <w:numPr>
          <w:ilvl w:val="1"/>
          <w:numId w:val="6"/>
        </w:numPr>
        <w:tabs>
          <w:tab w:val="clear" w:pos="480"/>
        </w:tabs>
        <w:ind w:left="720" w:hanging="720"/>
        <w:rPr>
          <w:sz w:val="22"/>
          <w:szCs w:val="22"/>
        </w:rPr>
      </w:pPr>
      <w:r w:rsidRPr="00115CF5">
        <w:rPr>
          <w:sz w:val="22"/>
          <w:szCs w:val="22"/>
        </w:rPr>
        <w:t xml:space="preserve">The Front-end Fee </w:t>
      </w:r>
      <w:r>
        <w:rPr>
          <w:sz w:val="22"/>
          <w:szCs w:val="22"/>
        </w:rPr>
        <w:t xml:space="preserve">is </w:t>
      </w:r>
      <w:r w:rsidRPr="00115CF5">
        <w:rPr>
          <w:sz w:val="22"/>
          <w:szCs w:val="22"/>
        </w:rPr>
        <w:t xml:space="preserve">one </w:t>
      </w:r>
      <w:r>
        <w:rPr>
          <w:sz w:val="22"/>
          <w:szCs w:val="22"/>
        </w:rPr>
        <w:t xml:space="preserve">quarter of one </w:t>
      </w:r>
      <w:r w:rsidRPr="00115CF5">
        <w:rPr>
          <w:sz w:val="22"/>
          <w:szCs w:val="22"/>
        </w:rPr>
        <w:t>percent (</w:t>
      </w:r>
      <w:r>
        <w:rPr>
          <w:sz w:val="22"/>
          <w:szCs w:val="22"/>
        </w:rPr>
        <w:t>0</w:t>
      </w:r>
      <w:r w:rsidRPr="00115CF5">
        <w:rPr>
          <w:sz w:val="22"/>
          <w:szCs w:val="22"/>
        </w:rPr>
        <w:t>.</w:t>
      </w:r>
      <w:r>
        <w:rPr>
          <w:sz w:val="22"/>
          <w:szCs w:val="22"/>
        </w:rPr>
        <w:t>25%) of the Loan amount.</w:t>
      </w:r>
    </w:p>
    <w:p w:rsidR="00357BB1" w:rsidRDefault="00357BB1" w:rsidP="0090447C">
      <w:pPr>
        <w:pStyle w:val="BodyText"/>
        <w:ind w:left="720" w:hanging="720"/>
        <w:rPr>
          <w:sz w:val="22"/>
          <w:szCs w:val="22"/>
        </w:rPr>
      </w:pPr>
    </w:p>
    <w:p w:rsidR="00357BB1" w:rsidRPr="00B56642" w:rsidRDefault="00357BB1" w:rsidP="00357BB1">
      <w:pPr>
        <w:pStyle w:val="BodyText"/>
        <w:numPr>
          <w:ilvl w:val="1"/>
          <w:numId w:val="6"/>
        </w:numPr>
        <w:tabs>
          <w:tab w:val="clear" w:pos="480"/>
        </w:tabs>
        <w:ind w:left="720" w:hanging="720"/>
        <w:rPr>
          <w:sz w:val="22"/>
          <w:szCs w:val="22"/>
        </w:rPr>
      </w:pPr>
      <w:r w:rsidRPr="00B56642">
        <w:rPr>
          <w:sz w:val="22"/>
          <w:szCs w:val="22"/>
        </w:rPr>
        <w:t xml:space="preserve">The Commitment Charge </w:t>
      </w:r>
      <w:r>
        <w:rPr>
          <w:sz w:val="22"/>
          <w:szCs w:val="22"/>
        </w:rPr>
        <w:t>is</w:t>
      </w:r>
      <w:r w:rsidRPr="00B56642">
        <w:rPr>
          <w:sz w:val="22"/>
          <w:szCs w:val="22"/>
        </w:rPr>
        <w:t xml:space="preserve"> one quarter of one percent (0.25%) per annum on the Unwithdrawn Loan Balance.</w:t>
      </w:r>
    </w:p>
    <w:p w:rsidR="00357BB1" w:rsidRDefault="00357BB1" w:rsidP="0090447C">
      <w:pPr>
        <w:pStyle w:val="BodyText"/>
        <w:ind w:left="720" w:hanging="720"/>
        <w:rPr>
          <w:sz w:val="22"/>
          <w:szCs w:val="22"/>
        </w:rPr>
      </w:pPr>
    </w:p>
    <w:p w:rsidR="00357BB1" w:rsidRPr="00115CF5" w:rsidRDefault="00357BB1" w:rsidP="0090447C">
      <w:pPr>
        <w:pStyle w:val="BodyText"/>
        <w:ind w:left="720" w:hanging="720"/>
        <w:rPr>
          <w:sz w:val="22"/>
          <w:szCs w:val="22"/>
        </w:rPr>
      </w:pPr>
      <w:r>
        <w:rPr>
          <w:sz w:val="22"/>
          <w:szCs w:val="22"/>
        </w:rPr>
        <w:t>2.05.</w:t>
      </w:r>
      <w:r>
        <w:rPr>
          <w:sz w:val="22"/>
          <w:szCs w:val="22"/>
        </w:rPr>
        <w:tab/>
      </w:r>
      <w:r w:rsidRPr="00115CF5">
        <w:rPr>
          <w:sz w:val="22"/>
          <w:szCs w:val="22"/>
        </w:rPr>
        <w:t xml:space="preserve">The interest </w:t>
      </w:r>
      <w:r>
        <w:rPr>
          <w:sz w:val="22"/>
          <w:szCs w:val="22"/>
        </w:rPr>
        <w:t>rate is the Reference Rate</w:t>
      </w:r>
      <w:r w:rsidRPr="00115CF5">
        <w:rPr>
          <w:sz w:val="22"/>
          <w:szCs w:val="22"/>
        </w:rPr>
        <w:t xml:space="preserve"> plus the Fixed Spread</w:t>
      </w:r>
      <w:r>
        <w:rPr>
          <w:sz w:val="22"/>
          <w:szCs w:val="22"/>
        </w:rPr>
        <w:t xml:space="preserve"> or such rate as may apply following a Conversion; subject to Section 3.02(e) of the General Conditions.</w:t>
      </w:r>
    </w:p>
    <w:p w:rsidR="00357BB1" w:rsidRPr="00115CF5" w:rsidRDefault="00357BB1" w:rsidP="0090447C">
      <w:pPr>
        <w:pStyle w:val="BodyText"/>
        <w:ind w:left="720" w:hanging="720"/>
        <w:rPr>
          <w:sz w:val="22"/>
          <w:szCs w:val="22"/>
        </w:rPr>
      </w:pPr>
    </w:p>
    <w:p w:rsidR="00357BB1" w:rsidRPr="00115CF5" w:rsidRDefault="00357BB1" w:rsidP="0090447C">
      <w:pPr>
        <w:pStyle w:val="BodyText"/>
        <w:ind w:left="720" w:hanging="720"/>
        <w:rPr>
          <w:sz w:val="22"/>
          <w:szCs w:val="22"/>
        </w:rPr>
      </w:pPr>
      <w:r>
        <w:rPr>
          <w:sz w:val="22"/>
          <w:szCs w:val="22"/>
        </w:rPr>
        <w:t>2.06.</w:t>
      </w:r>
      <w:r>
        <w:rPr>
          <w:sz w:val="22"/>
          <w:szCs w:val="22"/>
        </w:rPr>
        <w:tab/>
      </w:r>
      <w:r w:rsidRPr="00115CF5">
        <w:rPr>
          <w:sz w:val="22"/>
          <w:szCs w:val="22"/>
        </w:rPr>
        <w:t xml:space="preserve">The Payment Dates are </w:t>
      </w:r>
      <w:r>
        <w:rPr>
          <w:sz w:val="22"/>
          <w:szCs w:val="22"/>
        </w:rPr>
        <w:t xml:space="preserve">May </w:t>
      </w:r>
      <w:r w:rsidRPr="00115CF5">
        <w:rPr>
          <w:sz w:val="22"/>
          <w:szCs w:val="22"/>
        </w:rPr>
        <w:t xml:space="preserve">15 and </w:t>
      </w:r>
      <w:r>
        <w:rPr>
          <w:sz w:val="22"/>
          <w:szCs w:val="22"/>
        </w:rPr>
        <w:t xml:space="preserve">November </w:t>
      </w:r>
      <w:r w:rsidRPr="00115CF5">
        <w:rPr>
          <w:sz w:val="22"/>
          <w:szCs w:val="22"/>
        </w:rPr>
        <w:t>15 in each year.</w:t>
      </w:r>
    </w:p>
    <w:p w:rsidR="00357BB1" w:rsidRPr="00115CF5" w:rsidRDefault="00357BB1" w:rsidP="0090447C">
      <w:pPr>
        <w:pStyle w:val="BodyText"/>
        <w:ind w:left="720" w:hanging="720"/>
        <w:rPr>
          <w:sz w:val="22"/>
          <w:szCs w:val="22"/>
        </w:rPr>
      </w:pPr>
    </w:p>
    <w:p w:rsidR="00357BB1" w:rsidRPr="00115CF5" w:rsidRDefault="00357BB1" w:rsidP="0090447C">
      <w:pPr>
        <w:pStyle w:val="BodyText"/>
        <w:ind w:left="720" w:hanging="720"/>
        <w:rPr>
          <w:sz w:val="22"/>
          <w:szCs w:val="22"/>
        </w:rPr>
      </w:pPr>
      <w:r>
        <w:rPr>
          <w:sz w:val="22"/>
          <w:szCs w:val="22"/>
        </w:rPr>
        <w:t>2.07.</w:t>
      </w:r>
      <w:r>
        <w:rPr>
          <w:sz w:val="22"/>
          <w:szCs w:val="22"/>
        </w:rPr>
        <w:tab/>
      </w:r>
      <w:r w:rsidRPr="00115CF5">
        <w:rPr>
          <w:sz w:val="22"/>
          <w:szCs w:val="22"/>
        </w:rPr>
        <w:t>The principal amount of the Loan shall be repaid in accordance with Schedule 3 to this Agreement.</w:t>
      </w:r>
    </w:p>
    <w:p w:rsidR="00357BB1" w:rsidRDefault="00357BB1" w:rsidP="0090447C">
      <w:pPr>
        <w:pStyle w:val="BodyText"/>
        <w:jc w:val="center"/>
        <w:rPr>
          <w:b/>
          <w:bCs/>
          <w:sz w:val="22"/>
          <w:szCs w:val="22"/>
        </w:rPr>
      </w:pPr>
    </w:p>
    <w:p w:rsidR="00357BB1" w:rsidRDefault="00357BB1" w:rsidP="0090447C">
      <w:pPr>
        <w:pStyle w:val="BodyText"/>
        <w:jc w:val="center"/>
        <w:rPr>
          <w:b/>
          <w:bCs/>
          <w:sz w:val="22"/>
          <w:szCs w:val="22"/>
        </w:rPr>
      </w:pPr>
    </w:p>
    <w:p w:rsidR="00357BB1" w:rsidRDefault="00357BB1" w:rsidP="0090447C">
      <w:pPr>
        <w:spacing w:after="160" w:line="259" w:lineRule="auto"/>
        <w:rPr>
          <w:b/>
          <w:bCs/>
          <w:sz w:val="22"/>
          <w:szCs w:val="22"/>
        </w:rPr>
      </w:pPr>
      <w:r>
        <w:rPr>
          <w:b/>
          <w:bCs/>
          <w:sz w:val="22"/>
          <w:szCs w:val="22"/>
        </w:rPr>
        <w:br w:type="page"/>
      </w:r>
    </w:p>
    <w:p w:rsidR="00357BB1" w:rsidRPr="00115CF5" w:rsidRDefault="00357BB1" w:rsidP="0090447C">
      <w:pPr>
        <w:pStyle w:val="BodyText"/>
        <w:jc w:val="center"/>
        <w:rPr>
          <w:b/>
          <w:bCs/>
          <w:sz w:val="22"/>
          <w:szCs w:val="22"/>
        </w:rPr>
      </w:pPr>
      <w:r w:rsidRPr="00115CF5">
        <w:rPr>
          <w:b/>
          <w:bCs/>
          <w:sz w:val="22"/>
          <w:szCs w:val="22"/>
        </w:rPr>
        <w:lastRenderedPageBreak/>
        <w:t>ARTICLE III — PROJECT</w:t>
      </w:r>
    </w:p>
    <w:p w:rsidR="00357BB1" w:rsidRPr="00115CF5" w:rsidRDefault="00357BB1" w:rsidP="0090447C">
      <w:pPr>
        <w:pStyle w:val="Story"/>
        <w:spacing w:line="240" w:lineRule="auto"/>
        <w:rPr>
          <w:sz w:val="22"/>
          <w:szCs w:val="22"/>
        </w:rPr>
      </w:pPr>
    </w:p>
    <w:p w:rsidR="00357BB1" w:rsidRPr="00795AD7" w:rsidRDefault="00357BB1" w:rsidP="0090447C">
      <w:pPr>
        <w:numPr>
          <w:ilvl w:val="1"/>
          <w:numId w:val="1"/>
        </w:numPr>
        <w:tabs>
          <w:tab w:val="clear" w:pos="1320"/>
          <w:tab w:val="num" w:pos="720"/>
        </w:tabs>
        <w:spacing w:line="240" w:lineRule="auto"/>
        <w:ind w:left="720" w:hanging="720"/>
        <w:jc w:val="both"/>
        <w:rPr>
          <w:spacing w:val="-3"/>
          <w:sz w:val="22"/>
          <w:szCs w:val="22"/>
        </w:rPr>
      </w:pPr>
      <w:r w:rsidRPr="00795AD7">
        <w:rPr>
          <w:spacing w:val="-3"/>
          <w:sz w:val="22"/>
          <w:szCs w:val="22"/>
        </w:rPr>
        <w:t>The Borrower declares its commitment to the objectives of the Project.  To this end, the Borrower, through OITeG, shall carry out the Project in accordance with the provisions of Article V of the General Conditions and Schedule 2 to this Agreement.</w:t>
      </w:r>
    </w:p>
    <w:p w:rsidR="00357BB1" w:rsidRDefault="00357BB1" w:rsidP="0090447C">
      <w:pPr>
        <w:pStyle w:val="Heading1"/>
        <w:spacing w:line="240" w:lineRule="auto"/>
        <w:rPr>
          <w:sz w:val="22"/>
          <w:szCs w:val="22"/>
        </w:rPr>
      </w:pPr>
    </w:p>
    <w:p w:rsidR="00357BB1" w:rsidRPr="00795AD7" w:rsidRDefault="00357BB1" w:rsidP="0090447C">
      <w:pPr>
        <w:spacing w:line="240" w:lineRule="auto"/>
      </w:pPr>
    </w:p>
    <w:p w:rsidR="00357BB1" w:rsidRPr="00115CF5" w:rsidRDefault="00357BB1" w:rsidP="0090447C">
      <w:pPr>
        <w:pStyle w:val="Heading1"/>
        <w:spacing w:line="240" w:lineRule="auto"/>
        <w:rPr>
          <w:sz w:val="22"/>
          <w:szCs w:val="22"/>
        </w:rPr>
      </w:pPr>
      <w:r w:rsidRPr="00115CF5">
        <w:rPr>
          <w:sz w:val="22"/>
          <w:szCs w:val="22"/>
        </w:rPr>
        <w:t xml:space="preserve">ARTICLE IV — </w:t>
      </w:r>
      <w:r>
        <w:rPr>
          <w:sz w:val="22"/>
          <w:szCs w:val="22"/>
        </w:rPr>
        <w:t>REMEDIES OF THE BANK</w:t>
      </w:r>
    </w:p>
    <w:p w:rsidR="00357BB1" w:rsidRPr="00115CF5" w:rsidRDefault="00357BB1" w:rsidP="0090447C">
      <w:pPr>
        <w:spacing w:line="240" w:lineRule="auto"/>
        <w:jc w:val="center"/>
        <w:rPr>
          <w:sz w:val="22"/>
          <w:szCs w:val="22"/>
        </w:rPr>
      </w:pPr>
    </w:p>
    <w:p w:rsidR="00357BB1" w:rsidRPr="00795AD7" w:rsidRDefault="00357BB1" w:rsidP="0090447C">
      <w:pPr>
        <w:pStyle w:val="BodyText"/>
        <w:ind w:left="720" w:hanging="720"/>
        <w:rPr>
          <w:spacing w:val="-4"/>
          <w:sz w:val="22"/>
          <w:szCs w:val="22"/>
        </w:rPr>
      </w:pPr>
      <w:r w:rsidRPr="00115CF5">
        <w:rPr>
          <w:sz w:val="22"/>
          <w:szCs w:val="22"/>
        </w:rPr>
        <w:t>4.01.</w:t>
      </w:r>
      <w:r w:rsidRPr="00115CF5">
        <w:rPr>
          <w:sz w:val="22"/>
          <w:szCs w:val="22"/>
        </w:rPr>
        <w:tab/>
      </w:r>
      <w:r w:rsidRPr="00795AD7">
        <w:rPr>
          <w:spacing w:val="-4"/>
          <w:sz w:val="22"/>
          <w:szCs w:val="22"/>
        </w:rPr>
        <w:t>The Additional Event of Suspension consists of the following, namely that the Project Implementing Entity’s Legislation has been amended, suspended, abrogated, repealed</w:t>
      </w:r>
      <w:r>
        <w:rPr>
          <w:spacing w:val="-4"/>
          <w:sz w:val="22"/>
          <w:szCs w:val="22"/>
        </w:rPr>
        <w:t>,</w:t>
      </w:r>
      <w:r w:rsidRPr="00795AD7">
        <w:rPr>
          <w:spacing w:val="-4"/>
          <w:sz w:val="22"/>
          <w:szCs w:val="22"/>
        </w:rPr>
        <w:t xml:space="preserve"> or waived so as to affect materially and adversely the ability of the Project Implementing Entity to perform any of its obligations under the Project.</w:t>
      </w:r>
    </w:p>
    <w:p w:rsidR="00357BB1" w:rsidRPr="00115CF5" w:rsidRDefault="00357BB1" w:rsidP="0090447C">
      <w:pPr>
        <w:pStyle w:val="BodyText"/>
        <w:rPr>
          <w:sz w:val="22"/>
          <w:szCs w:val="22"/>
        </w:rPr>
      </w:pPr>
    </w:p>
    <w:p w:rsidR="00357BB1" w:rsidRPr="00115CF5" w:rsidRDefault="00357BB1" w:rsidP="0090447C">
      <w:pPr>
        <w:pStyle w:val="BodyText"/>
        <w:ind w:left="720" w:hanging="720"/>
        <w:rPr>
          <w:sz w:val="22"/>
          <w:szCs w:val="22"/>
        </w:rPr>
      </w:pPr>
      <w:r w:rsidRPr="00115CF5">
        <w:rPr>
          <w:sz w:val="22"/>
          <w:szCs w:val="22"/>
        </w:rPr>
        <w:t>4.0</w:t>
      </w:r>
      <w:r>
        <w:rPr>
          <w:sz w:val="22"/>
          <w:szCs w:val="22"/>
        </w:rPr>
        <w:t>2</w:t>
      </w:r>
      <w:r w:rsidRPr="00115CF5">
        <w:rPr>
          <w:sz w:val="22"/>
          <w:szCs w:val="22"/>
        </w:rPr>
        <w:t>.</w:t>
      </w:r>
      <w:r w:rsidRPr="00115CF5">
        <w:rPr>
          <w:sz w:val="22"/>
          <w:szCs w:val="22"/>
        </w:rPr>
        <w:tab/>
        <w:t>The Additional Event of Acceleration consists of the following</w:t>
      </w:r>
      <w:r>
        <w:rPr>
          <w:sz w:val="22"/>
          <w:szCs w:val="22"/>
        </w:rPr>
        <w:t xml:space="preserve">, that the </w:t>
      </w:r>
      <w:r w:rsidRPr="00115CF5">
        <w:rPr>
          <w:sz w:val="22"/>
          <w:szCs w:val="22"/>
        </w:rPr>
        <w:t xml:space="preserve">event specified in Section 4.01 of this Agreement occurs and is continuing for a period of </w:t>
      </w:r>
      <w:r>
        <w:rPr>
          <w:sz w:val="22"/>
          <w:szCs w:val="22"/>
        </w:rPr>
        <w:t>sixty (60)</w:t>
      </w:r>
      <w:r w:rsidRPr="00115CF5">
        <w:rPr>
          <w:sz w:val="22"/>
          <w:szCs w:val="22"/>
        </w:rPr>
        <w:t xml:space="preserve"> days after notice of the event has been given by the Bank to the Borrower.</w:t>
      </w:r>
    </w:p>
    <w:p w:rsidR="00357BB1" w:rsidRPr="00115CF5" w:rsidRDefault="00357BB1" w:rsidP="0090447C">
      <w:pPr>
        <w:pStyle w:val="BodyText"/>
        <w:rPr>
          <w:sz w:val="22"/>
          <w:szCs w:val="22"/>
        </w:rPr>
      </w:pPr>
    </w:p>
    <w:p w:rsidR="00357BB1" w:rsidRPr="00115CF5" w:rsidRDefault="00357BB1" w:rsidP="0090447C">
      <w:pPr>
        <w:pStyle w:val="BodyText"/>
        <w:jc w:val="center"/>
        <w:rPr>
          <w:b/>
          <w:bCs/>
          <w:sz w:val="22"/>
          <w:szCs w:val="22"/>
        </w:rPr>
      </w:pPr>
    </w:p>
    <w:p w:rsidR="00357BB1" w:rsidRPr="00115CF5" w:rsidRDefault="00357BB1" w:rsidP="0090447C">
      <w:pPr>
        <w:pStyle w:val="BodyText"/>
        <w:jc w:val="center"/>
        <w:rPr>
          <w:sz w:val="22"/>
          <w:szCs w:val="22"/>
        </w:rPr>
      </w:pPr>
      <w:r w:rsidRPr="00115CF5">
        <w:rPr>
          <w:b/>
          <w:bCs/>
          <w:sz w:val="22"/>
          <w:szCs w:val="22"/>
        </w:rPr>
        <w:t>ARTICLE V — EFFECTIVENESS</w:t>
      </w:r>
      <w:r>
        <w:rPr>
          <w:b/>
          <w:bCs/>
          <w:sz w:val="22"/>
          <w:szCs w:val="22"/>
        </w:rPr>
        <w:t>; TERMINATION</w:t>
      </w:r>
    </w:p>
    <w:p w:rsidR="00357BB1" w:rsidRPr="00115CF5" w:rsidRDefault="00357BB1" w:rsidP="0090447C">
      <w:pPr>
        <w:pStyle w:val="BodyText"/>
        <w:ind w:left="720" w:hanging="720"/>
        <w:rPr>
          <w:sz w:val="22"/>
          <w:szCs w:val="22"/>
        </w:rPr>
      </w:pPr>
    </w:p>
    <w:p w:rsidR="00357BB1" w:rsidRDefault="00357BB1" w:rsidP="0090447C">
      <w:pPr>
        <w:pStyle w:val="BodyText"/>
        <w:ind w:left="720" w:hanging="720"/>
        <w:rPr>
          <w:sz w:val="22"/>
          <w:szCs w:val="22"/>
        </w:rPr>
      </w:pPr>
      <w:r w:rsidRPr="00115CF5">
        <w:rPr>
          <w:sz w:val="22"/>
          <w:szCs w:val="22"/>
        </w:rPr>
        <w:t>5.01.</w:t>
      </w:r>
      <w:r w:rsidRPr="00115CF5">
        <w:rPr>
          <w:sz w:val="22"/>
          <w:szCs w:val="22"/>
        </w:rPr>
        <w:tab/>
        <w:t xml:space="preserve">The Effectiveness Deadline is the date </w:t>
      </w:r>
      <w:r>
        <w:rPr>
          <w:sz w:val="22"/>
          <w:szCs w:val="22"/>
        </w:rPr>
        <w:t xml:space="preserve">one hundred and eighty </w:t>
      </w:r>
      <w:r w:rsidRPr="00115CF5">
        <w:rPr>
          <w:sz w:val="22"/>
          <w:szCs w:val="22"/>
        </w:rPr>
        <w:t>(</w:t>
      </w:r>
      <w:r>
        <w:rPr>
          <w:sz w:val="22"/>
          <w:szCs w:val="22"/>
        </w:rPr>
        <w:t>18</w:t>
      </w:r>
      <w:r w:rsidRPr="00115CF5">
        <w:rPr>
          <w:sz w:val="22"/>
          <w:szCs w:val="22"/>
        </w:rPr>
        <w:t xml:space="preserve">0) days after the </w:t>
      </w:r>
      <w:r>
        <w:rPr>
          <w:sz w:val="22"/>
          <w:szCs w:val="22"/>
        </w:rPr>
        <w:t>Signature Date.</w:t>
      </w:r>
    </w:p>
    <w:p w:rsidR="00357BB1" w:rsidRDefault="00357BB1" w:rsidP="0090447C">
      <w:pPr>
        <w:pStyle w:val="BodyText"/>
        <w:ind w:left="720" w:hanging="720"/>
        <w:rPr>
          <w:sz w:val="22"/>
          <w:szCs w:val="22"/>
        </w:rPr>
      </w:pPr>
    </w:p>
    <w:p w:rsidR="00357BB1" w:rsidRDefault="00357BB1" w:rsidP="0090447C">
      <w:pPr>
        <w:pStyle w:val="BodyText"/>
        <w:ind w:left="720" w:hanging="720"/>
        <w:rPr>
          <w:sz w:val="22"/>
          <w:szCs w:val="22"/>
        </w:rPr>
      </w:pPr>
    </w:p>
    <w:p w:rsidR="00357BB1" w:rsidRPr="00115CF5" w:rsidRDefault="00357BB1" w:rsidP="0090447C">
      <w:pPr>
        <w:pStyle w:val="BodyText"/>
        <w:jc w:val="center"/>
        <w:rPr>
          <w:sz w:val="22"/>
          <w:szCs w:val="22"/>
        </w:rPr>
      </w:pPr>
      <w:r w:rsidRPr="00115CF5">
        <w:rPr>
          <w:b/>
          <w:bCs/>
          <w:sz w:val="22"/>
          <w:szCs w:val="22"/>
        </w:rPr>
        <w:t>ARTICLE VI — REPRESENTATIVE; ADDRESSES</w:t>
      </w:r>
    </w:p>
    <w:p w:rsidR="00357BB1" w:rsidRPr="00115CF5" w:rsidRDefault="00357BB1" w:rsidP="0090447C">
      <w:pPr>
        <w:pStyle w:val="BodyText"/>
        <w:jc w:val="center"/>
        <w:rPr>
          <w:sz w:val="22"/>
          <w:szCs w:val="22"/>
        </w:rPr>
      </w:pPr>
    </w:p>
    <w:p w:rsidR="00357BB1" w:rsidRPr="00795AD7" w:rsidRDefault="00357BB1" w:rsidP="0090447C">
      <w:pPr>
        <w:pStyle w:val="BodyText"/>
        <w:ind w:left="720" w:hanging="720"/>
        <w:rPr>
          <w:spacing w:val="-5"/>
          <w:sz w:val="22"/>
          <w:szCs w:val="22"/>
        </w:rPr>
      </w:pPr>
      <w:r>
        <w:rPr>
          <w:sz w:val="22"/>
          <w:szCs w:val="22"/>
        </w:rPr>
        <w:t>6</w:t>
      </w:r>
      <w:r w:rsidRPr="00115CF5">
        <w:rPr>
          <w:sz w:val="22"/>
          <w:szCs w:val="22"/>
        </w:rPr>
        <w:t>.01.</w:t>
      </w:r>
      <w:r w:rsidRPr="00115CF5">
        <w:rPr>
          <w:sz w:val="22"/>
          <w:szCs w:val="22"/>
        </w:rPr>
        <w:tab/>
      </w:r>
      <w:r w:rsidRPr="00795AD7">
        <w:rPr>
          <w:spacing w:val="-5"/>
          <w:sz w:val="22"/>
          <w:szCs w:val="22"/>
        </w:rPr>
        <w:t xml:space="preserve">The Borrower’s Representative, who, </w:t>
      </w:r>
      <w:r w:rsidRPr="00795AD7">
        <w:rPr>
          <w:i/>
          <w:spacing w:val="-5"/>
          <w:sz w:val="22"/>
          <w:szCs w:val="22"/>
        </w:rPr>
        <w:t>inter alia</w:t>
      </w:r>
      <w:r w:rsidRPr="00795AD7">
        <w:rPr>
          <w:spacing w:val="-5"/>
          <w:sz w:val="22"/>
          <w:szCs w:val="22"/>
        </w:rPr>
        <w:t>, may agree to modification of the provisions of this Agreement on behalf of the Borrower through exchange of letters (unless otherwise determined by the Borrower and the Bank), is its Minister of Finance.</w:t>
      </w:r>
    </w:p>
    <w:p w:rsidR="00357BB1" w:rsidRPr="00795AD7" w:rsidRDefault="00357BB1" w:rsidP="0090447C">
      <w:pPr>
        <w:pStyle w:val="BodyText"/>
        <w:ind w:left="720" w:hanging="720"/>
        <w:rPr>
          <w:spacing w:val="-5"/>
          <w:sz w:val="22"/>
          <w:szCs w:val="22"/>
        </w:rPr>
      </w:pPr>
    </w:p>
    <w:p w:rsidR="00357BB1" w:rsidRPr="00115CF5" w:rsidRDefault="00357BB1" w:rsidP="0090447C">
      <w:pPr>
        <w:pStyle w:val="BodyText"/>
        <w:ind w:left="720" w:hanging="720"/>
        <w:rPr>
          <w:sz w:val="22"/>
          <w:szCs w:val="22"/>
        </w:rPr>
      </w:pPr>
      <w:r>
        <w:rPr>
          <w:sz w:val="22"/>
          <w:szCs w:val="22"/>
        </w:rPr>
        <w:t>6</w:t>
      </w:r>
      <w:r w:rsidRPr="00115CF5">
        <w:rPr>
          <w:sz w:val="22"/>
          <w:szCs w:val="22"/>
        </w:rPr>
        <w:t>.02.</w:t>
      </w:r>
      <w:r w:rsidRPr="00115CF5">
        <w:rPr>
          <w:sz w:val="22"/>
          <w:szCs w:val="22"/>
        </w:rPr>
        <w:tab/>
      </w:r>
      <w:r>
        <w:rPr>
          <w:sz w:val="22"/>
          <w:szCs w:val="22"/>
        </w:rPr>
        <w:t>For purposes of Section 10.01 of the General Conditions: (a) t</w:t>
      </w:r>
      <w:r w:rsidRPr="00115CF5">
        <w:rPr>
          <w:sz w:val="22"/>
          <w:szCs w:val="22"/>
        </w:rPr>
        <w:t xml:space="preserve">he Borrower’s </w:t>
      </w:r>
      <w:r>
        <w:rPr>
          <w:sz w:val="22"/>
          <w:szCs w:val="22"/>
        </w:rPr>
        <w:t>a</w:t>
      </w:r>
      <w:r w:rsidRPr="00115CF5">
        <w:rPr>
          <w:sz w:val="22"/>
          <w:szCs w:val="22"/>
        </w:rPr>
        <w:t>ddress</w:t>
      </w:r>
      <w:r>
        <w:rPr>
          <w:sz w:val="22"/>
          <w:szCs w:val="22"/>
        </w:rPr>
        <w:t xml:space="preserve"> </w:t>
      </w:r>
      <w:r w:rsidRPr="00115CF5">
        <w:rPr>
          <w:sz w:val="22"/>
          <w:szCs w:val="22"/>
        </w:rPr>
        <w:t>is:</w:t>
      </w:r>
    </w:p>
    <w:p w:rsidR="00357BB1" w:rsidRDefault="00357BB1" w:rsidP="0090447C">
      <w:pPr>
        <w:pStyle w:val="BodyText"/>
        <w:ind w:left="720"/>
        <w:rPr>
          <w:sz w:val="22"/>
          <w:szCs w:val="22"/>
        </w:rPr>
      </w:pPr>
    </w:p>
    <w:p w:rsidR="00357BB1" w:rsidRPr="00087840" w:rsidRDefault="00357BB1" w:rsidP="0090447C">
      <w:pPr>
        <w:pStyle w:val="BodyText"/>
        <w:ind w:left="1440"/>
        <w:rPr>
          <w:sz w:val="22"/>
          <w:szCs w:val="22"/>
        </w:rPr>
      </w:pPr>
      <w:r w:rsidRPr="00087840">
        <w:rPr>
          <w:sz w:val="22"/>
          <w:szCs w:val="22"/>
        </w:rPr>
        <w:t>Ministry of Finance</w:t>
      </w:r>
    </w:p>
    <w:p w:rsidR="00357BB1" w:rsidRPr="00087840" w:rsidRDefault="00357BB1" w:rsidP="0090447C">
      <w:pPr>
        <w:pStyle w:val="BodyText"/>
        <w:ind w:left="1440"/>
        <w:rPr>
          <w:sz w:val="22"/>
          <w:szCs w:val="22"/>
        </w:rPr>
      </w:pPr>
      <w:r w:rsidRPr="00087840">
        <w:rPr>
          <w:sz w:val="22"/>
          <w:szCs w:val="22"/>
        </w:rPr>
        <w:t>20 Kneza Milosa St.</w:t>
      </w:r>
    </w:p>
    <w:p w:rsidR="00357BB1" w:rsidRPr="00087840" w:rsidRDefault="00357BB1" w:rsidP="0090447C">
      <w:pPr>
        <w:pStyle w:val="BodyText"/>
        <w:ind w:left="1440"/>
        <w:rPr>
          <w:sz w:val="22"/>
          <w:szCs w:val="22"/>
        </w:rPr>
      </w:pPr>
      <w:r w:rsidRPr="00087840">
        <w:rPr>
          <w:sz w:val="22"/>
          <w:szCs w:val="22"/>
        </w:rPr>
        <w:t>11000 Belgrade</w:t>
      </w:r>
    </w:p>
    <w:p w:rsidR="00357BB1" w:rsidRPr="00087840" w:rsidRDefault="00357BB1" w:rsidP="0090447C">
      <w:pPr>
        <w:pStyle w:val="BodyText"/>
        <w:ind w:left="1440"/>
        <w:rPr>
          <w:sz w:val="22"/>
          <w:szCs w:val="22"/>
        </w:rPr>
      </w:pPr>
      <w:r w:rsidRPr="00087840">
        <w:rPr>
          <w:sz w:val="22"/>
          <w:szCs w:val="22"/>
        </w:rPr>
        <w:t>Republic of Serbia; and</w:t>
      </w:r>
    </w:p>
    <w:p w:rsidR="00357BB1" w:rsidRPr="00087840" w:rsidRDefault="00357BB1" w:rsidP="0090447C">
      <w:pPr>
        <w:pStyle w:val="BodyText"/>
        <w:ind w:left="720"/>
        <w:rPr>
          <w:sz w:val="22"/>
          <w:szCs w:val="22"/>
        </w:rPr>
      </w:pPr>
    </w:p>
    <w:p w:rsidR="00357BB1" w:rsidRPr="00087840" w:rsidRDefault="00357BB1" w:rsidP="0090447C">
      <w:pPr>
        <w:pStyle w:val="BodyText"/>
        <w:ind w:left="720"/>
        <w:rPr>
          <w:sz w:val="22"/>
          <w:szCs w:val="22"/>
        </w:rPr>
      </w:pPr>
      <w:r w:rsidRPr="00087840">
        <w:rPr>
          <w:sz w:val="22"/>
          <w:szCs w:val="22"/>
        </w:rPr>
        <w:t>(b) the Borrower’s Electronic Address is:</w:t>
      </w:r>
    </w:p>
    <w:p w:rsidR="00357BB1" w:rsidRPr="00087840" w:rsidRDefault="00357BB1" w:rsidP="0090447C">
      <w:pPr>
        <w:pStyle w:val="BodyText"/>
        <w:ind w:left="720"/>
        <w:rPr>
          <w:sz w:val="22"/>
          <w:szCs w:val="22"/>
        </w:rPr>
      </w:pPr>
    </w:p>
    <w:p w:rsidR="00357BB1" w:rsidRPr="006D5E6C" w:rsidRDefault="00357BB1" w:rsidP="0090447C">
      <w:pPr>
        <w:pStyle w:val="BodyText"/>
        <w:ind w:left="1440"/>
        <w:rPr>
          <w:sz w:val="22"/>
          <w:szCs w:val="22"/>
          <w:lang w:val="it-IT"/>
        </w:rPr>
      </w:pPr>
      <w:r w:rsidRPr="006D5E6C">
        <w:rPr>
          <w:sz w:val="22"/>
          <w:szCs w:val="22"/>
          <w:lang w:val="it-IT"/>
        </w:rPr>
        <w:t>Facsimile:</w:t>
      </w:r>
      <w:r w:rsidRPr="006D5E6C">
        <w:rPr>
          <w:sz w:val="22"/>
          <w:szCs w:val="22"/>
          <w:lang w:val="it-IT"/>
        </w:rPr>
        <w:tab/>
      </w:r>
      <w:r w:rsidRPr="006D5E6C">
        <w:rPr>
          <w:sz w:val="22"/>
          <w:szCs w:val="22"/>
          <w:lang w:val="it-IT"/>
        </w:rPr>
        <w:tab/>
        <w:t>E-mail:</w:t>
      </w:r>
    </w:p>
    <w:p w:rsidR="00357BB1" w:rsidRDefault="00357BB1" w:rsidP="0090447C">
      <w:pPr>
        <w:pStyle w:val="BodyText"/>
        <w:ind w:left="1440"/>
        <w:rPr>
          <w:rStyle w:val="Hyperlink"/>
          <w:sz w:val="22"/>
          <w:szCs w:val="22"/>
          <w:lang w:val="it-IT"/>
        </w:rPr>
      </w:pPr>
      <w:r w:rsidRPr="006D5E6C">
        <w:rPr>
          <w:sz w:val="22"/>
          <w:szCs w:val="22"/>
          <w:lang w:val="it-IT"/>
        </w:rPr>
        <w:t>(381-11) 3618-961</w:t>
      </w:r>
      <w:r w:rsidRPr="006D5E6C">
        <w:rPr>
          <w:sz w:val="22"/>
          <w:szCs w:val="22"/>
          <w:lang w:val="it-IT"/>
        </w:rPr>
        <w:tab/>
      </w:r>
      <w:hyperlink r:id="rId13" w:history="1">
        <w:r w:rsidRPr="006D5E6C">
          <w:rPr>
            <w:rStyle w:val="Hyperlink"/>
            <w:sz w:val="22"/>
            <w:szCs w:val="22"/>
            <w:lang w:val="it-IT"/>
          </w:rPr>
          <w:t>kabinet@mfin.gov.rs</w:t>
        </w:r>
      </w:hyperlink>
    </w:p>
    <w:p w:rsidR="009A2304" w:rsidRDefault="009A2304" w:rsidP="0090447C">
      <w:pPr>
        <w:pStyle w:val="BodyText"/>
        <w:ind w:left="1440"/>
        <w:rPr>
          <w:rStyle w:val="Hyperlink"/>
          <w:sz w:val="22"/>
          <w:szCs w:val="22"/>
          <w:lang w:val="it-IT"/>
        </w:rPr>
      </w:pPr>
    </w:p>
    <w:p w:rsidR="009A2304" w:rsidRDefault="009A2304" w:rsidP="0090447C">
      <w:pPr>
        <w:pStyle w:val="BodyText"/>
        <w:ind w:left="1440"/>
        <w:rPr>
          <w:rStyle w:val="Hyperlink"/>
          <w:sz w:val="22"/>
          <w:szCs w:val="22"/>
          <w:lang w:val="it-IT"/>
        </w:rPr>
      </w:pPr>
    </w:p>
    <w:p w:rsidR="009A2304" w:rsidRDefault="009A2304" w:rsidP="0090447C">
      <w:pPr>
        <w:pStyle w:val="BodyText"/>
        <w:ind w:left="1440"/>
        <w:rPr>
          <w:rStyle w:val="Hyperlink"/>
          <w:sz w:val="22"/>
          <w:szCs w:val="22"/>
          <w:lang w:val="it-IT"/>
        </w:rPr>
      </w:pPr>
    </w:p>
    <w:p w:rsidR="009A2304" w:rsidRDefault="009A2304" w:rsidP="0090447C">
      <w:pPr>
        <w:pStyle w:val="BodyText"/>
        <w:ind w:left="1440"/>
        <w:rPr>
          <w:rStyle w:val="Hyperlink"/>
          <w:sz w:val="22"/>
          <w:szCs w:val="22"/>
          <w:lang w:val="it-IT"/>
        </w:rPr>
      </w:pPr>
    </w:p>
    <w:p w:rsidR="009A2304" w:rsidRDefault="009A2304" w:rsidP="0090447C">
      <w:pPr>
        <w:pStyle w:val="BodyText"/>
        <w:ind w:left="1440"/>
        <w:rPr>
          <w:rStyle w:val="Hyperlink"/>
          <w:sz w:val="22"/>
          <w:szCs w:val="22"/>
          <w:lang w:val="it-IT"/>
        </w:rPr>
      </w:pPr>
    </w:p>
    <w:p w:rsidR="009A2304" w:rsidRPr="006D5E6C" w:rsidRDefault="009A2304" w:rsidP="0090447C">
      <w:pPr>
        <w:pStyle w:val="BodyText"/>
        <w:ind w:left="1440"/>
        <w:rPr>
          <w:sz w:val="22"/>
          <w:szCs w:val="22"/>
          <w:lang w:val="it-IT"/>
        </w:rPr>
      </w:pPr>
    </w:p>
    <w:p w:rsidR="00357BB1" w:rsidRPr="00115CF5" w:rsidRDefault="00357BB1" w:rsidP="0090447C">
      <w:pPr>
        <w:pStyle w:val="BodyText"/>
        <w:rPr>
          <w:sz w:val="22"/>
          <w:szCs w:val="22"/>
        </w:rPr>
      </w:pPr>
    </w:p>
    <w:p w:rsidR="00357BB1" w:rsidRPr="00795AD7" w:rsidRDefault="00357BB1" w:rsidP="0090447C">
      <w:pPr>
        <w:pStyle w:val="BodyText"/>
        <w:ind w:left="720" w:hanging="720"/>
        <w:rPr>
          <w:spacing w:val="-4"/>
          <w:sz w:val="22"/>
          <w:szCs w:val="22"/>
        </w:rPr>
      </w:pPr>
      <w:r w:rsidRPr="00115CF5">
        <w:rPr>
          <w:sz w:val="22"/>
          <w:szCs w:val="22"/>
        </w:rPr>
        <w:lastRenderedPageBreak/>
        <w:t>6.03.</w:t>
      </w:r>
      <w:r w:rsidRPr="00115CF5">
        <w:rPr>
          <w:sz w:val="22"/>
          <w:szCs w:val="22"/>
        </w:rPr>
        <w:tab/>
      </w:r>
      <w:r w:rsidRPr="00795AD7">
        <w:rPr>
          <w:spacing w:val="-4"/>
          <w:sz w:val="22"/>
          <w:szCs w:val="22"/>
        </w:rPr>
        <w:t>For purposes of Section 10.01 of the General Conditions: (a) the Bank’s address is:</w:t>
      </w:r>
    </w:p>
    <w:p w:rsidR="00357BB1" w:rsidRPr="00115CF5" w:rsidRDefault="00357BB1" w:rsidP="0090447C">
      <w:pPr>
        <w:pStyle w:val="BodyText"/>
        <w:ind w:left="720"/>
        <w:rPr>
          <w:sz w:val="22"/>
          <w:szCs w:val="22"/>
        </w:rPr>
      </w:pPr>
    </w:p>
    <w:p w:rsidR="00357BB1" w:rsidRPr="00115CF5" w:rsidRDefault="00357BB1" w:rsidP="0090447C">
      <w:pPr>
        <w:pStyle w:val="BodyText"/>
        <w:ind w:left="1440"/>
        <w:rPr>
          <w:sz w:val="22"/>
          <w:szCs w:val="22"/>
        </w:rPr>
      </w:pPr>
      <w:r w:rsidRPr="00115CF5">
        <w:rPr>
          <w:sz w:val="22"/>
          <w:szCs w:val="22"/>
        </w:rPr>
        <w:t>International Bank for Reconstruction and Development</w:t>
      </w:r>
    </w:p>
    <w:p w:rsidR="00357BB1" w:rsidRPr="00115CF5" w:rsidRDefault="00357BB1" w:rsidP="0090447C">
      <w:pPr>
        <w:pStyle w:val="BodyText"/>
        <w:ind w:left="144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rsidR="00357BB1" w:rsidRPr="00115CF5" w:rsidRDefault="00357BB1" w:rsidP="0090447C">
      <w:pPr>
        <w:pStyle w:val="BodyText"/>
        <w:ind w:left="144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rsidR="00357BB1" w:rsidRDefault="00357BB1" w:rsidP="0090447C">
      <w:pPr>
        <w:pStyle w:val="BodyText"/>
        <w:ind w:left="1440"/>
        <w:rPr>
          <w:sz w:val="22"/>
          <w:szCs w:val="22"/>
        </w:rPr>
      </w:pPr>
      <w:r w:rsidRPr="00115CF5">
        <w:rPr>
          <w:sz w:val="22"/>
          <w:szCs w:val="22"/>
        </w:rPr>
        <w:t>United States of America</w:t>
      </w:r>
      <w:r>
        <w:rPr>
          <w:sz w:val="22"/>
          <w:szCs w:val="22"/>
        </w:rPr>
        <w:t>; and</w:t>
      </w:r>
    </w:p>
    <w:p w:rsidR="00357BB1" w:rsidRDefault="00357BB1" w:rsidP="0090447C">
      <w:pPr>
        <w:pStyle w:val="BodyText"/>
        <w:ind w:left="720"/>
        <w:rPr>
          <w:sz w:val="22"/>
          <w:szCs w:val="22"/>
        </w:rPr>
      </w:pPr>
    </w:p>
    <w:p w:rsidR="00357BB1" w:rsidRPr="00115CF5" w:rsidRDefault="00357BB1" w:rsidP="0090447C">
      <w:pPr>
        <w:pStyle w:val="BodyText"/>
        <w:ind w:left="720"/>
        <w:rPr>
          <w:sz w:val="22"/>
          <w:szCs w:val="22"/>
        </w:rPr>
      </w:pPr>
      <w:r>
        <w:rPr>
          <w:sz w:val="22"/>
          <w:szCs w:val="22"/>
        </w:rPr>
        <w:t>(b) the Bank’s Electronic Address is:</w:t>
      </w:r>
    </w:p>
    <w:p w:rsidR="00357BB1" w:rsidRPr="00115CF5" w:rsidRDefault="00357BB1" w:rsidP="0090447C">
      <w:pPr>
        <w:pStyle w:val="BodyText"/>
        <w:ind w:left="720"/>
        <w:rPr>
          <w:sz w:val="22"/>
          <w:szCs w:val="22"/>
        </w:rPr>
      </w:pPr>
    </w:p>
    <w:p w:rsidR="00357BB1" w:rsidRPr="00115CF5" w:rsidRDefault="00357BB1" w:rsidP="0090447C">
      <w:pPr>
        <w:pStyle w:val="BodyText"/>
        <w:tabs>
          <w:tab w:val="left" w:pos="3240"/>
          <w:tab w:val="left" w:pos="5220"/>
        </w:tabs>
        <w:ind w:left="1440"/>
        <w:rPr>
          <w:sz w:val="22"/>
          <w:szCs w:val="22"/>
        </w:rPr>
      </w:pPr>
      <w:r w:rsidRPr="00115CF5">
        <w:rPr>
          <w:sz w:val="22"/>
          <w:szCs w:val="22"/>
        </w:rPr>
        <w:t>Telex:</w:t>
      </w:r>
      <w:r w:rsidRPr="00115CF5">
        <w:rPr>
          <w:sz w:val="22"/>
          <w:szCs w:val="22"/>
        </w:rPr>
        <w:tab/>
        <w:t>Facsimile:</w:t>
      </w:r>
      <w:r>
        <w:rPr>
          <w:sz w:val="22"/>
          <w:szCs w:val="22"/>
        </w:rPr>
        <w:tab/>
        <w:t>E-mail:</w:t>
      </w:r>
    </w:p>
    <w:p w:rsidR="00357BB1" w:rsidRPr="00115CF5" w:rsidRDefault="00357BB1" w:rsidP="0090447C">
      <w:pPr>
        <w:pStyle w:val="BodyText"/>
        <w:tabs>
          <w:tab w:val="left" w:pos="3240"/>
          <w:tab w:val="left" w:pos="5220"/>
        </w:tabs>
        <w:ind w:left="1440"/>
        <w:rPr>
          <w:sz w:val="22"/>
          <w:szCs w:val="22"/>
        </w:rPr>
      </w:pPr>
      <w:r w:rsidRPr="00115CF5">
        <w:rPr>
          <w:sz w:val="22"/>
          <w:szCs w:val="22"/>
        </w:rPr>
        <w:t>248423(MCI) or</w:t>
      </w:r>
      <w:r w:rsidRPr="00115CF5">
        <w:rPr>
          <w:sz w:val="22"/>
          <w:szCs w:val="22"/>
        </w:rPr>
        <w:tab/>
        <w:t>1-202-477-6391</w:t>
      </w:r>
      <w:r>
        <w:rPr>
          <w:sz w:val="22"/>
          <w:szCs w:val="22"/>
        </w:rPr>
        <w:tab/>
        <w:t>sndegwa@worldbank.org</w:t>
      </w:r>
    </w:p>
    <w:p w:rsidR="00357BB1" w:rsidRPr="00115CF5" w:rsidRDefault="00357BB1" w:rsidP="0090447C">
      <w:pPr>
        <w:pStyle w:val="BodyText"/>
        <w:ind w:left="1440"/>
        <w:rPr>
          <w:sz w:val="22"/>
          <w:szCs w:val="22"/>
        </w:rPr>
      </w:pPr>
      <w:r>
        <w:rPr>
          <w:sz w:val="22"/>
          <w:szCs w:val="22"/>
        </w:rPr>
        <w:t xml:space="preserve">  </w:t>
      </w:r>
      <w:r w:rsidRPr="00115CF5">
        <w:rPr>
          <w:sz w:val="22"/>
          <w:szCs w:val="22"/>
        </w:rPr>
        <w:t>64145(MCI)</w:t>
      </w:r>
    </w:p>
    <w:p w:rsidR="00357BB1" w:rsidRPr="00115CF5" w:rsidRDefault="00357BB1" w:rsidP="0090447C">
      <w:pPr>
        <w:pStyle w:val="BodyText"/>
        <w:ind w:left="720"/>
        <w:rPr>
          <w:sz w:val="22"/>
          <w:szCs w:val="22"/>
        </w:rPr>
      </w:pPr>
    </w:p>
    <w:p w:rsidR="00357BB1" w:rsidRDefault="00357BB1" w:rsidP="0090447C">
      <w:pPr>
        <w:pStyle w:val="BodyText"/>
        <w:rPr>
          <w:sz w:val="22"/>
          <w:szCs w:val="22"/>
        </w:rPr>
      </w:pPr>
    </w:p>
    <w:p w:rsidR="00357BB1" w:rsidRPr="00115CF5" w:rsidRDefault="00357BB1" w:rsidP="0090447C">
      <w:pPr>
        <w:pStyle w:val="BodyText"/>
        <w:rPr>
          <w:sz w:val="22"/>
          <w:szCs w:val="22"/>
        </w:rPr>
      </w:pPr>
      <w:r w:rsidRPr="00115CF5">
        <w:rPr>
          <w:sz w:val="22"/>
          <w:szCs w:val="22"/>
        </w:rPr>
        <w:t xml:space="preserve">AGREED </w:t>
      </w:r>
      <w:r>
        <w:rPr>
          <w:sz w:val="22"/>
          <w:szCs w:val="22"/>
        </w:rPr>
        <w:t>and signed in English as of the Signature Date</w:t>
      </w:r>
      <w:r w:rsidRPr="00115CF5">
        <w:rPr>
          <w:sz w:val="22"/>
          <w:szCs w:val="22"/>
        </w:rPr>
        <w:t>.</w:t>
      </w:r>
    </w:p>
    <w:p w:rsidR="00357BB1" w:rsidRDefault="00357BB1" w:rsidP="0090447C">
      <w:pPr>
        <w:pStyle w:val="BodyText"/>
        <w:rPr>
          <w:sz w:val="22"/>
          <w:szCs w:val="22"/>
        </w:rPr>
      </w:pPr>
    </w:p>
    <w:p w:rsidR="00357BB1" w:rsidRPr="00CF2390" w:rsidRDefault="00357BB1" w:rsidP="0090447C">
      <w:pPr>
        <w:pStyle w:val="BodyText"/>
        <w:ind w:left="2160" w:firstLine="720"/>
        <w:jc w:val="left"/>
        <w:rPr>
          <w:b/>
          <w:sz w:val="22"/>
          <w:szCs w:val="22"/>
        </w:rPr>
      </w:pPr>
      <w:r>
        <w:rPr>
          <w:b/>
          <w:sz w:val="22"/>
          <w:szCs w:val="22"/>
        </w:rPr>
        <w:t>REPUBLIC OF SERBIA</w:t>
      </w:r>
    </w:p>
    <w:p w:rsidR="00357BB1" w:rsidRPr="00CF2390" w:rsidRDefault="00357BB1" w:rsidP="0090447C">
      <w:pPr>
        <w:spacing w:line="240" w:lineRule="auto"/>
        <w:rPr>
          <w:b/>
          <w:sz w:val="22"/>
          <w:szCs w:val="22"/>
        </w:rPr>
      </w:pPr>
    </w:p>
    <w:p w:rsidR="00357BB1" w:rsidRPr="00CF2390" w:rsidRDefault="009A2304" w:rsidP="0090447C">
      <w:pPr>
        <w:pStyle w:val="BodyText"/>
        <w:ind w:left="2160" w:firstLine="720"/>
        <w:jc w:val="left"/>
        <w:rPr>
          <w:b/>
          <w:sz w:val="22"/>
          <w:szCs w:val="22"/>
        </w:rPr>
      </w:pPr>
      <w:r>
        <w:rPr>
          <w:b/>
          <w:sz w:val="22"/>
          <w:szCs w:val="22"/>
        </w:rPr>
        <w:tab/>
      </w:r>
      <w:r w:rsidR="00357BB1" w:rsidRPr="00CF2390">
        <w:rPr>
          <w:b/>
          <w:sz w:val="22"/>
          <w:szCs w:val="22"/>
        </w:rPr>
        <w:t>By</w:t>
      </w:r>
    </w:p>
    <w:p w:rsidR="00357BB1" w:rsidRDefault="009A2304" w:rsidP="0090447C">
      <w:pPr>
        <w:spacing w:line="240" w:lineRule="auto"/>
        <w:jc w:val="right"/>
        <w:rPr>
          <w:b/>
          <w:sz w:val="22"/>
          <w:szCs w:val="22"/>
        </w:rPr>
      </w:pPr>
      <w:r>
        <w:rPr>
          <w:b/>
          <w:sz w:val="22"/>
          <w:szCs w:val="22"/>
        </w:rPr>
        <w:tab/>
        <w:t xml:space="preserve">   </w:t>
      </w:r>
      <w:r w:rsidR="00357BB1">
        <w:rPr>
          <w:b/>
          <w:sz w:val="22"/>
          <w:szCs w:val="22"/>
        </w:rPr>
        <w:t>________________________________</w:t>
      </w:r>
      <w:r>
        <w:rPr>
          <w:b/>
          <w:sz w:val="22"/>
          <w:szCs w:val="22"/>
        </w:rPr>
        <w:t>___</w:t>
      </w:r>
      <w:r w:rsidR="00357BB1">
        <w:rPr>
          <w:b/>
          <w:sz w:val="22"/>
          <w:szCs w:val="22"/>
        </w:rPr>
        <w:t>____</w:t>
      </w:r>
    </w:p>
    <w:p w:rsidR="00357BB1" w:rsidRDefault="009A2304" w:rsidP="0090447C">
      <w:pPr>
        <w:pStyle w:val="BodyText"/>
        <w:ind w:left="3600" w:firstLine="720"/>
        <w:rPr>
          <w:b/>
          <w:sz w:val="22"/>
          <w:szCs w:val="22"/>
        </w:rPr>
      </w:pPr>
      <w:r>
        <w:rPr>
          <w:b/>
          <w:sz w:val="22"/>
          <w:szCs w:val="22"/>
        </w:rPr>
        <w:t xml:space="preserve">             </w:t>
      </w:r>
      <w:r w:rsidR="00357BB1" w:rsidRPr="00CF2390">
        <w:rPr>
          <w:b/>
          <w:sz w:val="22"/>
          <w:szCs w:val="22"/>
        </w:rPr>
        <w:t>Authorized Representative</w:t>
      </w:r>
    </w:p>
    <w:p w:rsidR="009A2304" w:rsidRDefault="009A2304" w:rsidP="0090447C">
      <w:pPr>
        <w:pStyle w:val="BodyText"/>
        <w:ind w:left="3600" w:firstLine="720"/>
        <w:rPr>
          <w:b/>
          <w:sz w:val="22"/>
          <w:szCs w:val="22"/>
        </w:rPr>
      </w:pPr>
    </w:p>
    <w:tbl>
      <w:tblPr>
        <w:tblStyle w:val="TableGrid"/>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786"/>
      </w:tblGrid>
      <w:tr w:rsidR="009A2304" w:rsidTr="009A2304">
        <w:tc>
          <w:tcPr>
            <w:tcW w:w="851" w:type="dxa"/>
          </w:tcPr>
          <w:p w:rsidR="009A2304" w:rsidRDefault="009A2304" w:rsidP="0090447C">
            <w:pPr>
              <w:pStyle w:val="BodyText"/>
              <w:rPr>
                <w:b/>
                <w:sz w:val="22"/>
                <w:szCs w:val="22"/>
              </w:rPr>
            </w:pPr>
            <w:r>
              <w:rPr>
                <w:b/>
                <w:sz w:val="22"/>
                <w:szCs w:val="22"/>
              </w:rPr>
              <w:t>Name:</w:t>
            </w:r>
          </w:p>
        </w:tc>
        <w:tc>
          <w:tcPr>
            <w:tcW w:w="3786" w:type="dxa"/>
            <w:tcBorders>
              <w:bottom w:val="single" w:sz="4" w:space="0" w:color="auto"/>
            </w:tcBorders>
          </w:tcPr>
          <w:p w:rsidR="009A2304" w:rsidRDefault="009A2304" w:rsidP="0090447C">
            <w:pPr>
              <w:pStyle w:val="BodyText"/>
              <w:rPr>
                <w:b/>
                <w:sz w:val="22"/>
                <w:szCs w:val="22"/>
              </w:rPr>
            </w:pPr>
            <w:r>
              <w:rPr>
                <w:b/>
                <w:sz w:val="22"/>
                <w:szCs w:val="22"/>
                <w:lang w:val="sr-Latn-RS"/>
              </w:rPr>
              <w:t xml:space="preserve">                SINIŠA MALI</w:t>
            </w:r>
          </w:p>
        </w:tc>
      </w:tr>
    </w:tbl>
    <w:p w:rsidR="00357BB1" w:rsidRDefault="00357BB1" w:rsidP="0090447C">
      <w:pPr>
        <w:pStyle w:val="BodyText"/>
        <w:rPr>
          <w:b/>
          <w:sz w:val="22"/>
          <w:szCs w:val="22"/>
        </w:rPr>
      </w:pPr>
    </w:p>
    <w:tbl>
      <w:tblPr>
        <w:tblStyle w:val="TableGrid"/>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786"/>
      </w:tblGrid>
      <w:tr w:rsidR="009A2304" w:rsidTr="009A2304">
        <w:tc>
          <w:tcPr>
            <w:tcW w:w="851" w:type="dxa"/>
          </w:tcPr>
          <w:p w:rsidR="009A2304" w:rsidRDefault="009A2304" w:rsidP="00A92E12">
            <w:pPr>
              <w:pStyle w:val="BodyText"/>
              <w:rPr>
                <w:b/>
                <w:sz w:val="22"/>
                <w:szCs w:val="22"/>
              </w:rPr>
            </w:pPr>
            <w:r>
              <w:rPr>
                <w:b/>
                <w:sz w:val="22"/>
                <w:szCs w:val="22"/>
              </w:rPr>
              <w:t>Title:</w:t>
            </w:r>
          </w:p>
        </w:tc>
        <w:tc>
          <w:tcPr>
            <w:tcW w:w="3786" w:type="dxa"/>
            <w:tcBorders>
              <w:bottom w:val="single" w:sz="4" w:space="0" w:color="auto"/>
            </w:tcBorders>
          </w:tcPr>
          <w:p w:rsidR="009A2304" w:rsidRDefault="009A2304" w:rsidP="00A92E12">
            <w:pPr>
              <w:pStyle w:val="BodyText"/>
              <w:rPr>
                <w:b/>
                <w:sz w:val="22"/>
                <w:szCs w:val="22"/>
              </w:rPr>
            </w:pPr>
            <w:r>
              <w:rPr>
                <w:b/>
                <w:sz w:val="22"/>
                <w:szCs w:val="22"/>
              </w:rPr>
              <w:t xml:space="preserve">     MINISTER OF FINANCE</w:t>
            </w:r>
          </w:p>
        </w:tc>
      </w:tr>
    </w:tbl>
    <w:p w:rsidR="009A2304" w:rsidRDefault="009A2304" w:rsidP="0090447C">
      <w:pPr>
        <w:pStyle w:val="BodyText"/>
        <w:rPr>
          <w:b/>
          <w:sz w:val="22"/>
          <w:szCs w:val="22"/>
        </w:rPr>
      </w:pPr>
    </w:p>
    <w:tbl>
      <w:tblPr>
        <w:tblStyle w:val="TableGrid"/>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786"/>
      </w:tblGrid>
      <w:tr w:rsidR="009A2304" w:rsidTr="009A2304">
        <w:tc>
          <w:tcPr>
            <w:tcW w:w="851" w:type="dxa"/>
          </w:tcPr>
          <w:p w:rsidR="009A2304" w:rsidRDefault="009A2304" w:rsidP="00A92E12">
            <w:pPr>
              <w:pStyle w:val="BodyText"/>
              <w:rPr>
                <w:b/>
                <w:sz w:val="22"/>
                <w:szCs w:val="22"/>
              </w:rPr>
            </w:pPr>
            <w:r>
              <w:rPr>
                <w:b/>
                <w:sz w:val="22"/>
                <w:szCs w:val="22"/>
              </w:rPr>
              <w:t>Date:</w:t>
            </w:r>
          </w:p>
        </w:tc>
        <w:tc>
          <w:tcPr>
            <w:tcW w:w="3786" w:type="dxa"/>
            <w:tcBorders>
              <w:bottom w:val="single" w:sz="4" w:space="0" w:color="auto"/>
            </w:tcBorders>
          </w:tcPr>
          <w:p w:rsidR="009A2304" w:rsidRDefault="009A2304" w:rsidP="00A92E12">
            <w:pPr>
              <w:pStyle w:val="BodyText"/>
              <w:rPr>
                <w:b/>
                <w:sz w:val="22"/>
                <w:szCs w:val="22"/>
              </w:rPr>
            </w:pPr>
            <w:r>
              <w:rPr>
                <w:b/>
                <w:sz w:val="22"/>
                <w:szCs w:val="22"/>
                <w:lang w:val="sr-Latn-RS"/>
              </w:rPr>
              <w:t xml:space="preserve">                   07/05/2019</w:t>
            </w:r>
          </w:p>
        </w:tc>
      </w:tr>
    </w:tbl>
    <w:p w:rsidR="00357BB1" w:rsidRDefault="00357BB1" w:rsidP="0090447C">
      <w:pPr>
        <w:spacing w:line="240" w:lineRule="auto"/>
        <w:rPr>
          <w:b/>
          <w:sz w:val="22"/>
          <w:szCs w:val="22"/>
        </w:rPr>
      </w:pPr>
    </w:p>
    <w:p w:rsidR="00357BB1" w:rsidRDefault="00357BB1" w:rsidP="0090447C">
      <w:pPr>
        <w:spacing w:line="240" w:lineRule="auto"/>
        <w:rPr>
          <w:b/>
          <w:sz w:val="22"/>
          <w:szCs w:val="22"/>
        </w:rPr>
      </w:pPr>
    </w:p>
    <w:p w:rsidR="00357BB1" w:rsidRPr="00CF2390" w:rsidRDefault="00357BB1" w:rsidP="0090447C">
      <w:pPr>
        <w:spacing w:line="240" w:lineRule="auto"/>
        <w:rPr>
          <w:b/>
          <w:sz w:val="22"/>
          <w:szCs w:val="22"/>
        </w:rPr>
      </w:pPr>
    </w:p>
    <w:p w:rsidR="00357BB1" w:rsidRPr="004327C2" w:rsidRDefault="00357BB1" w:rsidP="0090447C">
      <w:pPr>
        <w:pStyle w:val="BodyText"/>
        <w:ind w:left="2880" w:right="-360"/>
        <w:jc w:val="left"/>
        <w:rPr>
          <w:b/>
          <w:sz w:val="22"/>
          <w:szCs w:val="22"/>
        </w:rPr>
      </w:pPr>
      <w:r w:rsidRPr="004327C2">
        <w:rPr>
          <w:b/>
          <w:sz w:val="22"/>
          <w:szCs w:val="22"/>
        </w:rPr>
        <w:t>INTERNATIONAL BANK FOR</w:t>
      </w:r>
      <w:r>
        <w:rPr>
          <w:b/>
          <w:sz w:val="22"/>
          <w:szCs w:val="22"/>
        </w:rPr>
        <w:t xml:space="preserve"> </w:t>
      </w:r>
      <w:r w:rsidRPr="004327C2">
        <w:rPr>
          <w:b/>
          <w:sz w:val="22"/>
          <w:szCs w:val="22"/>
        </w:rPr>
        <w:t>RECONSTRUCTION</w:t>
      </w:r>
      <w:r>
        <w:rPr>
          <w:b/>
          <w:sz w:val="22"/>
          <w:szCs w:val="22"/>
        </w:rPr>
        <w:t xml:space="preserve"> </w:t>
      </w:r>
      <w:r w:rsidRPr="004327C2">
        <w:rPr>
          <w:b/>
          <w:sz w:val="22"/>
          <w:szCs w:val="22"/>
        </w:rPr>
        <w:t xml:space="preserve">AND </w:t>
      </w:r>
      <w:r>
        <w:rPr>
          <w:b/>
          <w:sz w:val="22"/>
          <w:szCs w:val="22"/>
        </w:rPr>
        <w:t>D</w:t>
      </w:r>
      <w:r w:rsidRPr="004327C2">
        <w:rPr>
          <w:b/>
          <w:sz w:val="22"/>
          <w:szCs w:val="22"/>
        </w:rPr>
        <w:t>EVELOPMENT</w:t>
      </w:r>
    </w:p>
    <w:p w:rsidR="00357BB1" w:rsidRPr="00CF2390" w:rsidRDefault="00357BB1" w:rsidP="0090447C">
      <w:pPr>
        <w:spacing w:line="240" w:lineRule="auto"/>
        <w:jc w:val="both"/>
        <w:rPr>
          <w:b/>
          <w:sz w:val="22"/>
          <w:szCs w:val="22"/>
        </w:rPr>
      </w:pPr>
    </w:p>
    <w:p w:rsidR="00357BB1" w:rsidRPr="00CF2390" w:rsidRDefault="009A2304" w:rsidP="0090447C">
      <w:pPr>
        <w:pStyle w:val="BodyText"/>
        <w:ind w:left="2160" w:firstLine="720"/>
        <w:jc w:val="left"/>
        <w:rPr>
          <w:b/>
          <w:sz w:val="22"/>
          <w:szCs w:val="22"/>
        </w:rPr>
      </w:pPr>
      <w:r>
        <w:rPr>
          <w:b/>
          <w:sz w:val="22"/>
          <w:szCs w:val="22"/>
        </w:rPr>
        <w:tab/>
      </w:r>
      <w:r w:rsidR="00357BB1" w:rsidRPr="00CF2390">
        <w:rPr>
          <w:b/>
          <w:sz w:val="22"/>
          <w:szCs w:val="22"/>
        </w:rPr>
        <w:t>By</w:t>
      </w:r>
    </w:p>
    <w:p w:rsidR="00357BB1" w:rsidRDefault="00357BB1" w:rsidP="0090447C">
      <w:pPr>
        <w:spacing w:line="240" w:lineRule="auto"/>
        <w:jc w:val="right"/>
        <w:rPr>
          <w:b/>
          <w:sz w:val="22"/>
          <w:szCs w:val="22"/>
        </w:rPr>
      </w:pPr>
      <w:r>
        <w:rPr>
          <w:b/>
          <w:sz w:val="22"/>
          <w:szCs w:val="22"/>
        </w:rPr>
        <w:t>__________________________________</w:t>
      </w:r>
      <w:r w:rsidR="009A2304">
        <w:rPr>
          <w:b/>
          <w:sz w:val="22"/>
          <w:szCs w:val="22"/>
        </w:rPr>
        <w:t>__</w:t>
      </w:r>
      <w:r>
        <w:rPr>
          <w:b/>
          <w:sz w:val="22"/>
          <w:szCs w:val="22"/>
        </w:rPr>
        <w:t>__</w:t>
      </w:r>
    </w:p>
    <w:p w:rsidR="00357BB1" w:rsidRDefault="00357BB1" w:rsidP="0090447C">
      <w:pPr>
        <w:tabs>
          <w:tab w:val="left" w:pos="0"/>
        </w:tabs>
        <w:spacing w:line="240" w:lineRule="auto"/>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9A2304">
        <w:rPr>
          <w:b/>
          <w:sz w:val="22"/>
          <w:szCs w:val="22"/>
        </w:rPr>
        <w:t xml:space="preserve">              </w:t>
      </w:r>
      <w:r w:rsidRPr="00CF2390">
        <w:rPr>
          <w:b/>
          <w:sz w:val="22"/>
          <w:szCs w:val="22"/>
        </w:rPr>
        <w:t>Authorized Representative</w:t>
      </w:r>
    </w:p>
    <w:p w:rsidR="00357BB1" w:rsidRDefault="00357BB1" w:rsidP="0090447C">
      <w:pPr>
        <w:spacing w:line="240" w:lineRule="auto"/>
        <w:rPr>
          <w:b/>
          <w:sz w:val="22"/>
          <w:szCs w:val="22"/>
        </w:rPr>
      </w:pPr>
    </w:p>
    <w:tbl>
      <w:tblPr>
        <w:tblStyle w:val="TableGrid"/>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786"/>
      </w:tblGrid>
      <w:tr w:rsidR="009A2304" w:rsidTr="00A92E12">
        <w:tc>
          <w:tcPr>
            <w:tcW w:w="851" w:type="dxa"/>
          </w:tcPr>
          <w:p w:rsidR="009A2304" w:rsidRDefault="009A2304" w:rsidP="00A92E12">
            <w:pPr>
              <w:pStyle w:val="BodyText"/>
              <w:rPr>
                <w:b/>
                <w:sz w:val="22"/>
                <w:szCs w:val="22"/>
              </w:rPr>
            </w:pPr>
            <w:r>
              <w:rPr>
                <w:b/>
                <w:sz w:val="22"/>
                <w:szCs w:val="22"/>
              </w:rPr>
              <w:t>Name:</w:t>
            </w:r>
          </w:p>
        </w:tc>
        <w:tc>
          <w:tcPr>
            <w:tcW w:w="3786" w:type="dxa"/>
            <w:tcBorders>
              <w:bottom w:val="single" w:sz="4" w:space="0" w:color="auto"/>
            </w:tcBorders>
          </w:tcPr>
          <w:p w:rsidR="009A2304" w:rsidRDefault="009A2304" w:rsidP="00A92E12">
            <w:pPr>
              <w:pStyle w:val="BodyText"/>
              <w:rPr>
                <w:b/>
                <w:sz w:val="22"/>
                <w:szCs w:val="22"/>
              </w:rPr>
            </w:pPr>
            <w:r>
              <w:rPr>
                <w:b/>
                <w:sz w:val="22"/>
                <w:szCs w:val="22"/>
                <w:lang w:val="sr-Latn-RS"/>
              </w:rPr>
              <w:t xml:space="preserve">            </w:t>
            </w:r>
            <w:r>
              <w:rPr>
                <w:b/>
                <w:sz w:val="22"/>
                <w:szCs w:val="22"/>
              </w:rPr>
              <w:t>STEPHEN NDEGWA</w:t>
            </w:r>
          </w:p>
        </w:tc>
      </w:tr>
    </w:tbl>
    <w:p w:rsidR="009A2304" w:rsidRDefault="009A2304" w:rsidP="009A2304">
      <w:pPr>
        <w:pStyle w:val="BodyText"/>
        <w:rPr>
          <w:b/>
          <w:sz w:val="22"/>
          <w:szCs w:val="22"/>
        </w:rPr>
      </w:pPr>
    </w:p>
    <w:tbl>
      <w:tblPr>
        <w:tblStyle w:val="TableGrid"/>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786"/>
      </w:tblGrid>
      <w:tr w:rsidR="009A2304" w:rsidTr="00A92E12">
        <w:tc>
          <w:tcPr>
            <w:tcW w:w="851" w:type="dxa"/>
          </w:tcPr>
          <w:p w:rsidR="009A2304" w:rsidRDefault="009A2304" w:rsidP="00A92E12">
            <w:pPr>
              <w:pStyle w:val="BodyText"/>
              <w:rPr>
                <w:b/>
                <w:sz w:val="22"/>
                <w:szCs w:val="22"/>
              </w:rPr>
            </w:pPr>
            <w:r>
              <w:rPr>
                <w:b/>
                <w:sz w:val="22"/>
                <w:szCs w:val="22"/>
              </w:rPr>
              <w:t>Title:</w:t>
            </w:r>
          </w:p>
        </w:tc>
        <w:tc>
          <w:tcPr>
            <w:tcW w:w="3786" w:type="dxa"/>
            <w:tcBorders>
              <w:bottom w:val="single" w:sz="4" w:space="0" w:color="auto"/>
            </w:tcBorders>
          </w:tcPr>
          <w:p w:rsidR="009A2304" w:rsidRDefault="009A2304" w:rsidP="00A92E12">
            <w:pPr>
              <w:pStyle w:val="BodyText"/>
              <w:rPr>
                <w:b/>
                <w:sz w:val="22"/>
                <w:szCs w:val="22"/>
              </w:rPr>
            </w:pPr>
            <w:r>
              <w:rPr>
                <w:b/>
                <w:sz w:val="22"/>
                <w:szCs w:val="22"/>
              </w:rPr>
              <w:t xml:space="preserve">         COUNTRY MANAGER</w:t>
            </w:r>
          </w:p>
        </w:tc>
      </w:tr>
    </w:tbl>
    <w:p w:rsidR="009A2304" w:rsidRDefault="009A2304" w:rsidP="009A2304">
      <w:pPr>
        <w:pStyle w:val="BodyText"/>
        <w:rPr>
          <w:b/>
          <w:sz w:val="22"/>
          <w:szCs w:val="22"/>
        </w:rPr>
      </w:pPr>
    </w:p>
    <w:tbl>
      <w:tblPr>
        <w:tblStyle w:val="TableGrid"/>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786"/>
      </w:tblGrid>
      <w:tr w:rsidR="009A2304" w:rsidTr="00A92E12">
        <w:tc>
          <w:tcPr>
            <w:tcW w:w="851" w:type="dxa"/>
          </w:tcPr>
          <w:p w:rsidR="009A2304" w:rsidRDefault="009A2304" w:rsidP="00A92E12">
            <w:pPr>
              <w:pStyle w:val="BodyText"/>
              <w:rPr>
                <w:b/>
                <w:sz w:val="22"/>
                <w:szCs w:val="22"/>
              </w:rPr>
            </w:pPr>
            <w:r>
              <w:rPr>
                <w:b/>
                <w:sz w:val="22"/>
                <w:szCs w:val="22"/>
              </w:rPr>
              <w:t>Date:</w:t>
            </w:r>
          </w:p>
        </w:tc>
        <w:tc>
          <w:tcPr>
            <w:tcW w:w="3786" w:type="dxa"/>
            <w:tcBorders>
              <w:bottom w:val="single" w:sz="4" w:space="0" w:color="auto"/>
            </w:tcBorders>
          </w:tcPr>
          <w:p w:rsidR="009A2304" w:rsidRDefault="009A2304" w:rsidP="00A92E12">
            <w:pPr>
              <w:pStyle w:val="BodyText"/>
              <w:rPr>
                <w:b/>
                <w:sz w:val="22"/>
                <w:szCs w:val="22"/>
              </w:rPr>
            </w:pPr>
            <w:r>
              <w:rPr>
                <w:b/>
                <w:sz w:val="22"/>
                <w:szCs w:val="22"/>
                <w:lang w:val="sr-Latn-RS"/>
              </w:rPr>
              <w:t xml:space="preserve">                   07/05/2019</w:t>
            </w:r>
          </w:p>
        </w:tc>
      </w:tr>
    </w:tbl>
    <w:p w:rsidR="009A2304" w:rsidRDefault="009A2304" w:rsidP="0090447C">
      <w:pPr>
        <w:spacing w:line="240" w:lineRule="auto"/>
        <w:rPr>
          <w:b/>
          <w:sz w:val="22"/>
          <w:szCs w:val="22"/>
        </w:rPr>
      </w:pPr>
    </w:p>
    <w:p w:rsidR="009A2304" w:rsidRDefault="009A2304" w:rsidP="0090447C">
      <w:pPr>
        <w:spacing w:line="240" w:lineRule="auto"/>
        <w:rPr>
          <w:b/>
          <w:sz w:val="22"/>
          <w:szCs w:val="22"/>
        </w:rPr>
      </w:pPr>
    </w:p>
    <w:p w:rsidR="00357BB1" w:rsidRDefault="0016038B" w:rsidP="00C11C3D">
      <w:pPr>
        <w:spacing w:line="240" w:lineRule="auto"/>
        <w:ind w:left="1440" w:firstLine="720"/>
        <w:jc w:val="center"/>
        <w:rPr>
          <w:b/>
          <w:sz w:val="22"/>
          <w:szCs w:val="22"/>
        </w:rPr>
      </w:pPr>
      <w:sdt>
        <w:sdtPr>
          <w:rPr>
            <w:rStyle w:val="Style1"/>
          </w:rPr>
          <w:alias w:val="DocuSign Anchor Tag"/>
          <w:tag w:val="DocuSign Anchor Tag"/>
          <w:id w:val="-1421869106"/>
          <w:lock w:val="contentLocked"/>
          <w:placeholder>
            <w:docPart w:val="029A1EC493C641E4B3E94909CF28268E"/>
          </w:placeholder>
          <w15:color w:val="FF0000"/>
        </w:sdtPr>
        <w:sdtEndPr>
          <w:rPr>
            <w:rStyle w:val="Style1"/>
          </w:rPr>
        </w:sdtEndPr>
        <w:sdtContent>
          <w:r w:rsidR="00357BB1" w:rsidRPr="00DC49EF">
            <w:rPr>
              <w:rStyle w:val="Style1"/>
            </w:rPr>
            <w:t>/d2/</w:t>
          </w:r>
        </w:sdtContent>
      </w:sdt>
    </w:p>
    <w:p w:rsidR="00357BB1" w:rsidRPr="00115CF5" w:rsidRDefault="00357BB1" w:rsidP="0090447C">
      <w:pPr>
        <w:pStyle w:val="BodyText"/>
        <w:jc w:val="center"/>
        <w:rPr>
          <w:b/>
          <w:bCs/>
          <w:sz w:val="22"/>
          <w:szCs w:val="22"/>
        </w:rPr>
      </w:pPr>
      <w:r w:rsidRPr="00BE3DF1">
        <w:rPr>
          <w:b/>
          <w:sz w:val="22"/>
          <w:szCs w:val="22"/>
        </w:rPr>
        <w:br w:type="page"/>
      </w:r>
      <w:r w:rsidRPr="00115CF5">
        <w:rPr>
          <w:b/>
          <w:bCs/>
          <w:sz w:val="22"/>
          <w:szCs w:val="22"/>
        </w:rPr>
        <w:lastRenderedPageBreak/>
        <w:t>SCHEDULE 1</w:t>
      </w:r>
    </w:p>
    <w:p w:rsidR="00357BB1" w:rsidRPr="00115CF5" w:rsidRDefault="00357BB1" w:rsidP="0090447C">
      <w:pPr>
        <w:pStyle w:val="BodyText"/>
        <w:jc w:val="center"/>
        <w:rPr>
          <w:b/>
          <w:bCs/>
          <w:sz w:val="22"/>
          <w:szCs w:val="22"/>
        </w:rPr>
      </w:pPr>
    </w:p>
    <w:p w:rsidR="00357BB1" w:rsidRPr="00115CF5" w:rsidRDefault="00357BB1" w:rsidP="0090447C">
      <w:pPr>
        <w:pStyle w:val="BodyText"/>
        <w:jc w:val="center"/>
        <w:rPr>
          <w:b/>
          <w:bCs/>
          <w:sz w:val="22"/>
          <w:szCs w:val="22"/>
        </w:rPr>
      </w:pPr>
      <w:r w:rsidRPr="00115CF5">
        <w:rPr>
          <w:b/>
          <w:bCs/>
          <w:sz w:val="22"/>
          <w:szCs w:val="22"/>
        </w:rPr>
        <w:t>Project Description</w:t>
      </w:r>
    </w:p>
    <w:p w:rsidR="00357BB1" w:rsidRPr="00115CF5" w:rsidRDefault="00357BB1" w:rsidP="0090447C">
      <w:pPr>
        <w:pStyle w:val="BodyText"/>
        <w:jc w:val="center"/>
        <w:rPr>
          <w:sz w:val="22"/>
          <w:szCs w:val="22"/>
        </w:rPr>
      </w:pPr>
    </w:p>
    <w:p w:rsidR="00357BB1" w:rsidRPr="00115CF5" w:rsidRDefault="00357BB1" w:rsidP="0090447C">
      <w:pPr>
        <w:pStyle w:val="BodyText"/>
        <w:rPr>
          <w:sz w:val="22"/>
          <w:szCs w:val="22"/>
        </w:rPr>
      </w:pPr>
    </w:p>
    <w:p w:rsidR="00357BB1" w:rsidRPr="00115CF5" w:rsidRDefault="00357BB1" w:rsidP="0090447C">
      <w:pPr>
        <w:pStyle w:val="BodyText"/>
        <w:ind w:firstLine="720"/>
        <w:rPr>
          <w:sz w:val="22"/>
          <w:szCs w:val="22"/>
        </w:rPr>
      </w:pPr>
      <w:r w:rsidRPr="00115CF5">
        <w:rPr>
          <w:sz w:val="22"/>
          <w:szCs w:val="22"/>
        </w:rPr>
        <w:t>The objective</w:t>
      </w:r>
      <w:r>
        <w:rPr>
          <w:sz w:val="22"/>
          <w:szCs w:val="22"/>
        </w:rPr>
        <w:t xml:space="preserve"> of the Project is t</w:t>
      </w:r>
      <w:r w:rsidRPr="00847709">
        <w:rPr>
          <w:sz w:val="22"/>
          <w:szCs w:val="22"/>
        </w:rPr>
        <w:t>o improve access, quality, and efficienc</w:t>
      </w:r>
      <w:r>
        <w:rPr>
          <w:sz w:val="22"/>
          <w:szCs w:val="22"/>
        </w:rPr>
        <w:t>y of selected administrative e-g</w:t>
      </w:r>
      <w:r w:rsidRPr="00847709">
        <w:rPr>
          <w:sz w:val="22"/>
          <w:szCs w:val="22"/>
        </w:rPr>
        <w:t>overnment services</w:t>
      </w:r>
    </w:p>
    <w:p w:rsidR="00357BB1" w:rsidRPr="00115CF5" w:rsidRDefault="00357BB1" w:rsidP="0090447C">
      <w:pPr>
        <w:pStyle w:val="BodyText"/>
        <w:rPr>
          <w:sz w:val="22"/>
          <w:szCs w:val="22"/>
        </w:rPr>
      </w:pPr>
    </w:p>
    <w:p w:rsidR="00357BB1" w:rsidRPr="00115CF5" w:rsidRDefault="00357BB1" w:rsidP="0090447C">
      <w:pPr>
        <w:pStyle w:val="BodyText"/>
        <w:rPr>
          <w:sz w:val="22"/>
          <w:szCs w:val="22"/>
        </w:rPr>
      </w:pPr>
      <w:r w:rsidRPr="00115CF5">
        <w:rPr>
          <w:sz w:val="22"/>
          <w:szCs w:val="22"/>
        </w:rPr>
        <w:tab/>
        <w:t>The Project consists of the following parts:</w:t>
      </w:r>
    </w:p>
    <w:p w:rsidR="00357BB1" w:rsidRPr="00115CF5" w:rsidRDefault="00357BB1" w:rsidP="0090447C">
      <w:pPr>
        <w:pStyle w:val="BodyText"/>
        <w:rPr>
          <w:sz w:val="22"/>
          <w:szCs w:val="22"/>
        </w:rPr>
      </w:pPr>
    </w:p>
    <w:p w:rsidR="00357BB1" w:rsidRPr="009D4518" w:rsidRDefault="00357BB1" w:rsidP="0090447C">
      <w:pPr>
        <w:pStyle w:val="BodyText"/>
        <w:rPr>
          <w:b/>
          <w:sz w:val="22"/>
          <w:szCs w:val="22"/>
        </w:rPr>
      </w:pPr>
      <w:bookmarkStart w:id="6" w:name="_Toc294779"/>
      <w:r w:rsidRPr="009D4518">
        <w:rPr>
          <w:b/>
          <w:sz w:val="22"/>
          <w:szCs w:val="22"/>
          <w:u w:val="single"/>
        </w:rPr>
        <w:t>Component 1.</w:t>
      </w:r>
      <w:r w:rsidRPr="009D4518">
        <w:rPr>
          <w:b/>
          <w:sz w:val="22"/>
          <w:szCs w:val="22"/>
        </w:rPr>
        <w:tab/>
      </w:r>
      <w:r w:rsidRPr="009D4518">
        <w:rPr>
          <w:b/>
          <w:sz w:val="22"/>
          <w:szCs w:val="22"/>
          <w:u w:val="single"/>
        </w:rPr>
        <w:t>Foundations for Digital Service Delivery</w:t>
      </w:r>
    </w:p>
    <w:p w:rsidR="00357BB1" w:rsidRDefault="00357BB1" w:rsidP="0090447C">
      <w:pPr>
        <w:pStyle w:val="BodyText"/>
        <w:rPr>
          <w:sz w:val="22"/>
          <w:szCs w:val="22"/>
        </w:rPr>
      </w:pPr>
    </w:p>
    <w:p w:rsidR="00357BB1" w:rsidRDefault="00357BB1" w:rsidP="0090447C">
      <w:pPr>
        <w:pStyle w:val="BodyText"/>
        <w:ind w:left="720" w:hanging="720"/>
        <w:rPr>
          <w:sz w:val="22"/>
          <w:szCs w:val="22"/>
        </w:rPr>
      </w:pPr>
      <w:bookmarkStart w:id="7" w:name="_Toc294780"/>
      <w:bookmarkEnd w:id="6"/>
      <w:r>
        <w:rPr>
          <w:sz w:val="22"/>
          <w:szCs w:val="22"/>
        </w:rPr>
        <w:t>(a)</w:t>
      </w:r>
      <w:r>
        <w:rPr>
          <w:sz w:val="22"/>
          <w:szCs w:val="22"/>
        </w:rPr>
        <w:tab/>
      </w:r>
      <w:r w:rsidRPr="00AB300C">
        <w:rPr>
          <w:sz w:val="22"/>
          <w:szCs w:val="22"/>
        </w:rPr>
        <w:t>Implementation of</w:t>
      </w:r>
      <w:r w:rsidRPr="00847709">
        <w:rPr>
          <w:sz w:val="22"/>
          <w:szCs w:val="22"/>
        </w:rPr>
        <w:t xml:space="preserve"> </w:t>
      </w:r>
      <w:r>
        <w:rPr>
          <w:sz w:val="22"/>
          <w:szCs w:val="22"/>
        </w:rPr>
        <w:t>an</w:t>
      </w:r>
      <w:r w:rsidRPr="00847709">
        <w:rPr>
          <w:sz w:val="22"/>
          <w:szCs w:val="22"/>
        </w:rPr>
        <w:t xml:space="preserve"> </w:t>
      </w:r>
      <w:r>
        <w:rPr>
          <w:sz w:val="22"/>
          <w:szCs w:val="22"/>
        </w:rPr>
        <w:t>i</w:t>
      </w:r>
      <w:r w:rsidRPr="00847709">
        <w:rPr>
          <w:sz w:val="22"/>
          <w:szCs w:val="22"/>
        </w:rPr>
        <w:t xml:space="preserve">nteroperability </w:t>
      </w:r>
      <w:r>
        <w:rPr>
          <w:sz w:val="22"/>
          <w:szCs w:val="22"/>
        </w:rPr>
        <w:t>p</w:t>
      </w:r>
      <w:r w:rsidRPr="00847709">
        <w:rPr>
          <w:sz w:val="22"/>
          <w:szCs w:val="22"/>
        </w:rPr>
        <w:t>latform as an integrated tool for the safe and secure exchange of data between government entities</w:t>
      </w:r>
      <w:r>
        <w:rPr>
          <w:sz w:val="22"/>
          <w:szCs w:val="22"/>
        </w:rPr>
        <w:t xml:space="preserve">, including, </w:t>
      </w:r>
      <w:r w:rsidRPr="00847709">
        <w:rPr>
          <w:i/>
          <w:sz w:val="22"/>
          <w:szCs w:val="22"/>
        </w:rPr>
        <w:t>inter alia</w:t>
      </w:r>
      <w:r w:rsidRPr="00847709">
        <w:rPr>
          <w:sz w:val="22"/>
          <w:szCs w:val="22"/>
        </w:rPr>
        <w:t>: (i)</w:t>
      </w:r>
      <w:r>
        <w:rPr>
          <w:sz w:val="22"/>
          <w:szCs w:val="22"/>
        </w:rPr>
        <w:t xml:space="preserve"> the conceptualization and design </w:t>
      </w:r>
      <w:r w:rsidRPr="00847709">
        <w:rPr>
          <w:sz w:val="22"/>
          <w:szCs w:val="22"/>
        </w:rPr>
        <w:t xml:space="preserve">of the interoperability framework; (ii) </w:t>
      </w:r>
      <w:r>
        <w:rPr>
          <w:sz w:val="22"/>
          <w:szCs w:val="22"/>
        </w:rPr>
        <w:t xml:space="preserve">the development </w:t>
      </w:r>
      <w:r w:rsidRPr="00847709">
        <w:rPr>
          <w:sz w:val="22"/>
          <w:szCs w:val="22"/>
        </w:rPr>
        <w:t xml:space="preserve">and implementation of </w:t>
      </w:r>
      <w:r>
        <w:rPr>
          <w:sz w:val="22"/>
          <w:szCs w:val="22"/>
        </w:rPr>
        <w:t xml:space="preserve">an </w:t>
      </w:r>
      <w:r w:rsidRPr="00847709">
        <w:rPr>
          <w:sz w:val="22"/>
          <w:szCs w:val="22"/>
        </w:rPr>
        <w:t xml:space="preserve">interoperability platform; (iii) </w:t>
      </w:r>
      <w:r>
        <w:rPr>
          <w:sz w:val="22"/>
          <w:szCs w:val="22"/>
        </w:rPr>
        <w:t xml:space="preserve">the </w:t>
      </w:r>
      <w:r w:rsidRPr="00847709">
        <w:rPr>
          <w:sz w:val="22"/>
          <w:szCs w:val="22"/>
        </w:rPr>
        <w:t xml:space="preserve">design and development of </w:t>
      </w:r>
      <w:r>
        <w:rPr>
          <w:sz w:val="22"/>
          <w:szCs w:val="22"/>
        </w:rPr>
        <w:t>E</w:t>
      </w:r>
      <w:r>
        <w:rPr>
          <w:sz w:val="22"/>
          <w:szCs w:val="22"/>
        </w:rPr>
        <w:noBreakHyphen/>
        <w:t>T</w:t>
      </w:r>
      <w:r w:rsidRPr="00847709">
        <w:rPr>
          <w:sz w:val="22"/>
          <w:szCs w:val="22"/>
        </w:rPr>
        <w:t xml:space="preserve">rusted </w:t>
      </w:r>
      <w:r>
        <w:rPr>
          <w:sz w:val="22"/>
          <w:szCs w:val="22"/>
        </w:rPr>
        <w:t>S</w:t>
      </w:r>
      <w:r w:rsidRPr="00847709">
        <w:rPr>
          <w:sz w:val="22"/>
          <w:szCs w:val="22"/>
        </w:rPr>
        <w:t xml:space="preserve">ervices; and (iv) </w:t>
      </w:r>
      <w:r>
        <w:rPr>
          <w:sz w:val="22"/>
          <w:szCs w:val="22"/>
        </w:rPr>
        <w:t xml:space="preserve">the development of </w:t>
      </w:r>
      <w:r w:rsidRPr="00847709">
        <w:rPr>
          <w:sz w:val="22"/>
          <w:szCs w:val="22"/>
        </w:rPr>
        <w:t xml:space="preserve">a platform for enabling mobile access to government services. </w:t>
      </w:r>
      <w:bookmarkStart w:id="8" w:name="_Toc294781"/>
      <w:bookmarkEnd w:id="7"/>
    </w:p>
    <w:p w:rsidR="00357BB1" w:rsidRDefault="00357BB1" w:rsidP="0090447C">
      <w:pPr>
        <w:pStyle w:val="BodyText"/>
        <w:ind w:left="720" w:hanging="720"/>
        <w:rPr>
          <w:sz w:val="22"/>
          <w:szCs w:val="22"/>
        </w:rPr>
      </w:pPr>
    </w:p>
    <w:p w:rsidR="00357BB1" w:rsidRDefault="00357BB1" w:rsidP="0090447C">
      <w:pPr>
        <w:pStyle w:val="BodyText"/>
        <w:ind w:left="720" w:hanging="720"/>
        <w:rPr>
          <w:sz w:val="22"/>
          <w:szCs w:val="22"/>
        </w:rPr>
      </w:pPr>
      <w:r>
        <w:rPr>
          <w:sz w:val="22"/>
          <w:szCs w:val="22"/>
        </w:rPr>
        <w:t>(b)</w:t>
      </w:r>
      <w:r>
        <w:rPr>
          <w:sz w:val="22"/>
          <w:szCs w:val="22"/>
        </w:rPr>
        <w:tab/>
        <w:t>C</w:t>
      </w:r>
      <w:r w:rsidRPr="00847709">
        <w:rPr>
          <w:sz w:val="22"/>
          <w:szCs w:val="22"/>
        </w:rPr>
        <w:t>onsolidation and interoperability of the most important publi</w:t>
      </w:r>
      <w:r>
        <w:rPr>
          <w:sz w:val="22"/>
          <w:szCs w:val="22"/>
        </w:rPr>
        <w:t>c registries into one meta r</w:t>
      </w:r>
      <w:r w:rsidRPr="00847709">
        <w:rPr>
          <w:sz w:val="22"/>
          <w:szCs w:val="22"/>
        </w:rPr>
        <w:t>egister</w:t>
      </w:r>
      <w:r>
        <w:rPr>
          <w:sz w:val="22"/>
          <w:szCs w:val="22"/>
        </w:rPr>
        <w:t xml:space="preserve"> through</w:t>
      </w:r>
      <w:r w:rsidRPr="00847709">
        <w:rPr>
          <w:sz w:val="22"/>
          <w:szCs w:val="22"/>
        </w:rPr>
        <w:t xml:space="preserve">: (i) </w:t>
      </w:r>
      <w:r>
        <w:rPr>
          <w:sz w:val="22"/>
          <w:szCs w:val="22"/>
        </w:rPr>
        <w:t xml:space="preserve">the </w:t>
      </w:r>
      <w:r w:rsidRPr="00847709">
        <w:rPr>
          <w:sz w:val="22"/>
          <w:szCs w:val="22"/>
        </w:rPr>
        <w:t>consolidation of key registries</w:t>
      </w:r>
      <w:r>
        <w:rPr>
          <w:sz w:val="22"/>
          <w:szCs w:val="22"/>
        </w:rPr>
        <w:t>;</w:t>
      </w:r>
      <w:r w:rsidRPr="00847709">
        <w:rPr>
          <w:sz w:val="22"/>
          <w:szCs w:val="22"/>
        </w:rPr>
        <w:t xml:space="preserve"> and (ii) </w:t>
      </w:r>
      <w:r>
        <w:rPr>
          <w:sz w:val="22"/>
          <w:szCs w:val="22"/>
        </w:rPr>
        <w:t xml:space="preserve">the carrying out of </w:t>
      </w:r>
      <w:r w:rsidRPr="00847709">
        <w:rPr>
          <w:sz w:val="22"/>
          <w:szCs w:val="22"/>
        </w:rPr>
        <w:t xml:space="preserve">activities required to support the interoperability of the most important public registries into one </w:t>
      </w:r>
      <w:r>
        <w:rPr>
          <w:sz w:val="22"/>
          <w:szCs w:val="22"/>
        </w:rPr>
        <w:t>m</w:t>
      </w:r>
      <w:r w:rsidRPr="00847709">
        <w:rPr>
          <w:sz w:val="22"/>
          <w:szCs w:val="22"/>
        </w:rPr>
        <w:t xml:space="preserve">eta </w:t>
      </w:r>
      <w:r>
        <w:rPr>
          <w:sz w:val="22"/>
          <w:szCs w:val="22"/>
        </w:rPr>
        <w:t>r</w:t>
      </w:r>
      <w:r w:rsidRPr="00847709">
        <w:rPr>
          <w:sz w:val="22"/>
          <w:szCs w:val="22"/>
        </w:rPr>
        <w:t>egister</w:t>
      </w:r>
      <w:bookmarkStart w:id="9" w:name="_Toc294782"/>
      <w:bookmarkEnd w:id="8"/>
      <w:r>
        <w:rPr>
          <w:sz w:val="22"/>
          <w:szCs w:val="22"/>
        </w:rPr>
        <w:t>.</w:t>
      </w:r>
    </w:p>
    <w:p w:rsidR="00357BB1" w:rsidRDefault="00357BB1" w:rsidP="0090447C">
      <w:pPr>
        <w:pStyle w:val="BodyText"/>
        <w:ind w:left="720" w:hanging="720"/>
        <w:rPr>
          <w:sz w:val="22"/>
          <w:szCs w:val="22"/>
        </w:rPr>
      </w:pPr>
    </w:p>
    <w:p w:rsidR="00357BB1" w:rsidRDefault="00357BB1" w:rsidP="0090447C">
      <w:pPr>
        <w:pStyle w:val="BodyText"/>
        <w:ind w:left="720" w:hanging="720"/>
        <w:rPr>
          <w:sz w:val="22"/>
          <w:szCs w:val="22"/>
        </w:rPr>
      </w:pPr>
      <w:r>
        <w:rPr>
          <w:sz w:val="22"/>
          <w:szCs w:val="22"/>
        </w:rPr>
        <w:t>(c)</w:t>
      </w:r>
      <w:r>
        <w:rPr>
          <w:sz w:val="22"/>
          <w:szCs w:val="22"/>
        </w:rPr>
        <w:tab/>
        <w:t>E</w:t>
      </w:r>
      <w:r w:rsidRPr="00847709">
        <w:rPr>
          <w:sz w:val="22"/>
          <w:szCs w:val="22"/>
        </w:rPr>
        <w:t xml:space="preserve">stablishment of </w:t>
      </w:r>
      <w:r>
        <w:rPr>
          <w:sz w:val="22"/>
          <w:szCs w:val="22"/>
        </w:rPr>
        <w:t>the</w:t>
      </w:r>
      <w:r w:rsidRPr="00847709">
        <w:rPr>
          <w:sz w:val="22"/>
          <w:szCs w:val="22"/>
        </w:rPr>
        <w:t xml:space="preserve"> </w:t>
      </w:r>
      <w:r>
        <w:rPr>
          <w:sz w:val="22"/>
          <w:szCs w:val="22"/>
        </w:rPr>
        <w:t>D</w:t>
      </w:r>
      <w:r w:rsidRPr="00847709">
        <w:rPr>
          <w:sz w:val="22"/>
          <w:szCs w:val="22"/>
        </w:rPr>
        <w:t>isaster Recovery Data Center (</w:t>
      </w:r>
      <w:r>
        <w:rPr>
          <w:sz w:val="22"/>
          <w:szCs w:val="22"/>
        </w:rPr>
        <w:t>“</w:t>
      </w:r>
      <w:r w:rsidRPr="00847709">
        <w:rPr>
          <w:sz w:val="22"/>
          <w:szCs w:val="22"/>
        </w:rPr>
        <w:t>DRDC</w:t>
      </w:r>
      <w:r>
        <w:rPr>
          <w:sz w:val="22"/>
          <w:szCs w:val="22"/>
        </w:rPr>
        <w:t>”</w:t>
      </w:r>
      <w:r w:rsidRPr="00847709">
        <w:rPr>
          <w:sz w:val="22"/>
          <w:szCs w:val="22"/>
        </w:rPr>
        <w:t>), through the provision of critical equipment to ensure the safety of all information store</w:t>
      </w:r>
      <w:r>
        <w:rPr>
          <w:sz w:val="22"/>
          <w:szCs w:val="22"/>
        </w:rPr>
        <w:t>d</w:t>
      </w:r>
      <w:r w:rsidRPr="00847709">
        <w:rPr>
          <w:sz w:val="22"/>
          <w:szCs w:val="22"/>
        </w:rPr>
        <w:t xml:space="preserve"> and maintain</w:t>
      </w:r>
      <w:r>
        <w:rPr>
          <w:sz w:val="22"/>
          <w:szCs w:val="22"/>
        </w:rPr>
        <w:t>ed</w:t>
      </w:r>
      <w:r w:rsidRPr="00847709">
        <w:rPr>
          <w:sz w:val="22"/>
          <w:szCs w:val="22"/>
        </w:rPr>
        <w:t xml:space="preserve"> in </w:t>
      </w:r>
      <w:r>
        <w:rPr>
          <w:sz w:val="22"/>
          <w:szCs w:val="22"/>
        </w:rPr>
        <w:t xml:space="preserve">the government’s </w:t>
      </w:r>
      <w:r w:rsidRPr="00847709">
        <w:rPr>
          <w:sz w:val="22"/>
          <w:szCs w:val="22"/>
        </w:rPr>
        <w:t>registries to ensure resilience of government business operations</w:t>
      </w:r>
      <w:r>
        <w:rPr>
          <w:sz w:val="22"/>
          <w:szCs w:val="22"/>
        </w:rPr>
        <w:t xml:space="preserve">, including, </w:t>
      </w:r>
      <w:r w:rsidRPr="00010C49">
        <w:rPr>
          <w:i/>
          <w:sz w:val="22"/>
          <w:szCs w:val="22"/>
        </w:rPr>
        <w:t>inter alia</w:t>
      </w:r>
      <w:r w:rsidRPr="00847709">
        <w:rPr>
          <w:sz w:val="22"/>
          <w:szCs w:val="22"/>
        </w:rPr>
        <w:t>: (i)</w:t>
      </w:r>
      <w:r>
        <w:rPr>
          <w:sz w:val="22"/>
          <w:szCs w:val="22"/>
        </w:rPr>
        <w:t xml:space="preserve"> the acquisition of</w:t>
      </w:r>
      <w:r w:rsidRPr="00847709">
        <w:rPr>
          <w:sz w:val="22"/>
          <w:szCs w:val="22"/>
        </w:rPr>
        <w:t xml:space="preserve"> equipment for the DRDC; and (ii) </w:t>
      </w:r>
      <w:r>
        <w:rPr>
          <w:sz w:val="22"/>
          <w:szCs w:val="22"/>
        </w:rPr>
        <w:t xml:space="preserve">the carrying out of </w:t>
      </w:r>
      <w:r w:rsidRPr="00847709">
        <w:rPr>
          <w:sz w:val="22"/>
          <w:szCs w:val="22"/>
        </w:rPr>
        <w:t>feasibility</w:t>
      </w:r>
      <w:r>
        <w:rPr>
          <w:sz w:val="22"/>
          <w:szCs w:val="22"/>
        </w:rPr>
        <w:t xml:space="preserve"> studies</w:t>
      </w:r>
      <w:r w:rsidRPr="00847709">
        <w:rPr>
          <w:sz w:val="22"/>
          <w:szCs w:val="22"/>
        </w:rPr>
        <w:t>, cost estimation</w:t>
      </w:r>
      <w:r>
        <w:rPr>
          <w:sz w:val="22"/>
          <w:szCs w:val="22"/>
        </w:rPr>
        <w:t>s and</w:t>
      </w:r>
      <w:r w:rsidRPr="00847709">
        <w:rPr>
          <w:sz w:val="22"/>
          <w:szCs w:val="22"/>
        </w:rPr>
        <w:t xml:space="preserve"> </w:t>
      </w:r>
      <w:r>
        <w:rPr>
          <w:sz w:val="22"/>
          <w:szCs w:val="22"/>
        </w:rPr>
        <w:t xml:space="preserve">technical </w:t>
      </w:r>
      <w:r w:rsidRPr="00847709">
        <w:rPr>
          <w:sz w:val="22"/>
          <w:szCs w:val="22"/>
        </w:rPr>
        <w:t xml:space="preserve">specifications, and </w:t>
      </w:r>
      <w:r>
        <w:rPr>
          <w:sz w:val="22"/>
          <w:szCs w:val="22"/>
        </w:rPr>
        <w:t>the acquisition</w:t>
      </w:r>
      <w:r w:rsidRPr="00847709">
        <w:rPr>
          <w:sz w:val="22"/>
          <w:szCs w:val="22"/>
        </w:rPr>
        <w:t xml:space="preserve"> of connectivity </w:t>
      </w:r>
      <w:r>
        <w:rPr>
          <w:sz w:val="22"/>
          <w:szCs w:val="22"/>
        </w:rPr>
        <w:t>equipment and systems</w:t>
      </w:r>
      <w:r w:rsidRPr="00847709">
        <w:rPr>
          <w:sz w:val="22"/>
          <w:szCs w:val="22"/>
        </w:rPr>
        <w:t>.</w:t>
      </w:r>
      <w:bookmarkEnd w:id="9"/>
    </w:p>
    <w:p w:rsidR="00357BB1" w:rsidRPr="00847709" w:rsidRDefault="00357BB1" w:rsidP="0090447C">
      <w:pPr>
        <w:pStyle w:val="BodyText"/>
        <w:ind w:left="720" w:hanging="720"/>
        <w:rPr>
          <w:sz w:val="22"/>
          <w:szCs w:val="22"/>
        </w:rPr>
      </w:pPr>
    </w:p>
    <w:p w:rsidR="00357BB1" w:rsidRDefault="00357BB1" w:rsidP="0090447C">
      <w:pPr>
        <w:pStyle w:val="BodyText"/>
        <w:ind w:left="720" w:hanging="720"/>
        <w:rPr>
          <w:sz w:val="22"/>
          <w:szCs w:val="22"/>
        </w:rPr>
      </w:pPr>
      <w:r>
        <w:rPr>
          <w:sz w:val="22"/>
          <w:szCs w:val="22"/>
        </w:rPr>
        <w:t>(d)</w:t>
      </w:r>
      <w:r>
        <w:rPr>
          <w:sz w:val="22"/>
          <w:szCs w:val="22"/>
        </w:rPr>
        <w:tab/>
        <w:t xml:space="preserve">Provision of </w:t>
      </w:r>
      <w:r w:rsidRPr="00847709">
        <w:rPr>
          <w:sz w:val="22"/>
          <w:szCs w:val="22"/>
        </w:rPr>
        <w:t xml:space="preserve">support </w:t>
      </w:r>
      <w:r>
        <w:rPr>
          <w:sz w:val="22"/>
          <w:szCs w:val="22"/>
        </w:rPr>
        <w:t xml:space="preserve">to </w:t>
      </w:r>
      <w:r w:rsidRPr="00847709">
        <w:rPr>
          <w:sz w:val="22"/>
          <w:szCs w:val="22"/>
        </w:rPr>
        <w:t>ensur</w:t>
      </w:r>
      <w:r>
        <w:rPr>
          <w:sz w:val="22"/>
          <w:szCs w:val="22"/>
        </w:rPr>
        <w:t>e</w:t>
      </w:r>
      <w:r w:rsidRPr="00847709">
        <w:rPr>
          <w:sz w:val="22"/>
          <w:szCs w:val="22"/>
        </w:rPr>
        <w:t xml:space="preserve"> compliance with the General D</w:t>
      </w:r>
      <w:r>
        <w:rPr>
          <w:sz w:val="22"/>
          <w:szCs w:val="22"/>
        </w:rPr>
        <w:t>ata Protection Regulation</w:t>
      </w:r>
      <w:r w:rsidRPr="00847709">
        <w:rPr>
          <w:sz w:val="22"/>
          <w:szCs w:val="22"/>
        </w:rPr>
        <w:t xml:space="preserve"> and </w:t>
      </w:r>
      <w:r>
        <w:rPr>
          <w:sz w:val="22"/>
          <w:szCs w:val="22"/>
        </w:rPr>
        <w:t xml:space="preserve">Personal </w:t>
      </w:r>
      <w:r w:rsidRPr="00847709">
        <w:rPr>
          <w:sz w:val="22"/>
          <w:szCs w:val="22"/>
        </w:rPr>
        <w:t>Data Protection Law and the drafting and implementation of required e-government bylaws and secondary regulations</w:t>
      </w:r>
      <w:r>
        <w:rPr>
          <w:sz w:val="22"/>
          <w:szCs w:val="22"/>
        </w:rPr>
        <w:t xml:space="preserve">, including, </w:t>
      </w:r>
      <w:r w:rsidRPr="00E40B9E">
        <w:rPr>
          <w:i/>
          <w:sz w:val="22"/>
          <w:szCs w:val="22"/>
        </w:rPr>
        <w:t>inter alia</w:t>
      </w:r>
      <w:r>
        <w:rPr>
          <w:sz w:val="22"/>
          <w:szCs w:val="22"/>
        </w:rPr>
        <w:t>:</w:t>
      </w:r>
      <w:r w:rsidRPr="00847709">
        <w:rPr>
          <w:sz w:val="22"/>
          <w:szCs w:val="22"/>
        </w:rPr>
        <w:t xml:space="preserve"> (i) </w:t>
      </w:r>
      <w:r>
        <w:rPr>
          <w:sz w:val="22"/>
          <w:szCs w:val="22"/>
        </w:rPr>
        <w:t xml:space="preserve">the elaboration of </w:t>
      </w:r>
      <w:r w:rsidRPr="00847709">
        <w:rPr>
          <w:sz w:val="22"/>
          <w:szCs w:val="22"/>
        </w:rPr>
        <w:t xml:space="preserve">e-government bylaws and secondary regulations; (ii) the </w:t>
      </w:r>
      <w:r>
        <w:rPr>
          <w:sz w:val="22"/>
          <w:szCs w:val="22"/>
        </w:rPr>
        <w:t>drafting of a c</w:t>
      </w:r>
      <w:r w:rsidRPr="00847709">
        <w:rPr>
          <w:sz w:val="22"/>
          <w:szCs w:val="22"/>
        </w:rPr>
        <w:t xml:space="preserve">ybersecurity rulebook; (iii) </w:t>
      </w:r>
      <w:r>
        <w:rPr>
          <w:sz w:val="22"/>
          <w:szCs w:val="22"/>
        </w:rPr>
        <w:t xml:space="preserve">the </w:t>
      </w:r>
      <w:r w:rsidRPr="00847709">
        <w:rPr>
          <w:sz w:val="22"/>
          <w:szCs w:val="22"/>
        </w:rPr>
        <w:t>establish</w:t>
      </w:r>
      <w:r>
        <w:rPr>
          <w:sz w:val="22"/>
          <w:szCs w:val="22"/>
        </w:rPr>
        <w:t>ment of</w:t>
      </w:r>
      <w:r w:rsidRPr="00847709">
        <w:rPr>
          <w:sz w:val="22"/>
          <w:szCs w:val="22"/>
        </w:rPr>
        <w:t xml:space="preserve"> a cybersecurity and data protection department; and (iv) </w:t>
      </w:r>
      <w:r>
        <w:rPr>
          <w:sz w:val="22"/>
          <w:szCs w:val="22"/>
        </w:rPr>
        <w:t>the establishment of a cybersecurity l</w:t>
      </w:r>
      <w:r w:rsidRPr="00847709">
        <w:rPr>
          <w:sz w:val="22"/>
          <w:szCs w:val="22"/>
        </w:rPr>
        <w:t>ab</w:t>
      </w:r>
      <w:r>
        <w:rPr>
          <w:sz w:val="22"/>
          <w:szCs w:val="22"/>
        </w:rPr>
        <w:t>oratory</w:t>
      </w:r>
      <w:r w:rsidRPr="00847709">
        <w:rPr>
          <w:sz w:val="22"/>
          <w:szCs w:val="22"/>
        </w:rPr>
        <w:t xml:space="preserve"> and training center, including  </w:t>
      </w:r>
      <w:r>
        <w:rPr>
          <w:sz w:val="22"/>
          <w:szCs w:val="22"/>
        </w:rPr>
        <w:t>a security operations center and a network operations c</w:t>
      </w:r>
      <w:r w:rsidRPr="00847709">
        <w:rPr>
          <w:sz w:val="22"/>
          <w:szCs w:val="22"/>
        </w:rPr>
        <w:t>enter.</w:t>
      </w:r>
    </w:p>
    <w:p w:rsidR="00357BB1" w:rsidRPr="00847709" w:rsidRDefault="00357BB1" w:rsidP="0090447C">
      <w:pPr>
        <w:pStyle w:val="BodyText"/>
        <w:rPr>
          <w:sz w:val="22"/>
          <w:szCs w:val="22"/>
        </w:rPr>
      </w:pPr>
    </w:p>
    <w:p w:rsidR="00357BB1" w:rsidRPr="009D4518" w:rsidRDefault="00357BB1" w:rsidP="0090447C">
      <w:pPr>
        <w:pStyle w:val="BodyText"/>
        <w:rPr>
          <w:b/>
          <w:sz w:val="22"/>
          <w:szCs w:val="22"/>
          <w:u w:val="single"/>
        </w:rPr>
      </w:pPr>
      <w:bookmarkStart w:id="10" w:name="_Toc294783"/>
      <w:r w:rsidRPr="009D4518">
        <w:rPr>
          <w:b/>
          <w:sz w:val="22"/>
          <w:szCs w:val="22"/>
          <w:u w:val="single"/>
        </w:rPr>
        <w:t>Component 2.</w:t>
      </w:r>
      <w:r w:rsidRPr="009D4518">
        <w:rPr>
          <w:b/>
          <w:sz w:val="22"/>
          <w:szCs w:val="22"/>
        </w:rPr>
        <w:tab/>
      </w:r>
      <w:r w:rsidRPr="009D4518">
        <w:rPr>
          <w:b/>
          <w:sz w:val="22"/>
          <w:szCs w:val="22"/>
          <w:u w:val="single"/>
        </w:rPr>
        <w:t>Transforming Services for Citizens, Businesses</w:t>
      </w:r>
      <w:bookmarkEnd w:id="10"/>
      <w:r w:rsidRPr="009D4518">
        <w:rPr>
          <w:b/>
          <w:sz w:val="22"/>
          <w:szCs w:val="22"/>
          <w:u w:val="single"/>
        </w:rPr>
        <w:t xml:space="preserve"> and Government</w:t>
      </w:r>
    </w:p>
    <w:p w:rsidR="00357BB1" w:rsidRPr="00847709" w:rsidRDefault="00357BB1" w:rsidP="0090447C">
      <w:pPr>
        <w:pStyle w:val="BodyText"/>
        <w:rPr>
          <w:sz w:val="22"/>
          <w:szCs w:val="22"/>
        </w:rPr>
      </w:pPr>
    </w:p>
    <w:p w:rsidR="009A2304" w:rsidRDefault="00357BB1" w:rsidP="0090447C">
      <w:pPr>
        <w:pStyle w:val="BodyText"/>
        <w:ind w:left="720" w:hanging="720"/>
        <w:rPr>
          <w:i/>
          <w:sz w:val="22"/>
          <w:szCs w:val="22"/>
        </w:rPr>
      </w:pPr>
      <w:bookmarkStart w:id="11" w:name="_Toc294784"/>
      <w:r>
        <w:rPr>
          <w:sz w:val="22"/>
          <w:szCs w:val="22"/>
        </w:rPr>
        <w:t>(a)</w:t>
      </w:r>
      <w:r>
        <w:rPr>
          <w:sz w:val="22"/>
          <w:szCs w:val="22"/>
        </w:rPr>
        <w:tab/>
        <w:t>E</w:t>
      </w:r>
      <w:r w:rsidRPr="00847709">
        <w:rPr>
          <w:sz w:val="22"/>
          <w:szCs w:val="22"/>
        </w:rPr>
        <w:t>stablishment of methodologies, procedures and guidelines for the collection, storage, management, and use of data and electronic documents</w:t>
      </w:r>
      <w:r>
        <w:rPr>
          <w:sz w:val="22"/>
          <w:szCs w:val="22"/>
        </w:rPr>
        <w:t xml:space="preserve">, including, </w:t>
      </w:r>
      <w:r w:rsidRPr="009D4518">
        <w:rPr>
          <w:i/>
          <w:sz w:val="22"/>
          <w:szCs w:val="22"/>
        </w:rPr>
        <w:t xml:space="preserve">inter </w:t>
      </w:r>
    </w:p>
    <w:p w:rsidR="009A2304" w:rsidRDefault="009A2304">
      <w:pPr>
        <w:spacing w:line="240" w:lineRule="auto"/>
        <w:rPr>
          <w:i/>
          <w:sz w:val="22"/>
          <w:szCs w:val="22"/>
        </w:rPr>
      </w:pPr>
      <w:r>
        <w:rPr>
          <w:i/>
          <w:sz w:val="22"/>
          <w:szCs w:val="22"/>
        </w:rPr>
        <w:br w:type="page"/>
      </w:r>
    </w:p>
    <w:p w:rsidR="00357BB1" w:rsidRDefault="009A2304" w:rsidP="0090447C">
      <w:pPr>
        <w:pStyle w:val="BodyText"/>
        <w:ind w:left="720" w:hanging="720"/>
        <w:rPr>
          <w:sz w:val="22"/>
          <w:szCs w:val="22"/>
        </w:rPr>
      </w:pPr>
      <w:r>
        <w:rPr>
          <w:i/>
          <w:sz w:val="22"/>
          <w:szCs w:val="22"/>
        </w:rPr>
        <w:lastRenderedPageBreak/>
        <w:tab/>
      </w:r>
      <w:r w:rsidR="00357BB1" w:rsidRPr="009D4518">
        <w:rPr>
          <w:i/>
          <w:sz w:val="22"/>
          <w:szCs w:val="22"/>
        </w:rPr>
        <w:t>alia,</w:t>
      </w:r>
      <w:r w:rsidR="00357BB1">
        <w:rPr>
          <w:sz w:val="22"/>
          <w:szCs w:val="22"/>
        </w:rPr>
        <w:t xml:space="preserve"> </w:t>
      </w:r>
      <w:r w:rsidR="00357BB1" w:rsidRPr="00847709">
        <w:rPr>
          <w:sz w:val="22"/>
          <w:szCs w:val="22"/>
        </w:rPr>
        <w:t xml:space="preserve">the implementation of </w:t>
      </w:r>
      <w:r w:rsidR="00357BB1">
        <w:rPr>
          <w:sz w:val="22"/>
          <w:szCs w:val="22"/>
        </w:rPr>
        <w:t>a d</w:t>
      </w:r>
      <w:r w:rsidR="00357BB1" w:rsidRPr="00847709">
        <w:rPr>
          <w:sz w:val="22"/>
          <w:szCs w:val="22"/>
        </w:rPr>
        <w:t xml:space="preserve">ata and </w:t>
      </w:r>
      <w:r w:rsidR="00357BB1">
        <w:rPr>
          <w:sz w:val="22"/>
          <w:szCs w:val="22"/>
        </w:rPr>
        <w:t>d</w:t>
      </w:r>
      <w:r w:rsidR="00357BB1" w:rsidRPr="00847709">
        <w:rPr>
          <w:sz w:val="22"/>
          <w:szCs w:val="22"/>
        </w:rPr>
        <w:t xml:space="preserve">ocument </w:t>
      </w:r>
      <w:r w:rsidR="00357BB1">
        <w:rPr>
          <w:sz w:val="22"/>
          <w:szCs w:val="22"/>
        </w:rPr>
        <w:t>m</w:t>
      </w:r>
      <w:r w:rsidR="00357BB1" w:rsidRPr="00847709">
        <w:rPr>
          <w:sz w:val="22"/>
          <w:szCs w:val="22"/>
        </w:rPr>
        <w:t xml:space="preserve">anagement </w:t>
      </w:r>
      <w:r w:rsidR="00357BB1">
        <w:rPr>
          <w:sz w:val="22"/>
          <w:szCs w:val="22"/>
        </w:rPr>
        <w:t>s</w:t>
      </w:r>
      <w:r w:rsidR="00357BB1" w:rsidRPr="00847709">
        <w:rPr>
          <w:sz w:val="22"/>
          <w:szCs w:val="22"/>
        </w:rPr>
        <w:t>ystem</w:t>
      </w:r>
      <w:r w:rsidR="00357BB1">
        <w:rPr>
          <w:sz w:val="22"/>
          <w:szCs w:val="22"/>
        </w:rPr>
        <w:t xml:space="preserve"> to enable the Borrower</w:t>
      </w:r>
      <w:r w:rsidR="00357BB1" w:rsidRPr="00847709">
        <w:rPr>
          <w:sz w:val="22"/>
          <w:szCs w:val="22"/>
        </w:rPr>
        <w:t xml:space="preserve"> to make more informed decisions by increasing its data analytics capabilities.</w:t>
      </w:r>
      <w:bookmarkEnd w:id="11"/>
    </w:p>
    <w:p w:rsidR="00357BB1" w:rsidRPr="00847709" w:rsidRDefault="00357BB1" w:rsidP="0090447C">
      <w:pPr>
        <w:pStyle w:val="BodyText"/>
        <w:ind w:left="720" w:hanging="720"/>
        <w:rPr>
          <w:sz w:val="22"/>
          <w:szCs w:val="22"/>
        </w:rPr>
      </w:pPr>
    </w:p>
    <w:p w:rsidR="00357BB1" w:rsidRPr="00847709" w:rsidRDefault="00357BB1" w:rsidP="0090447C">
      <w:pPr>
        <w:pStyle w:val="BodyText"/>
        <w:ind w:left="720" w:hanging="720"/>
        <w:rPr>
          <w:sz w:val="22"/>
          <w:szCs w:val="22"/>
        </w:rPr>
      </w:pPr>
      <w:bookmarkStart w:id="12" w:name="_Toc294785"/>
      <w:r>
        <w:rPr>
          <w:sz w:val="22"/>
          <w:szCs w:val="22"/>
        </w:rPr>
        <w:t>(b)</w:t>
      </w:r>
      <w:r>
        <w:rPr>
          <w:sz w:val="22"/>
          <w:szCs w:val="22"/>
        </w:rPr>
        <w:tab/>
        <w:t>S</w:t>
      </w:r>
      <w:r w:rsidRPr="00847709">
        <w:rPr>
          <w:sz w:val="22"/>
          <w:szCs w:val="22"/>
        </w:rPr>
        <w:t>upport the development of a comprehensive administrative service catalogue for services to citizens and businesses</w:t>
      </w:r>
      <w:r>
        <w:rPr>
          <w:sz w:val="22"/>
          <w:szCs w:val="22"/>
        </w:rPr>
        <w:t xml:space="preserve">, including, </w:t>
      </w:r>
      <w:r w:rsidRPr="009D4518">
        <w:rPr>
          <w:i/>
          <w:sz w:val="22"/>
          <w:szCs w:val="22"/>
        </w:rPr>
        <w:t>inter alia,</w:t>
      </w:r>
      <w:r>
        <w:rPr>
          <w:sz w:val="22"/>
          <w:szCs w:val="22"/>
        </w:rPr>
        <w:t xml:space="preserve"> the preparation of the administrative service i</w:t>
      </w:r>
      <w:r w:rsidRPr="00847709">
        <w:rPr>
          <w:sz w:val="22"/>
          <w:szCs w:val="22"/>
        </w:rPr>
        <w:t>nventory.</w:t>
      </w:r>
      <w:bookmarkEnd w:id="12"/>
    </w:p>
    <w:p w:rsidR="00357BB1" w:rsidRPr="00847709" w:rsidRDefault="00357BB1" w:rsidP="0090447C">
      <w:pPr>
        <w:pStyle w:val="BodyText"/>
        <w:ind w:left="720" w:hanging="720"/>
        <w:rPr>
          <w:sz w:val="22"/>
          <w:szCs w:val="22"/>
        </w:rPr>
      </w:pPr>
      <w:bookmarkStart w:id="13" w:name="_Toc97625"/>
    </w:p>
    <w:p w:rsidR="00357BB1" w:rsidRDefault="00357BB1" w:rsidP="0090447C">
      <w:pPr>
        <w:pStyle w:val="BodyText"/>
        <w:ind w:left="720" w:hanging="720"/>
        <w:rPr>
          <w:sz w:val="22"/>
          <w:szCs w:val="22"/>
        </w:rPr>
      </w:pPr>
      <w:bookmarkStart w:id="14" w:name="_Toc294786"/>
      <w:bookmarkEnd w:id="13"/>
      <w:r>
        <w:rPr>
          <w:sz w:val="22"/>
          <w:szCs w:val="22"/>
        </w:rPr>
        <w:t>(c)</w:t>
      </w:r>
      <w:r>
        <w:rPr>
          <w:sz w:val="22"/>
          <w:szCs w:val="22"/>
        </w:rPr>
        <w:tab/>
        <w:t>P</w:t>
      </w:r>
      <w:r w:rsidRPr="00847709">
        <w:rPr>
          <w:sz w:val="22"/>
          <w:szCs w:val="22"/>
        </w:rPr>
        <w:t xml:space="preserve">reparation of </w:t>
      </w:r>
      <w:r>
        <w:rPr>
          <w:sz w:val="22"/>
          <w:szCs w:val="22"/>
        </w:rPr>
        <w:t>at least one hundred and fifty</w:t>
      </w:r>
      <w:r w:rsidRPr="00847709">
        <w:rPr>
          <w:sz w:val="22"/>
          <w:szCs w:val="22"/>
        </w:rPr>
        <w:t xml:space="preserve"> </w:t>
      </w:r>
      <w:r>
        <w:rPr>
          <w:sz w:val="22"/>
          <w:szCs w:val="22"/>
        </w:rPr>
        <w:t>(150) A</w:t>
      </w:r>
      <w:r w:rsidRPr="00847709">
        <w:rPr>
          <w:sz w:val="22"/>
          <w:szCs w:val="22"/>
        </w:rPr>
        <w:t>s-</w:t>
      </w:r>
      <w:r>
        <w:rPr>
          <w:sz w:val="22"/>
          <w:szCs w:val="22"/>
        </w:rPr>
        <w:t>I</w:t>
      </w:r>
      <w:r w:rsidRPr="00847709">
        <w:rPr>
          <w:sz w:val="22"/>
          <w:szCs w:val="22"/>
        </w:rPr>
        <w:t xml:space="preserve">s </w:t>
      </w:r>
      <w:r>
        <w:rPr>
          <w:sz w:val="22"/>
          <w:szCs w:val="22"/>
        </w:rPr>
        <w:t>P</w:t>
      </w:r>
      <w:r w:rsidRPr="00847709">
        <w:rPr>
          <w:sz w:val="22"/>
          <w:szCs w:val="22"/>
        </w:rPr>
        <w:t xml:space="preserve">rocess </w:t>
      </w:r>
      <w:r>
        <w:rPr>
          <w:sz w:val="22"/>
          <w:szCs w:val="22"/>
        </w:rPr>
        <w:t>M</w:t>
      </w:r>
      <w:r w:rsidRPr="00847709">
        <w:rPr>
          <w:sz w:val="22"/>
          <w:szCs w:val="22"/>
        </w:rPr>
        <w:t>aps from the administrative service inventory</w:t>
      </w:r>
      <w:r>
        <w:rPr>
          <w:sz w:val="22"/>
          <w:szCs w:val="22"/>
        </w:rPr>
        <w:t xml:space="preserve">, including, </w:t>
      </w:r>
      <w:r w:rsidRPr="00AF04C5">
        <w:rPr>
          <w:i/>
          <w:sz w:val="22"/>
          <w:szCs w:val="22"/>
        </w:rPr>
        <w:t>inter alia</w:t>
      </w:r>
      <w:r>
        <w:rPr>
          <w:sz w:val="22"/>
          <w:szCs w:val="22"/>
        </w:rPr>
        <w:t xml:space="preserve">, </w:t>
      </w:r>
      <w:r w:rsidRPr="00847709">
        <w:rPr>
          <w:sz w:val="22"/>
          <w:szCs w:val="22"/>
        </w:rPr>
        <w:t>the development of a metho</w:t>
      </w:r>
      <w:r>
        <w:rPr>
          <w:sz w:val="22"/>
          <w:szCs w:val="22"/>
        </w:rPr>
        <w:t>dology for their prioritization</w:t>
      </w:r>
      <w:r w:rsidRPr="00847709">
        <w:rPr>
          <w:sz w:val="22"/>
          <w:szCs w:val="22"/>
        </w:rPr>
        <w:t xml:space="preserve"> and the elaboration of </w:t>
      </w:r>
      <w:r>
        <w:rPr>
          <w:sz w:val="22"/>
          <w:szCs w:val="22"/>
        </w:rPr>
        <w:t>T</w:t>
      </w:r>
      <w:r w:rsidRPr="00847709">
        <w:rPr>
          <w:sz w:val="22"/>
          <w:szCs w:val="22"/>
        </w:rPr>
        <w:t>o-</w:t>
      </w:r>
      <w:r>
        <w:rPr>
          <w:sz w:val="22"/>
          <w:szCs w:val="22"/>
        </w:rPr>
        <w:t>B</w:t>
      </w:r>
      <w:r w:rsidRPr="00847709">
        <w:rPr>
          <w:sz w:val="22"/>
          <w:szCs w:val="22"/>
        </w:rPr>
        <w:t xml:space="preserve">e </w:t>
      </w:r>
      <w:r>
        <w:rPr>
          <w:sz w:val="22"/>
          <w:szCs w:val="22"/>
        </w:rPr>
        <w:t>P</w:t>
      </w:r>
      <w:r w:rsidRPr="00847709">
        <w:rPr>
          <w:sz w:val="22"/>
          <w:szCs w:val="22"/>
        </w:rPr>
        <w:t xml:space="preserve">rocess </w:t>
      </w:r>
      <w:r>
        <w:rPr>
          <w:sz w:val="22"/>
          <w:szCs w:val="22"/>
        </w:rPr>
        <w:t>M</w:t>
      </w:r>
      <w:r w:rsidRPr="00847709">
        <w:rPr>
          <w:sz w:val="22"/>
          <w:szCs w:val="22"/>
        </w:rPr>
        <w:t>aps</w:t>
      </w:r>
      <w:r>
        <w:rPr>
          <w:sz w:val="22"/>
          <w:szCs w:val="22"/>
        </w:rPr>
        <w:t xml:space="preserve"> for at least fifty</w:t>
      </w:r>
      <w:r w:rsidRPr="00847709">
        <w:rPr>
          <w:sz w:val="22"/>
          <w:szCs w:val="22"/>
        </w:rPr>
        <w:t xml:space="preserve"> </w:t>
      </w:r>
      <w:r>
        <w:rPr>
          <w:sz w:val="22"/>
          <w:szCs w:val="22"/>
        </w:rPr>
        <w:t xml:space="preserve">(50) </w:t>
      </w:r>
      <w:r w:rsidRPr="00847709">
        <w:rPr>
          <w:sz w:val="22"/>
          <w:szCs w:val="22"/>
        </w:rPr>
        <w:t>prioritized services.</w:t>
      </w:r>
      <w:bookmarkEnd w:id="14"/>
    </w:p>
    <w:p w:rsidR="00357BB1" w:rsidRPr="00847709" w:rsidRDefault="00357BB1" w:rsidP="0090447C">
      <w:pPr>
        <w:pStyle w:val="BodyText"/>
        <w:ind w:left="720" w:hanging="720"/>
        <w:rPr>
          <w:sz w:val="22"/>
          <w:szCs w:val="22"/>
        </w:rPr>
      </w:pPr>
    </w:p>
    <w:p w:rsidR="00357BB1" w:rsidRDefault="00357BB1" w:rsidP="0090447C">
      <w:pPr>
        <w:pStyle w:val="BodyText"/>
        <w:ind w:left="720" w:hanging="720"/>
        <w:rPr>
          <w:sz w:val="22"/>
          <w:szCs w:val="22"/>
        </w:rPr>
      </w:pPr>
      <w:bookmarkStart w:id="15" w:name="_Toc294787"/>
      <w:r>
        <w:rPr>
          <w:sz w:val="22"/>
          <w:szCs w:val="22"/>
        </w:rPr>
        <w:t>(d)</w:t>
      </w:r>
      <w:r>
        <w:rPr>
          <w:sz w:val="22"/>
          <w:szCs w:val="22"/>
        </w:rPr>
        <w:tab/>
        <w:t>D</w:t>
      </w:r>
      <w:r w:rsidRPr="00847709">
        <w:rPr>
          <w:sz w:val="22"/>
          <w:szCs w:val="22"/>
        </w:rPr>
        <w:t xml:space="preserve">igitalization of </w:t>
      </w:r>
      <w:r>
        <w:rPr>
          <w:sz w:val="22"/>
          <w:szCs w:val="22"/>
        </w:rPr>
        <w:t>at least thirty</w:t>
      </w:r>
      <w:r w:rsidRPr="00847709">
        <w:rPr>
          <w:sz w:val="22"/>
          <w:szCs w:val="22"/>
        </w:rPr>
        <w:t xml:space="preserve"> </w:t>
      </w:r>
      <w:r>
        <w:rPr>
          <w:sz w:val="22"/>
          <w:szCs w:val="22"/>
        </w:rPr>
        <w:t xml:space="preserve">(30) </w:t>
      </w:r>
      <w:r w:rsidRPr="00847709">
        <w:rPr>
          <w:sz w:val="22"/>
          <w:szCs w:val="22"/>
        </w:rPr>
        <w:t>selected online services to be offered</w:t>
      </w:r>
      <w:r>
        <w:rPr>
          <w:sz w:val="22"/>
          <w:szCs w:val="22"/>
        </w:rPr>
        <w:t xml:space="preserve"> to</w:t>
      </w:r>
      <w:r w:rsidRPr="00847709">
        <w:rPr>
          <w:sz w:val="22"/>
          <w:szCs w:val="22"/>
        </w:rPr>
        <w:t xml:space="preserve"> citizens, businesses and government through the </w:t>
      </w:r>
      <w:r>
        <w:rPr>
          <w:sz w:val="22"/>
          <w:szCs w:val="22"/>
        </w:rPr>
        <w:t xml:space="preserve">Borrower’s </w:t>
      </w:r>
      <w:r w:rsidRPr="00847709">
        <w:rPr>
          <w:sz w:val="22"/>
          <w:szCs w:val="22"/>
        </w:rPr>
        <w:t>e-</w:t>
      </w:r>
      <w:r>
        <w:rPr>
          <w:sz w:val="22"/>
          <w:szCs w:val="22"/>
        </w:rPr>
        <w:t>g</w:t>
      </w:r>
      <w:r w:rsidRPr="00847709">
        <w:rPr>
          <w:sz w:val="22"/>
          <w:szCs w:val="22"/>
        </w:rPr>
        <w:t xml:space="preserve">overnment </w:t>
      </w:r>
      <w:r>
        <w:rPr>
          <w:sz w:val="22"/>
          <w:szCs w:val="22"/>
        </w:rPr>
        <w:t>p</w:t>
      </w:r>
      <w:r w:rsidRPr="00847709">
        <w:rPr>
          <w:sz w:val="22"/>
          <w:szCs w:val="22"/>
        </w:rPr>
        <w:t>ortal and mobile app</w:t>
      </w:r>
      <w:r>
        <w:rPr>
          <w:sz w:val="22"/>
          <w:szCs w:val="22"/>
        </w:rPr>
        <w:t>lications</w:t>
      </w:r>
      <w:r w:rsidRPr="00847709">
        <w:rPr>
          <w:sz w:val="22"/>
          <w:szCs w:val="22"/>
        </w:rPr>
        <w:t xml:space="preserve"> based on specifications and requirements established in an e-portal rulebook and by using predefined application programming interfaces. </w:t>
      </w:r>
    </w:p>
    <w:p w:rsidR="00357BB1" w:rsidRDefault="00357BB1" w:rsidP="0090447C">
      <w:pPr>
        <w:pStyle w:val="BodyText"/>
        <w:rPr>
          <w:sz w:val="22"/>
          <w:szCs w:val="22"/>
        </w:rPr>
      </w:pPr>
    </w:p>
    <w:p w:rsidR="00357BB1" w:rsidRPr="00AC1688" w:rsidRDefault="00357BB1" w:rsidP="0090447C">
      <w:pPr>
        <w:pStyle w:val="BodyText"/>
        <w:rPr>
          <w:b/>
          <w:sz w:val="22"/>
          <w:szCs w:val="22"/>
        </w:rPr>
      </w:pPr>
      <w:bookmarkStart w:id="16" w:name="_Toc294788"/>
      <w:bookmarkEnd w:id="15"/>
      <w:r w:rsidRPr="00AC1688">
        <w:rPr>
          <w:b/>
          <w:sz w:val="22"/>
          <w:szCs w:val="22"/>
          <w:u w:val="single"/>
        </w:rPr>
        <w:t>Component 3.</w:t>
      </w:r>
      <w:r w:rsidRPr="00AC1688">
        <w:rPr>
          <w:b/>
          <w:sz w:val="22"/>
          <w:szCs w:val="22"/>
        </w:rPr>
        <w:tab/>
      </w:r>
      <w:r w:rsidRPr="00AC1688">
        <w:rPr>
          <w:b/>
          <w:sz w:val="22"/>
          <w:szCs w:val="22"/>
          <w:u w:val="single"/>
        </w:rPr>
        <w:t>Digital Skills Development, Institutional Strengthening and Change Management</w:t>
      </w:r>
      <w:bookmarkEnd w:id="16"/>
    </w:p>
    <w:p w:rsidR="00357BB1" w:rsidRPr="00847709" w:rsidRDefault="00357BB1" w:rsidP="0090447C">
      <w:pPr>
        <w:pStyle w:val="BodyText"/>
        <w:rPr>
          <w:sz w:val="22"/>
          <w:szCs w:val="22"/>
        </w:rPr>
      </w:pPr>
    </w:p>
    <w:p w:rsidR="00357BB1" w:rsidRDefault="00357BB1" w:rsidP="0090447C">
      <w:pPr>
        <w:pStyle w:val="BodyText"/>
        <w:ind w:left="720" w:hanging="720"/>
        <w:rPr>
          <w:sz w:val="22"/>
          <w:szCs w:val="22"/>
        </w:rPr>
      </w:pPr>
      <w:bookmarkStart w:id="17" w:name="_Toc294789"/>
      <w:r>
        <w:rPr>
          <w:sz w:val="22"/>
          <w:szCs w:val="22"/>
        </w:rPr>
        <w:t>(a)</w:t>
      </w:r>
      <w:r>
        <w:rPr>
          <w:sz w:val="22"/>
          <w:szCs w:val="22"/>
        </w:rPr>
        <w:tab/>
        <w:t>Carry out T</w:t>
      </w:r>
      <w:r w:rsidRPr="00847709">
        <w:rPr>
          <w:sz w:val="22"/>
          <w:szCs w:val="22"/>
        </w:rPr>
        <w:t xml:space="preserve">raining for public servants to improve ICT skills </w:t>
      </w:r>
      <w:r>
        <w:rPr>
          <w:sz w:val="22"/>
          <w:szCs w:val="22"/>
        </w:rPr>
        <w:t>and carry out of</w:t>
      </w:r>
      <w:r w:rsidRPr="00847709">
        <w:rPr>
          <w:sz w:val="22"/>
          <w:szCs w:val="22"/>
        </w:rPr>
        <w:t xml:space="preserve"> outreach campaigns to promote the uptake of digital services</w:t>
      </w:r>
      <w:r>
        <w:rPr>
          <w:sz w:val="22"/>
          <w:szCs w:val="22"/>
        </w:rPr>
        <w:t xml:space="preserve">, including, </w:t>
      </w:r>
      <w:r w:rsidRPr="00010C49">
        <w:rPr>
          <w:i/>
          <w:sz w:val="22"/>
          <w:szCs w:val="22"/>
        </w:rPr>
        <w:t>inter alia</w:t>
      </w:r>
      <w:r>
        <w:rPr>
          <w:sz w:val="22"/>
          <w:szCs w:val="22"/>
        </w:rPr>
        <w:t xml:space="preserve">, </w:t>
      </w:r>
      <w:r w:rsidRPr="00847709">
        <w:rPr>
          <w:sz w:val="22"/>
          <w:szCs w:val="22"/>
        </w:rPr>
        <w:t>the elaboration of a</w:t>
      </w:r>
      <w:r>
        <w:rPr>
          <w:sz w:val="22"/>
          <w:szCs w:val="22"/>
        </w:rPr>
        <w:t>n</w:t>
      </w:r>
      <w:r w:rsidRPr="00847709">
        <w:rPr>
          <w:sz w:val="22"/>
          <w:szCs w:val="22"/>
        </w:rPr>
        <w:t xml:space="preserve"> </w:t>
      </w:r>
      <w:r>
        <w:rPr>
          <w:sz w:val="22"/>
          <w:szCs w:val="22"/>
        </w:rPr>
        <w:t>ICT and human resources</w:t>
      </w:r>
      <w:r w:rsidRPr="00847709">
        <w:rPr>
          <w:sz w:val="22"/>
          <w:szCs w:val="22"/>
        </w:rPr>
        <w:t xml:space="preserve"> strategy and its associated action plan.</w:t>
      </w:r>
      <w:bookmarkEnd w:id="17"/>
    </w:p>
    <w:p w:rsidR="00357BB1" w:rsidRPr="00847709" w:rsidRDefault="00357BB1" w:rsidP="0090447C">
      <w:pPr>
        <w:pStyle w:val="BodyText"/>
        <w:ind w:left="720" w:hanging="720"/>
        <w:rPr>
          <w:sz w:val="22"/>
          <w:szCs w:val="22"/>
        </w:rPr>
      </w:pPr>
    </w:p>
    <w:p w:rsidR="00357BB1" w:rsidRDefault="00357BB1" w:rsidP="0090447C">
      <w:pPr>
        <w:pStyle w:val="BodyText"/>
        <w:ind w:left="720" w:hanging="720"/>
        <w:rPr>
          <w:sz w:val="22"/>
          <w:szCs w:val="22"/>
        </w:rPr>
      </w:pPr>
      <w:bookmarkStart w:id="18" w:name="_Toc294790"/>
      <w:r>
        <w:rPr>
          <w:sz w:val="22"/>
          <w:szCs w:val="22"/>
        </w:rPr>
        <w:t>(b)</w:t>
      </w:r>
      <w:r>
        <w:rPr>
          <w:sz w:val="22"/>
          <w:szCs w:val="22"/>
        </w:rPr>
        <w:tab/>
        <w:t xml:space="preserve">Design </w:t>
      </w:r>
      <w:r w:rsidRPr="00847709">
        <w:rPr>
          <w:sz w:val="22"/>
          <w:szCs w:val="22"/>
        </w:rPr>
        <w:t>of a change management strategy, action plan and communication strategy and the development and deployment of citizen engagement tools to collect and respond to citizen feedback and measure citizen satisfaction.</w:t>
      </w:r>
      <w:bookmarkEnd w:id="18"/>
    </w:p>
    <w:p w:rsidR="00357BB1" w:rsidRPr="00847709" w:rsidRDefault="00357BB1" w:rsidP="0090447C">
      <w:pPr>
        <w:pStyle w:val="BodyText"/>
        <w:ind w:left="720" w:hanging="720"/>
        <w:rPr>
          <w:sz w:val="22"/>
          <w:szCs w:val="22"/>
        </w:rPr>
      </w:pPr>
    </w:p>
    <w:p w:rsidR="00357BB1" w:rsidRDefault="00357BB1" w:rsidP="0090447C">
      <w:pPr>
        <w:pStyle w:val="BodyText"/>
        <w:ind w:left="720" w:hanging="720"/>
        <w:rPr>
          <w:sz w:val="22"/>
          <w:szCs w:val="22"/>
        </w:rPr>
      </w:pPr>
      <w:bookmarkStart w:id="19" w:name="_Toc294791"/>
      <w:bookmarkStart w:id="20" w:name="_Hlk36100"/>
      <w:r>
        <w:rPr>
          <w:sz w:val="22"/>
          <w:szCs w:val="22"/>
        </w:rPr>
        <w:t>(c)</w:t>
      </w:r>
      <w:r>
        <w:rPr>
          <w:sz w:val="22"/>
          <w:szCs w:val="22"/>
        </w:rPr>
        <w:tab/>
        <w:t>E</w:t>
      </w:r>
      <w:r w:rsidRPr="00847709">
        <w:rPr>
          <w:sz w:val="22"/>
          <w:szCs w:val="22"/>
        </w:rPr>
        <w:t xml:space="preserve">stablishment </w:t>
      </w:r>
      <w:r>
        <w:rPr>
          <w:sz w:val="22"/>
          <w:szCs w:val="22"/>
        </w:rPr>
        <w:t xml:space="preserve">and operation of </w:t>
      </w:r>
      <w:r w:rsidRPr="00847709">
        <w:rPr>
          <w:sz w:val="22"/>
          <w:szCs w:val="22"/>
        </w:rPr>
        <w:t xml:space="preserve">the PIU </w:t>
      </w:r>
      <w:r>
        <w:rPr>
          <w:sz w:val="22"/>
          <w:szCs w:val="22"/>
        </w:rPr>
        <w:t xml:space="preserve">and </w:t>
      </w:r>
      <w:r w:rsidRPr="00847709">
        <w:rPr>
          <w:sz w:val="22"/>
          <w:szCs w:val="22"/>
        </w:rPr>
        <w:t>provision of technical assist</w:t>
      </w:r>
      <w:r>
        <w:rPr>
          <w:sz w:val="22"/>
          <w:szCs w:val="22"/>
        </w:rPr>
        <w:t>ance to support the implementation of P</w:t>
      </w:r>
      <w:r w:rsidRPr="00847709">
        <w:rPr>
          <w:sz w:val="22"/>
          <w:szCs w:val="22"/>
        </w:rPr>
        <w:t>roject related activities.</w:t>
      </w:r>
      <w:bookmarkEnd w:id="19"/>
    </w:p>
    <w:p w:rsidR="00357BB1" w:rsidRPr="00847709" w:rsidRDefault="00357BB1" w:rsidP="0090447C">
      <w:pPr>
        <w:pStyle w:val="BodyText"/>
        <w:rPr>
          <w:sz w:val="22"/>
          <w:szCs w:val="22"/>
        </w:rPr>
      </w:pPr>
    </w:p>
    <w:bookmarkEnd w:id="20"/>
    <w:p w:rsidR="00357BB1" w:rsidRPr="00115CF5" w:rsidRDefault="00357BB1" w:rsidP="0090447C">
      <w:pPr>
        <w:pStyle w:val="BodyText"/>
        <w:jc w:val="center"/>
        <w:rPr>
          <w:sz w:val="22"/>
          <w:szCs w:val="22"/>
        </w:rPr>
      </w:pPr>
      <w:r w:rsidRPr="00115CF5">
        <w:rPr>
          <w:sz w:val="22"/>
          <w:szCs w:val="22"/>
        </w:rPr>
        <w:br w:type="page"/>
      </w:r>
      <w:r w:rsidRPr="00115CF5">
        <w:rPr>
          <w:b/>
          <w:bCs/>
          <w:sz w:val="22"/>
          <w:szCs w:val="22"/>
        </w:rPr>
        <w:lastRenderedPageBreak/>
        <w:t>SCHEDULE 2</w:t>
      </w:r>
    </w:p>
    <w:p w:rsidR="00357BB1" w:rsidRPr="00115CF5" w:rsidRDefault="00357BB1" w:rsidP="0090447C">
      <w:pPr>
        <w:pStyle w:val="BodyText"/>
        <w:jc w:val="center"/>
        <w:rPr>
          <w:sz w:val="22"/>
          <w:szCs w:val="22"/>
        </w:rPr>
      </w:pPr>
    </w:p>
    <w:p w:rsidR="00357BB1" w:rsidRPr="00115CF5" w:rsidRDefault="00357BB1" w:rsidP="0090447C">
      <w:pPr>
        <w:pStyle w:val="BodyText"/>
        <w:jc w:val="center"/>
        <w:rPr>
          <w:b/>
          <w:bCs/>
          <w:sz w:val="22"/>
          <w:szCs w:val="22"/>
        </w:rPr>
      </w:pPr>
      <w:r w:rsidRPr="00115CF5">
        <w:rPr>
          <w:b/>
          <w:bCs/>
          <w:sz w:val="22"/>
          <w:szCs w:val="22"/>
        </w:rPr>
        <w:t>Project Execution</w:t>
      </w:r>
    </w:p>
    <w:p w:rsidR="00357BB1" w:rsidRPr="00115CF5" w:rsidRDefault="00357BB1" w:rsidP="0090447C">
      <w:pPr>
        <w:pStyle w:val="BodyText"/>
        <w:jc w:val="center"/>
        <w:rPr>
          <w:sz w:val="22"/>
          <w:szCs w:val="22"/>
        </w:rPr>
      </w:pPr>
    </w:p>
    <w:p w:rsidR="00357BB1" w:rsidRPr="00115CF5" w:rsidRDefault="00357BB1" w:rsidP="0090447C">
      <w:pPr>
        <w:pStyle w:val="BodyText"/>
        <w:rPr>
          <w:b/>
          <w:bCs/>
          <w:sz w:val="22"/>
          <w:szCs w:val="22"/>
        </w:rPr>
      </w:pPr>
      <w:smartTag w:uri="urn:schemas-microsoft-com:office:smarttags" w:element="place">
        <w:smartTag w:uri="urn:schemas:contacts" w:element="Sn">
          <w:r w:rsidRPr="00115CF5">
            <w:rPr>
              <w:b/>
              <w:bCs/>
              <w:sz w:val="22"/>
              <w:szCs w:val="22"/>
            </w:rPr>
            <w:t>Section</w:t>
          </w:r>
        </w:smartTag>
        <w:r w:rsidRPr="00115CF5">
          <w:rPr>
            <w:b/>
            <w:bCs/>
            <w:sz w:val="22"/>
            <w:szCs w:val="22"/>
          </w:rPr>
          <w:t xml:space="preserve"> </w:t>
        </w:r>
        <w:smartTag w:uri="urn:schemas:contacts" w:element="Sn">
          <w:r w:rsidRPr="00115CF5">
            <w:rPr>
              <w:b/>
              <w:bCs/>
              <w:sz w:val="22"/>
              <w:szCs w:val="22"/>
            </w:rPr>
            <w:t>I.</w:t>
          </w:r>
        </w:smartTag>
      </w:smartTag>
      <w:r w:rsidRPr="00115CF5">
        <w:rPr>
          <w:b/>
          <w:bCs/>
          <w:sz w:val="22"/>
          <w:szCs w:val="22"/>
        </w:rPr>
        <w:tab/>
      </w:r>
      <w:r w:rsidRPr="00DA4FD2">
        <w:rPr>
          <w:b/>
          <w:bCs/>
          <w:sz w:val="22"/>
          <w:szCs w:val="22"/>
          <w:u w:val="single"/>
        </w:rPr>
        <w:t>Implementation Arrangements</w:t>
      </w:r>
    </w:p>
    <w:p w:rsidR="00357BB1" w:rsidRPr="00115CF5" w:rsidRDefault="00357BB1" w:rsidP="0090447C">
      <w:pPr>
        <w:pStyle w:val="BodyText"/>
        <w:rPr>
          <w:sz w:val="22"/>
          <w:szCs w:val="22"/>
        </w:rPr>
      </w:pPr>
    </w:p>
    <w:p w:rsidR="00357BB1" w:rsidRPr="00537B65" w:rsidRDefault="00357BB1" w:rsidP="0090447C">
      <w:pPr>
        <w:pStyle w:val="ModelNrmlSingle"/>
        <w:spacing w:after="0"/>
        <w:ind w:left="720" w:hanging="720"/>
        <w:rPr>
          <w:bCs/>
          <w:i/>
          <w:iCs/>
          <w:szCs w:val="22"/>
        </w:rPr>
      </w:pPr>
      <w:r w:rsidRPr="00CF2390">
        <w:rPr>
          <w:b/>
          <w:bCs/>
          <w:szCs w:val="22"/>
        </w:rPr>
        <w:t>A.</w:t>
      </w:r>
      <w:r w:rsidRPr="00CF2390">
        <w:rPr>
          <w:b/>
          <w:bCs/>
          <w:szCs w:val="22"/>
        </w:rPr>
        <w:tab/>
        <w:t>Institutional Arrangements</w:t>
      </w:r>
    </w:p>
    <w:p w:rsidR="00357BB1" w:rsidRDefault="00357BB1" w:rsidP="0090447C">
      <w:pPr>
        <w:pStyle w:val="BodyText"/>
        <w:rPr>
          <w:b/>
          <w:sz w:val="22"/>
          <w:szCs w:val="22"/>
        </w:rPr>
      </w:pPr>
    </w:p>
    <w:p w:rsidR="00357BB1" w:rsidRDefault="00357BB1" w:rsidP="00357BB1">
      <w:pPr>
        <w:pStyle w:val="ModelNrmlSingle"/>
        <w:numPr>
          <w:ilvl w:val="0"/>
          <w:numId w:val="19"/>
        </w:numPr>
        <w:ind w:left="720" w:hanging="720"/>
        <w:rPr>
          <w:bCs/>
          <w:iCs/>
          <w:szCs w:val="22"/>
        </w:rPr>
      </w:pPr>
      <w:r w:rsidRPr="005A6E06">
        <w:rPr>
          <w:bCs/>
          <w:iCs/>
          <w:szCs w:val="22"/>
        </w:rPr>
        <w:t>Without limitation to the provisions of Article V of the General Conditions and e</w:t>
      </w:r>
      <w:r w:rsidRPr="005A6E06">
        <w:rPr>
          <w:szCs w:val="22"/>
        </w:rPr>
        <w:t>xcept as the Bank shall otherwise agree, the Borrower shall</w:t>
      </w:r>
      <w:r w:rsidRPr="005A6E06">
        <w:rPr>
          <w:bCs/>
          <w:iCs/>
          <w:szCs w:val="22"/>
        </w:rPr>
        <w:t xml:space="preserve"> maintain throughout Project implementation, with </w:t>
      </w:r>
      <w:r w:rsidRPr="005A6E06">
        <w:rPr>
          <w:szCs w:val="22"/>
        </w:rPr>
        <w:t>composition, resources, terms of reference</w:t>
      </w:r>
      <w:r>
        <w:rPr>
          <w:szCs w:val="22"/>
        </w:rPr>
        <w:t>,</w:t>
      </w:r>
      <w:r w:rsidRPr="005A6E06">
        <w:rPr>
          <w:szCs w:val="22"/>
        </w:rPr>
        <w:t xml:space="preserve"> and </w:t>
      </w:r>
      <w:r w:rsidRPr="005A6E06">
        <w:rPr>
          <w:bCs/>
          <w:iCs/>
          <w:szCs w:val="22"/>
        </w:rPr>
        <w:t>functions acceptable to the Bank</w:t>
      </w:r>
      <w:r>
        <w:rPr>
          <w:bCs/>
          <w:iCs/>
          <w:szCs w:val="22"/>
        </w:rPr>
        <w:t>:</w:t>
      </w:r>
    </w:p>
    <w:p w:rsidR="00357BB1" w:rsidRPr="005A6E06" w:rsidRDefault="00357BB1" w:rsidP="00357BB1">
      <w:pPr>
        <w:pStyle w:val="ModelNrmlSingle"/>
        <w:numPr>
          <w:ilvl w:val="0"/>
          <w:numId w:val="20"/>
        </w:numPr>
        <w:ind w:hanging="720"/>
        <w:rPr>
          <w:szCs w:val="22"/>
        </w:rPr>
      </w:pPr>
      <w:r w:rsidRPr="005A6E06">
        <w:rPr>
          <w:bCs/>
          <w:iCs/>
          <w:szCs w:val="22"/>
        </w:rPr>
        <w:t xml:space="preserve">a </w:t>
      </w:r>
      <w:r>
        <w:rPr>
          <w:bCs/>
          <w:iCs/>
          <w:szCs w:val="22"/>
        </w:rPr>
        <w:t xml:space="preserve">Project implementation unit </w:t>
      </w:r>
      <w:r w:rsidRPr="005A6E06">
        <w:rPr>
          <w:bCs/>
          <w:iCs/>
          <w:szCs w:val="22"/>
        </w:rPr>
        <w:t xml:space="preserve">within </w:t>
      </w:r>
      <w:r>
        <w:rPr>
          <w:bCs/>
          <w:iCs/>
          <w:szCs w:val="22"/>
        </w:rPr>
        <w:t>OITeG (PIU)</w:t>
      </w:r>
      <w:r w:rsidRPr="005A6E06">
        <w:rPr>
          <w:bCs/>
          <w:iCs/>
          <w:szCs w:val="22"/>
        </w:rPr>
        <w:t>,</w:t>
      </w:r>
      <w:r>
        <w:rPr>
          <w:bCs/>
          <w:iCs/>
          <w:szCs w:val="22"/>
        </w:rPr>
        <w:t xml:space="preserve"> </w:t>
      </w:r>
      <w:r w:rsidRPr="005A6E06">
        <w:rPr>
          <w:bCs/>
          <w:iCs/>
          <w:szCs w:val="22"/>
        </w:rPr>
        <w:t xml:space="preserve">to </w:t>
      </w:r>
      <w:r w:rsidRPr="005A6E06">
        <w:rPr>
          <w:szCs w:val="22"/>
        </w:rPr>
        <w:t>be responsible for</w:t>
      </w:r>
      <w:r>
        <w:rPr>
          <w:szCs w:val="22"/>
        </w:rPr>
        <w:t>:</w:t>
      </w:r>
      <w:r w:rsidRPr="005A6E06">
        <w:rPr>
          <w:szCs w:val="22"/>
        </w:rPr>
        <w:t xml:space="preserve"> (i) the overall coordination of all Project implementation activities</w:t>
      </w:r>
      <w:r>
        <w:rPr>
          <w:szCs w:val="22"/>
        </w:rPr>
        <w:t>;</w:t>
      </w:r>
      <w:r w:rsidRPr="005A6E06">
        <w:rPr>
          <w:szCs w:val="22"/>
        </w:rPr>
        <w:t xml:space="preserve"> (ii)</w:t>
      </w:r>
      <w:r>
        <w:rPr>
          <w:szCs w:val="22"/>
        </w:rPr>
        <w:t> </w:t>
      </w:r>
      <w:r w:rsidRPr="005A6E06">
        <w:rPr>
          <w:szCs w:val="22"/>
        </w:rPr>
        <w:t>ensuring that</w:t>
      </w:r>
      <w:r w:rsidRPr="005A6E06" w:rsidDel="009667E2">
        <w:rPr>
          <w:szCs w:val="22"/>
        </w:rPr>
        <w:t xml:space="preserve"> </w:t>
      </w:r>
      <w:r w:rsidRPr="005A6E06">
        <w:rPr>
          <w:szCs w:val="22"/>
        </w:rPr>
        <w:t>the requirements, criteria, policies, procedures</w:t>
      </w:r>
      <w:r>
        <w:rPr>
          <w:szCs w:val="22"/>
        </w:rPr>
        <w:t>,</w:t>
      </w:r>
      <w:r w:rsidRPr="005A6E06">
        <w:rPr>
          <w:szCs w:val="22"/>
        </w:rPr>
        <w:t xml:space="preserve"> and organizational arrangements set forth in the P</w:t>
      </w:r>
      <w:r>
        <w:rPr>
          <w:szCs w:val="22"/>
        </w:rPr>
        <w:t xml:space="preserve">roject </w:t>
      </w:r>
      <w:r w:rsidRPr="005A6E06">
        <w:rPr>
          <w:szCs w:val="22"/>
        </w:rPr>
        <w:t>O</w:t>
      </w:r>
      <w:r>
        <w:rPr>
          <w:szCs w:val="22"/>
        </w:rPr>
        <w:t xml:space="preserve">perations </w:t>
      </w:r>
      <w:r w:rsidRPr="005A6E06">
        <w:rPr>
          <w:szCs w:val="22"/>
        </w:rPr>
        <w:t>M</w:t>
      </w:r>
      <w:r>
        <w:rPr>
          <w:szCs w:val="22"/>
        </w:rPr>
        <w:t>anual</w:t>
      </w:r>
      <w:r w:rsidRPr="005A6E06">
        <w:rPr>
          <w:szCs w:val="22"/>
        </w:rPr>
        <w:t xml:space="preserve"> are applied in carrying out the Project</w:t>
      </w:r>
      <w:r>
        <w:rPr>
          <w:szCs w:val="22"/>
        </w:rPr>
        <w:t>;</w:t>
      </w:r>
      <w:r w:rsidRPr="005A6E06">
        <w:rPr>
          <w:szCs w:val="22"/>
        </w:rPr>
        <w:t xml:space="preserve"> (iii) preparation of all Project implementation documents, including Project supervision reports, and (iv)</w:t>
      </w:r>
      <w:r>
        <w:rPr>
          <w:szCs w:val="22"/>
        </w:rPr>
        <w:t> </w:t>
      </w:r>
      <w:r w:rsidRPr="005A6E06">
        <w:rPr>
          <w:szCs w:val="22"/>
        </w:rPr>
        <w:t xml:space="preserve">monitoring and evaluation of the Project; </w:t>
      </w:r>
      <w:r>
        <w:rPr>
          <w:szCs w:val="22"/>
        </w:rPr>
        <w:t>and</w:t>
      </w:r>
    </w:p>
    <w:p w:rsidR="00357BB1" w:rsidRDefault="00357BB1" w:rsidP="00357BB1">
      <w:pPr>
        <w:pStyle w:val="ModelNrmlSingle"/>
        <w:numPr>
          <w:ilvl w:val="0"/>
          <w:numId w:val="20"/>
        </w:numPr>
        <w:ind w:hanging="720"/>
        <w:rPr>
          <w:bCs/>
          <w:iCs/>
          <w:szCs w:val="22"/>
        </w:rPr>
      </w:pPr>
      <w:r>
        <w:rPr>
          <w:bCs/>
          <w:iCs/>
          <w:szCs w:val="22"/>
        </w:rPr>
        <w:t>a</w:t>
      </w:r>
      <w:r w:rsidRPr="009A5382">
        <w:rPr>
          <w:bCs/>
          <w:iCs/>
          <w:szCs w:val="22"/>
        </w:rPr>
        <w:t xml:space="preserve"> Central Fiduciary Unit (CFU), within MoF, to be responsible for the procurement and financial management of the Project, as detailed in the P</w:t>
      </w:r>
      <w:r>
        <w:rPr>
          <w:bCs/>
          <w:iCs/>
          <w:szCs w:val="22"/>
        </w:rPr>
        <w:t xml:space="preserve">roject </w:t>
      </w:r>
      <w:r w:rsidRPr="009A5382">
        <w:rPr>
          <w:bCs/>
          <w:iCs/>
          <w:szCs w:val="22"/>
        </w:rPr>
        <w:t>O</w:t>
      </w:r>
      <w:r>
        <w:rPr>
          <w:bCs/>
          <w:iCs/>
          <w:szCs w:val="22"/>
        </w:rPr>
        <w:t xml:space="preserve">perations </w:t>
      </w:r>
      <w:r w:rsidRPr="009A5382">
        <w:rPr>
          <w:bCs/>
          <w:iCs/>
          <w:szCs w:val="22"/>
        </w:rPr>
        <w:t>M</w:t>
      </w:r>
      <w:r>
        <w:rPr>
          <w:bCs/>
          <w:iCs/>
          <w:szCs w:val="22"/>
        </w:rPr>
        <w:t>anual</w:t>
      </w:r>
      <w:r w:rsidRPr="009A5382">
        <w:rPr>
          <w:bCs/>
          <w:iCs/>
          <w:szCs w:val="22"/>
        </w:rPr>
        <w:t>.</w:t>
      </w:r>
    </w:p>
    <w:p w:rsidR="00357BB1" w:rsidRPr="00FA1460" w:rsidRDefault="00357BB1" w:rsidP="00357BB1">
      <w:pPr>
        <w:pStyle w:val="ListParagraph"/>
        <w:numPr>
          <w:ilvl w:val="0"/>
          <w:numId w:val="19"/>
        </w:numPr>
        <w:tabs>
          <w:tab w:val="left" w:pos="720"/>
        </w:tabs>
        <w:autoSpaceDE w:val="0"/>
        <w:autoSpaceDN w:val="0"/>
        <w:adjustRightInd w:val="0"/>
        <w:spacing w:line="240" w:lineRule="auto"/>
        <w:ind w:left="720" w:hanging="720"/>
        <w:jc w:val="both"/>
        <w:rPr>
          <w:color w:val="000000"/>
          <w:sz w:val="22"/>
          <w:szCs w:val="22"/>
        </w:rPr>
      </w:pPr>
      <w:r w:rsidRPr="00FA1460">
        <w:rPr>
          <w:color w:val="000000"/>
          <w:sz w:val="22"/>
          <w:szCs w:val="22"/>
        </w:rPr>
        <w:t>Unless otherwise agreed with the Bank, not later than one (1) month after the Effective Date, the Borrower shall establish and thereafter maintain throughout Project implementation a Project Steering Committee with responsibilities, composition and functions as set forth in the Project Operations Manual.</w:t>
      </w:r>
    </w:p>
    <w:p w:rsidR="00357BB1" w:rsidRDefault="00357BB1" w:rsidP="0090447C">
      <w:pPr>
        <w:pStyle w:val="ListParagraph"/>
        <w:tabs>
          <w:tab w:val="left" w:pos="720"/>
        </w:tabs>
        <w:autoSpaceDE w:val="0"/>
        <w:autoSpaceDN w:val="0"/>
        <w:adjustRightInd w:val="0"/>
        <w:spacing w:line="240" w:lineRule="auto"/>
        <w:ind w:left="0"/>
        <w:jc w:val="both"/>
        <w:rPr>
          <w:color w:val="000000"/>
          <w:sz w:val="22"/>
          <w:szCs w:val="22"/>
        </w:rPr>
      </w:pPr>
    </w:p>
    <w:p w:rsidR="00357BB1" w:rsidRPr="00FA1460" w:rsidRDefault="00357BB1" w:rsidP="00357BB1">
      <w:pPr>
        <w:pStyle w:val="ListParagraph"/>
        <w:numPr>
          <w:ilvl w:val="0"/>
          <w:numId w:val="19"/>
        </w:numPr>
        <w:tabs>
          <w:tab w:val="left" w:pos="720"/>
        </w:tabs>
        <w:autoSpaceDE w:val="0"/>
        <w:autoSpaceDN w:val="0"/>
        <w:adjustRightInd w:val="0"/>
        <w:spacing w:line="240" w:lineRule="auto"/>
        <w:ind w:left="720" w:hanging="720"/>
        <w:jc w:val="both"/>
        <w:rPr>
          <w:color w:val="000000"/>
          <w:sz w:val="22"/>
          <w:szCs w:val="22"/>
        </w:rPr>
      </w:pPr>
      <w:r w:rsidRPr="00FA1460">
        <w:rPr>
          <w:color w:val="000000"/>
          <w:sz w:val="22"/>
          <w:szCs w:val="22"/>
        </w:rPr>
        <w:t xml:space="preserve">The Borrower shall maintain throughout </w:t>
      </w:r>
      <w:r>
        <w:rPr>
          <w:color w:val="000000"/>
          <w:sz w:val="22"/>
          <w:szCs w:val="22"/>
        </w:rPr>
        <w:t xml:space="preserve">the </w:t>
      </w:r>
      <w:r w:rsidRPr="00FA1460">
        <w:rPr>
          <w:color w:val="000000"/>
          <w:sz w:val="22"/>
          <w:szCs w:val="22"/>
        </w:rPr>
        <w:t xml:space="preserve">Project </w:t>
      </w:r>
      <w:r>
        <w:rPr>
          <w:color w:val="000000"/>
          <w:sz w:val="22"/>
          <w:szCs w:val="22"/>
        </w:rPr>
        <w:t>a m</w:t>
      </w:r>
      <w:r w:rsidRPr="00FA1460">
        <w:rPr>
          <w:color w:val="000000"/>
          <w:sz w:val="22"/>
          <w:szCs w:val="22"/>
        </w:rPr>
        <w:t xml:space="preserve">anagement </w:t>
      </w:r>
      <w:r>
        <w:rPr>
          <w:color w:val="000000"/>
          <w:sz w:val="22"/>
          <w:szCs w:val="22"/>
        </w:rPr>
        <w:t>c</w:t>
      </w:r>
      <w:r w:rsidRPr="00FA1460">
        <w:rPr>
          <w:color w:val="000000"/>
          <w:sz w:val="22"/>
          <w:szCs w:val="22"/>
        </w:rPr>
        <w:t>ommittee</w:t>
      </w:r>
      <w:r>
        <w:rPr>
          <w:color w:val="000000"/>
          <w:sz w:val="22"/>
          <w:szCs w:val="22"/>
        </w:rPr>
        <w:t xml:space="preserve"> (“Management Committee”) to be responsible for the overall oversight of implementation of the Project with detailed </w:t>
      </w:r>
      <w:r w:rsidRPr="00FA1460">
        <w:rPr>
          <w:color w:val="000000"/>
          <w:sz w:val="22"/>
          <w:szCs w:val="22"/>
        </w:rPr>
        <w:t>responsibilities, composition and functions as set forth in the Project Operations Manual</w:t>
      </w:r>
      <w:r>
        <w:rPr>
          <w:color w:val="000000"/>
          <w:sz w:val="22"/>
          <w:szCs w:val="22"/>
        </w:rPr>
        <w:t>.</w:t>
      </w:r>
      <w:r w:rsidRPr="00FA1460" w:rsidDel="00F41E38">
        <w:rPr>
          <w:color w:val="000000"/>
          <w:sz w:val="22"/>
          <w:szCs w:val="22"/>
        </w:rPr>
        <w:t xml:space="preserve"> </w:t>
      </w:r>
    </w:p>
    <w:p w:rsidR="00357BB1" w:rsidRPr="00F41E38" w:rsidRDefault="00357BB1" w:rsidP="0090447C">
      <w:pPr>
        <w:pStyle w:val="ListParagraph"/>
        <w:tabs>
          <w:tab w:val="left" w:pos="720"/>
        </w:tabs>
        <w:autoSpaceDE w:val="0"/>
        <w:autoSpaceDN w:val="0"/>
        <w:adjustRightInd w:val="0"/>
        <w:spacing w:line="240" w:lineRule="auto"/>
        <w:jc w:val="both"/>
        <w:rPr>
          <w:bCs/>
          <w:iCs/>
          <w:szCs w:val="22"/>
        </w:rPr>
      </w:pPr>
    </w:p>
    <w:p w:rsidR="00357BB1" w:rsidRPr="005A6E06" w:rsidRDefault="00357BB1" w:rsidP="0090447C">
      <w:pPr>
        <w:pStyle w:val="ModelNrmlSingle"/>
        <w:ind w:firstLine="0"/>
        <w:rPr>
          <w:b/>
          <w:bCs/>
          <w:szCs w:val="22"/>
        </w:rPr>
      </w:pPr>
      <w:r w:rsidRPr="005A6E06">
        <w:rPr>
          <w:b/>
          <w:bCs/>
          <w:szCs w:val="22"/>
        </w:rPr>
        <w:t>B.</w:t>
      </w:r>
      <w:r w:rsidRPr="005A6E06">
        <w:rPr>
          <w:b/>
          <w:bCs/>
          <w:szCs w:val="22"/>
        </w:rPr>
        <w:tab/>
        <w:t>Project Operations Manual</w:t>
      </w:r>
    </w:p>
    <w:p w:rsidR="009A2304" w:rsidRDefault="00357BB1" w:rsidP="0090447C">
      <w:pPr>
        <w:pStyle w:val="ModelNrmlDouble"/>
        <w:tabs>
          <w:tab w:val="left" w:pos="720"/>
        </w:tabs>
        <w:spacing w:after="0" w:line="240" w:lineRule="auto"/>
        <w:ind w:left="720" w:hanging="720"/>
        <w:rPr>
          <w:szCs w:val="22"/>
        </w:rPr>
      </w:pPr>
      <w:r w:rsidRPr="00BE33E3">
        <w:rPr>
          <w:szCs w:val="22"/>
        </w:rPr>
        <w:t>1.</w:t>
      </w:r>
      <w:r w:rsidRPr="00BE33E3">
        <w:rPr>
          <w:szCs w:val="22"/>
        </w:rPr>
        <w:tab/>
        <w:t>The Borrower</w:t>
      </w:r>
      <w:r>
        <w:rPr>
          <w:szCs w:val="22"/>
        </w:rPr>
        <w:t xml:space="preserve">, through the PIU and CFU, </w:t>
      </w:r>
      <w:r w:rsidRPr="00BE33E3">
        <w:rPr>
          <w:szCs w:val="22"/>
        </w:rPr>
        <w:t xml:space="preserve">shall carry out the Project in accordance with the provisions of a manual (the Project Operations Manual), in a manner and with contents acceptable to the Bank, including </w:t>
      </w:r>
      <w:r w:rsidRPr="00BE33E3">
        <w:rPr>
          <w:i/>
          <w:szCs w:val="22"/>
        </w:rPr>
        <w:t>inter alia</w:t>
      </w:r>
      <w:r w:rsidRPr="00BE33E3">
        <w:rPr>
          <w:szCs w:val="22"/>
        </w:rPr>
        <w:t>:</w:t>
      </w:r>
      <w:r w:rsidRPr="00BE33E3" w:rsidDel="008C49F8">
        <w:rPr>
          <w:rFonts w:eastAsiaTheme="minorHAnsi"/>
          <w:noProof/>
          <w:szCs w:val="22"/>
        </w:rPr>
        <w:t xml:space="preserve"> </w:t>
      </w:r>
      <w:r w:rsidRPr="00BE33E3">
        <w:rPr>
          <w:szCs w:val="22"/>
        </w:rPr>
        <w:t>(</w:t>
      </w:r>
      <w:r>
        <w:rPr>
          <w:szCs w:val="22"/>
        </w:rPr>
        <w:t>a</w:t>
      </w:r>
      <w:r w:rsidRPr="00BE33E3">
        <w:rPr>
          <w:szCs w:val="22"/>
        </w:rPr>
        <w:t>) the indicators to be used in the monitoring and evaluation of the Project; (</w:t>
      </w:r>
      <w:r>
        <w:rPr>
          <w:szCs w:val="22"/>
        </w:rPr>
        <w:t>b</w:t>
      </w:r>
      <w:r w:rsidRPr="00BE33E3">
        <w:rPr>
          <w:szCs w:val="22"/>
        </w:rPr>
        <w:t>) the procedures for Project monitoring, supervision and evaluation, including the format and content of the Project Reports; (</w:t>
      </w:r>
      <w:r>
        <w:rPr>
          <w:szCs w:val="22"/>
        </w:rPr>
        <w:t>c</w:t>
      </w:r>
      <w:r w:rsidRPr="00BE33E3">
        <w:rPr>
          <w:szCs w:val="22"/>
        </w:rPr>
        <w:t>) </w:t>
      </w:r>
      <w:r>
        <w:rPr>
          <w:szCs w:val="22"/>
        </w:rPr>
        <w:t>the composition, rules of operation, and responsibilities of the Steering Committee, Management Committee and Coordination Council for E</w:t>
      </w:r>
      <w:r>
        <w:rPr>
          <w:szCs w:val="22"/>
        </w:rPr>
        <w:noBreakHyphen/>
        <w:t xml:space="preserve">Government; and (d) the </w:t>
      </w:r>
      <w:r w:rsidRPr="00BE33E3">
        <w:rPr>
          <w:szCs w:val="22"/>
        </w:rPr>
        <w:t>procurement and financial management procedures.</w:t>
      </w:r>
    </w:p>
    <w:p w:rsidR="009A2304" w:rsidRDefault="009A2304">
      <w:pPr>
        <w:spacing w:line="240" w:lineRule="auto"/>
        <w:rPr>
          <w:sz w:val="22"/>
          <w:szCs w:val="22"/>
        </w:rPr>
      </w:pPr>
      <w:r>
        <w:rPr>
          <w:szCs w:val="22"/>
        </w:rPr>
        <w:br w:type="page"/>
      </w:r>
    </w:p>
    <w:p w:rsidR="00357BB1" w:rsidRPr="00BE33E3" w:rsidRDefault="00357BB1" w:rsidP="0090447C">
      <w:pPr>
        <w:pStyle w:val="ModelNrmlDouble"/>
        <w:tabs>
          <w:tab w:val="left" w:pos="720"/>
        </w:tabs>
        <w:spacing w:after="0" w:line="240" w:lineRule="auto"/>
        <w:ind w:left="720" w:hanging="720"/>
        <w:rPr>
          <w:rFonts w:eastAsiaTheme="minorHAnsi"/>
          <w:noProof/>
          <w:szCs w:val="22"/>
        </w:rPr>
      </w:pPr>
    </w:p>
    <w:p w:rsidR="00357BB1" w:rsidRPr="00BE33E3" w:rsidRDefault="00357BB1" w:rsidP="0090447C">
      <w:pPr>
        <w:pStyle w:val="ModelNrmlDouble"/>
        <w:tabs>
          <w:tab w:val="left" w:pos="720"/>
        </w:tabs>
        <w:spacing w:after="0" w:line="240" w:lineRule="auto"/>
        <w:ind w:left="720" w:hanging="720"/>
        <w:rPr>
          <w:szCs w:val="22"/>
        </w:rPr>
      </w:pPr>
    </w:p>
    <w:p w:rsidR="00357BB1" w:rsidRPr="00BE33E3" w:rsidRDefault="00357BB1" w:rsidP="0090447C">
      <w:pPr>
        <w:pStyle w:val="BodyText"/>
        <w:ind w:left="720" w:hanging="720"/>
        <w:rPr>
          <w:sz w:val="22"/>
          <w:szCs w:val="22"/>
        </w:rPr>
      </w:pPr>
      <w:r w:rsidRPr="00BE33E3">
        <w:rPr>
          <w:sz w:val="22"/>
          <w:szCs w:val="22"/>
        </w:rPr>
        <w:t>2.</w:t>
      </w:r>
      <w:r w:rsidRPr="00BE33E3">
        <w:rPr>
          <w:sz w:val="22"/>
          <w:szCs w:val="22"/>
        </w:rPr>
        <w:tab/>
        <w:t>Except as the Bank may otherwise agree in writing, the Borrower shall not abrogate, amend, suspend, waive</w:t>
      </w:r>
      <w:r>
        <w:rPr>
          <w:sz w:val="22"/>
          <w:szCs w:val="22"/>
        </w:rPr>
        <w:t>,</w:t>
      </w:r>
      <w:r w:rsidRPr="00BE33E3">
        <w:rPr>
          <w:sz w:val="22"/>
          <w:szCs w:val="22"/>
        </w:rPr>
        <w:t xml:space="preserve"> or otherwise fail to enforce the </w:t>
      </w:r>
      <w:r>
        <w:rPr>
          <w:sz w:val="22"/>
          <w:szCs w:val="22"/>
        </w:rPr>
        <w:t>Project Operations Manual</w:t>
      </w:r>
      <w:r w:rsidRPr="00BE33E3">
        <w:rPr>
          <w:sz w:val="22"/>
          <w:szCs w:val="22"/>
        </w:rPr>
        <w:t xml:space="preserve"> or any provision thereof.</w:t>
      </w:r>
    </w:p>
    <w:p w:rsidR="00357BB1" w:rsidRPr="00BE33E3" w:rsidRDefault="00357BB1" w:rsidP="0090447C">
      <w:pPr>
        <w:pStyle w:val="BodyText"/>
        <w:ind w:left="720" w:hanging="720"/>
        <w:rPr>
          <w:sz w:val="22"/>
          <w:szCs w:val="22"/>
        </w:rPr>
      </w:pPr>
    </w:p>
    <w:p w:rsidR="00357BB1" w:rsidRPr="00A00553" w:rsidRDefault="00357BB1" w:rsidP="0090447C">
      <w:pPr>
        <w:pStyle w:val="ModelNrmlDouble"/>
        <w:tabs>
          <w:tab w:val="left" w:pos="720"/>
        </w:tabs>
        <w:spacing w:after="0" w:line="240" w:lineRule="auto"/>
        <w:ind w:left="720" w:hanging="720"/>
        <w:rPr>
          <w:szCs w:val="22"/>
        </w:rPr>
      </w:pPr>
      <w:r w:rsidRPr="00BE33E3">
        <w:rPr>
          <w:szCs w:val="22"/>
        </w:rPr>
        <w:t>3.</w:t>
      </w:r>
      <w:r w:rsidRPr="00BE33E3">
        <w:rPr>
          <w:szCs w:val="22"/>
        </w:rPr>
        <w:tab/>
        <w:t xml:space="preserve">In case of any conflict between the terms of the </w:t>
      </w:r>
      <w:r>
        <w:rPr>
          <w:szCs w:val="22"/>
        </w:rPr>
        <w:t>Project Operations Manual</w:t>
      </w:r>
      <w:r w:rsidRPr="00BE33E3">
        <w:rPr>
          <w:szCs w:val="22"/>
        </w:rPr>
        <w:t xml:space="preserve"> and those of this Agreement, the terms of this Agreement shall prevail.</w:t>
      </w:r>
    </w:p>
    <w:p w:rsidR="00357BB1" w:rsidRDefault="00357BB1" w:rsidP="0090447C">
      <w:pPr>
        <w:pStyle w:val="BodyText"/>
        <w:rPr>
          <w:b/>
          <w:sz w:val="22"/>
          <w:szCs w:val="22"/>
        </w:rPr>
      </w:pPr>
    </w:p>
    <w:p w:rsidR="00357BB1" w:rsidRDefault="00357BB1" w:rsidP="0090447C">
      <w:pPr>
        <w:spacing w:line="240" w:lineRule="auto"/>
        <w:ind w:left="720" w:hanging="720"/>
        <w:jc w:val="both"/>
        <w:rPr>
          <w:bCs/>
          <w:sz w:val="22"/>
          <w:szCs w:val="22"/>
        </w:rPr>
      </w:pPr>
      <w:bookmarkStart w:id="21" w:name="_Hlk530397756"/>
      <w:r>
        <w:rPr>
          <w:b/>
          <w:bCs/>
          <w:sz w:val="22"/>
          <w:szCs w:val="22"/>
        </w:rPr>
        <w:t>C</w:t>
      </w:r>
      <w:r w:rsidRPr="00FD04F6">
        <w:rPr>
          <w:b/>
          <w:bCs/>
          <w:sz w:val="22"/>
          <w:szCs w:val="22"/>
        </w:rPr>
        <w:t>.</w:t>
      </w:r>
      <w:r>
        <w:rPr>
          <w:b/>
          <w:bCs/>
          <w:sz w:val="22"/>
          <w:szCs w:val="22"/>
        </w:rPr>
        <w:tab/>
      </w:r>
      <w:r w:rsidRPr="00FD04F6">
        <w:rPr>
          <w:b/>
          <w:bCs/>
          <w:sz w:val="22"/>
          <w:szCs w:val="22"/>
        </w:rPr>
        <w:t>Safeguards</w:t>
      </w:r>
    </w:p>
    <w:p w:rsidR="00357BB1" w:rsidRDefault="00357BB1" w:rsidP="0090447C">
      <w:pPr>
        <w:spacing w:line="240" w:lineRule="auto"/>
        <w:jc w:val="both"/>
        <w:rPr>
          <w:bCs/>
          <w:sz w:val="22"/>
          <w:szCs w:val="22"/>
        </w:rPr>
      </w:pPr>
    </w:p>
    <w:p w:rsidR="00357BB1" w:rsidRPr="00D177A5" w:rsidRDefault="00357BB1" w:rsidP="00357BB1">
      <w:pPr>
        <w:pStyle w:val="ListParagraph"/>
        <w:numPr>
          <w:ilvl w:val="0"/>
          <w:numId w:val="25"/>
        </w:numPr>
        <w:spacing w:line="240" w:lineRule="auto"/>
        <w:ind w:hanging="720"/>
        <w:jc w:val="both"/>
        <w:rPr>
          <w:sz w:val="22"/>
          <w:szCs w:val="22"/>
        </w:rPr>
      </w:pPr>
      <w:r w:rsidRPr="00D177A5">
        <w:rPr>
          <w:sz w:val="22"/>
          <w:szCs w:val="22"/>
        </w:rPr>
        <w:t xml:space="preserve">The Borrower, through OITeG, shall ensure that: </w:t>
      </w:r>
    </w:p>
    <w:p w:rsidR="00357BB1" w:rsidRPr="00985D6B" w:rsidRDefault="00357BB1" w:rsidP="0090447C">
      <w:pPr>
        <w:spacing w:line="240" w:lineRule="auto"/>
        <w:jc w:val="both"/>
        <w:rPr>
          <w:sz w:val="22"/>
          <w:szCs w:val="22"/>
        </w:rPr>
      </w:pPr>
    </w:p>
    <w:p w:rsidR="00357BB1" w:rsidRPr="00985D6B" w:rsidRDefault="00357BB1" w:rsidP="00357BB1">
      <w:pPr>
        <w:pStyle w:val="ListParagraph"/>
        <w:numPr>
          <w:ilvl w:val="0"/>
          <w:numId w:val="22"/>
        </w:numPr>
        <w:spacing w:line="240" w:lineRule="auto"/>
        <w:ind w:left="1440" w:hanging="720"/>
        <w:jc w:val="both"/>
        <w:rPr>
          <w:sz w:val="22"/>
          <w:szCs w:val="22"/>
        </w:rPr>
      </w:pPr>
      <w:r w:rsidRPr="00985D6B">
        <w:rPr>
          <w:sz w:val="22"/>
          <w:szCs w:val="22"/>
        </w:rPr>
        <w:t>the Project is carried out with due regard to appropriate health, safety, social, and environmental practices and standards, and in accordance with the Safeguards Instruments;</w:t>
      </w:r>
    </w:p>
    <w:p w:rsidR="00357BB1" w:rsidRPr="00985D6B" w:rsidRDefault="00357BB1" w:rsidP="0090447C">
      <w:pPr>
        <w:spacing w:line="240" w:lineRule="auto"/>
        <w:ind w:left="1440" w:hanging="720"/>
        <w:jc w:val="both"/>
        <w:rPr>
          <w:sz w:val="22"/>
          <w:szCs w:val="22"/>
        </w:rPr>
      </w:pPr>
    </w:p>
    <w:p w:rsidR="00357BB1" w:rsidRPr="00D177A5" w:rsidRDefault="00357BB1" w:rsidP="00357BB1">
      <w:pPr>
        <w:pStyle w:val="ListParagraph"/>
        <w:numPr>
          <w:ilvl w:val="0"/>
          <w:numId w:val="22"/>
        </w:numPr>
        <w:spacing w:line="240" w:lineRule="auto"/>
        <w:ind w:left="1440" w:hanging="720"/>
        <w:jc w:val="both"/>
        <w:rPr>
          <w:sz w:val="22"/>
          <w:szCs w:val="22"/>
        </w:rPr>
      </w:pPr>
      <w:r w:rsidRPr="00D177A5">
        <w:rPr>
          <w:sz w:val="22"/>
          <w:szCs w:val="22"/>
        </w:rPr>
        <w:t xml:space="preserve">for each activity under the Project for which the ESMF and the RPF provide for the preparation of an ESMP and/or a RAP: </w:t>
      </w:r>
    </w:p>
    <w:p w:rsidR="00357BB1" w:rsidRPr="00985D6B" w:rsidRDefault="00357BB1" w:rsidP="0090447C">
      <w:pPr>
        <w:spacing w:line="240" w:lineRule="auto"/>
        <w:ind w:left="1440" w:hanging="720"/>
        <w:jc w:val="both"/>
        <w:rPr>
          <w:sz w:val="22"/>
          <w:szCs w:val="22"/>
        </w:rPr>
      </w:pPr>
    </w:p>
    <w:p w:rsidR="00357BB1" w:rsidRPr="00985D6B" w:rsidRDefault="00357BB1" w:rsidP="00357BB1">
      <w:pPr>
        <w:pStyle w:val="ListParagraph"/>
        <w:numPr>
          <w:ilvl w:val="0"/>
          <w:numId w:val="21"/>
        </w:numPr>
        <w:spacing w:line="240" w:lineRule="auto"/>
        <w:ind w:left="2160" w:hanging="720"/>
        <w:contextualSpacing/>
        <w:jc w:val="both"/>
        <w:rPr>
          <w:sz w:val="22"/>
          <w:szCs w:val="22"/>
        </w:rPr>
      </w:pPr>
      <w:r w:rsidRPr="00985D6B">
        <w:rPr>
          <w:sz w:val="22"/>
          <w:szCs w:val="22"/>
        </w:rPr>
        <w:t>proceed to have such ESMP and RAP as appropriate: (A) prepared and disclosed in accordance with the ESMF and the RPF, respectively; (B) consulted upon adequately with people affected by the Project as per the ESMF and the RPF, respectively, and submitted to the Bank for review and approval; and (C) thereafter adopted, prior to implementation of the activity; and</w:t>
      </w:r>
    </w:p>
    <w:p w:rsidR="00357BB1" w:rsidRPr="00985D6B" w:rsidRDefault="00357BB1" w:rsidP="0090447C">
      <w:pPr>
        <w:spacing w:line="240" w:lineRule="auto"/>
        <w:ind w:left="2160" w:hanging="720"/>
        <w:jc w:val="both"/>
        <w:rPr>
          <w:sz w:val="22"/>
          <w:szCs w:val="22"/>
        </w:rPr>
      </w:pPr>
    </w:p>
    <w:p w:rsidR="00357BB1" w:rsidRPr="00985D6B" w:rsidRDefault="00357BB1" w:rsidP="00357BB1">
      <w:pPr>
        <w:pStyle w:val="ListParagraph"/>
        <w:numPr>
          <w:ilvl w:val="0"/>
          <w:numId w:val="23"/>
        </w:numPr>
        <w:spacing w:line="240" w:lineRule="auto"/>
        <w:ind w:left="2160" w:hanging="720"/>
        <w:contextualSpacing/>
        <w:jc w:val="both"/>
        <w:rPr>
          <w:sz w:val="22"/>
          <w:szCs w:val="22"/>
        </w:rPr>
      </w:pPr>
      <w:r w:rsidRPr="00985D6B">
        <w:rPr>
          <w:sz w:val="22"/>
          <w:szCs w:val="22"/>
        </w:rPr>
        <w:t xml:space="preserve">take such measures as shall be necessary or appropriate to ensure compliance with the requirements of such ESMP and RAP in a manner satisfactory to the Bank; </w:t>
      </w:r>
    </w:p>
    <w:p w:rsidR="00357BB1" w:rsidRPr="00985D6B" w:rsidRDefault="00357BB1" w:rsidP="0090447C">
      <w:pPr>
        <w:spacing w:line="240" w:lineRule="auto"/>
        <w:jc w:val="both"/>
        <w:rPr>
          <w:sz w:val="22"/>
          <w:szCs w:val="22"/>
        </w:rPr>
      </w:pPr>
    </w:p>
    <w:p w:rsidR="00357BB1" w:rsidRPr="00D177A5" w:rsidRDefault="00357BB1" w:rsidP="00357BB1">
      <w:pPr>
        <w:pStyle w:val="ListParagraph"/>
        <w:numPr>
          <w:ilvl w:val="0"/>
          <w:numId w:val="22"/>
        </w:numPr>
        <w:spacing w:line="240" w:lineRule="auto"/>
        <w:ind w:left="1440" w:hanging="720"/>
        <w:jc w:val="both"/>
        <w:rPr>
          <w:sz w:val="22"/>
          <w:szCs w:val="22"/>
        </w:rPr>
      </w:pPr>
      <w:r w:rsidRPr="00D177A5">
        <w:rPr>
          <w:sz w:val="22"/>
          <w:szCs w:val="22"/>
        </w:rPr>
        <w:t>all measures are taken to implement the RAPs in a manner and timeframe satisfactory to the Bank. To this end, the Borrower shall ensure that:</w:t>
      </w:r>
    </w:p>
    <w:p w:rsidR="00357BB1" w:rsidRPr="00985D6B" w:rsidRDefault="00357BB1" w:rsidP="0090447C">
      <w:pPr>
        <w:spacing w:line="240" w:lineRule="auto"/>
        <w:ind w:left="2160" w:hanging="720"/>
        <w:jc w:val="both"/>
        <w:rPr>
          <w:sz w:val="22"/>
          <w:szCs w:val="22"/>
        </w:rPr>
      </w:pPr>
    </w:p>
    <w:p w:rsidR="00357BB1" w:rsidRPr="00985D6B" w:rsidRDefault="00357BB1" w:rsidP="00357BB1">
      <w:pPr>
        <w:pStyle w:val="ListParagraph"/>
        <w:numPr>
          <w:ilvl w:val="0"/>
          <w:numId w:val="24"/>
        </w:numPr>
        <w:spacing w:line="240" w:lineRule="auto"/>
        <w:ind w:left="2160" w:hanging="720"/>
        <w:contextualSpacing/>
        <w:jc w:val="both"/>
        <w:rPr>
          <w:sz w:val="22"/>
          <w:szCs w:val="22"/>
        </w:rPr>
      </w:pPr>
      <w:r w:rsidRPr="00985D6B">
        <w:rPr>
          <w:sz w:val="22"/>
          <w:szCs w:val="22"/>
        </w:rPr>
        <w:t>Funds are made available to cover all the costs of implementing the RAPs.</w:t>
      </w:r>
    </w:p>
    <w:p w:rsidR="00357BB1" w:rsidRPr="00985D6B" w:rsidRDefault="00357BB1" w:rsidP="0090447C">
      <w:pPr>
        <w:pStyle w:val="ListParagraph"/>
        <w:spacing w:line="240" w:lineRule="auto"/>
        <w:ind w:left="2160" w:hanging="720"/>
        <w:jc w:val="both"/>
        <w:rPr>
          <w:sz w:val="22"/>
          <w:szCs w:val="22"/>
        </w:rPr>
      </w:pPr>
    </w:p>
    <w:p w:rsidR="00357BB1" w:rsidRPr="00985D6B" w:rsidRDefault="00357BB1" w:rsidP="00357BB1">
      <w:pPr>
        <w:pStyle w:val="ListParagraph"/>
        <w:numPr>
          <w:ilvl w:val="0"/>
          <w:numId w:val="24"/>
        </w:numPr>
        <w:spacing w:line="240" w:lineRule="auto"/>
        <w:ind w:left="2160" w:hanging="720"/>
        <w:contextualSpacing/>
        <w:jc w:val="both"/>
        <w:rPr>
          <w:sz w:val="22"/>
          <w:szCs w:val="22"/>
        </w:rPr>
      </w:pPr>
      <w:r w:rsidRPr="00985D6B">
        <w:rPr>
          <w:sz w:val="22"/>
          <w:szCs w:val="22"/>
        </w:rPr>
        <w:t xml:space="preserve">Prior to carrying out activities which involve displacement, Affected Persons shall be compensated at full replacement cost, resettled and provided with resettlement </w:t>
      </w:r>
      <w:r>
        <w:rPr>
          <w:sz w:val="22"/>
          <w:szCs w:val="22"/>
        </w:rPr>
        <w:t>assistance</w:t>
      </w:r>
      <w:r w:rsidRPr="00985D6B">
        <w:rPr>
          <w:sz w:val="22"/>
          <w:szCs w:val="22"/>
        </w:rPr>
        <w:t xml:space="preserve"> in accordance with the Subproject RAPs, as applicable; and</w:t>
      </w:r>
    </w:p>
    <w:p w:rsidR="00357BB1" w:rsidRPr="00985D6B" w:rsidRDefault="00357BB1" w:rsidP="0090447C">
      <w:pPr>
        <w:spacing w:line="240" w:lineRule="auto"/>
        <w:ind w:left="2160" w:hanging="720"/>
        <w:jc w:val="both"/>
        <w:rPr>
          <w:sz w:val="22"/>
          <w:szCs w:val="22"/>
        </w:rPr>
      </w:pPr>
    </w:p>
    <w:p w:rsidR="00357BB1" w:rsidRDefault="00357BB1" w:rsidP="00357BB1">
      <w:pPr>
        <w:pStyle w:val="ListParagraph"/>
        <w:numPr>
          <w:ilvl w:val="0"/>
          <w:numId w:val="24"/>
        </w:numPr>
        <w:spacing w:line="240" w:lineRule="auto"/>
        <w:ind w:left="2160" w:hanging="720"/>
        <w:contextualSpacing/>
        <w:jc w:val="both"/>
        <w:rPr>
          <w:sz w:val="22"/>
          <w:szCs w:val="22"/>
        </w:rPr>
      </w:pPr>
      <w:r w:rsidRPr="00985D6B">
        <w:rPr>
          <w:sz w:val="22"/>
          <w:szCs w:val="22"/>
        </w:rPr>
        <w:t>the implementation, monitoring and evaluation of such RAPs is completed and reported in a manner satisfactory to the Bank.</w:t>
      </w:r>
    </w:p>
    <w:p w:rsidR="009A2304" w:rsidRDefault="009A2304">
      <w:pPr>
        <w:spacing w:line="240" w:lineRule="auto"/>
        <w:rPr>
          <w:sz w:val="22"/>
          <w:szCs w:val="22"/>
        </w:rPr>
      </w:pPr>
      <w:r>
        <w:rPr>
          <w:sz w:val="22"/>
          <w:szCs w:val="22"/>
        </w:rPr>
        <w:br w:type="page"/>
      </w:r>
    </w:p>
    <w:p w:rsidR="00357BB1" w:rsidRPr="00985D6B" w:rsidRDefault="00357BB1" w:rsidP="0090447C">
      <w:pPr>
        <w:spacing w:line="240" w:lineRule="auto"/>
        <w:jc w:val="both"/>
        <w:rPr>
          <w:sz w:val="22"/>
          <w:szCs w:val="22"/>
        </w:rPr>
      </w:pPr>
    </w:p>
    <w:p w:rsidR="00357BB1" w:rsidRPr="00D177A5" w:rsidRDefault="00357BB1" w:rsidP="00357BB1">
      <w:pPr>
        <w:pStyle w:val="ListParagraph"/>
        <w:numPr>
          <w:ilvl w:val="0"/>
          <w:numId w:val="25"/>
        </w:numPr>
        <w:spacing w:line="240" w:lineRule="auto"/>
        <w:ind w:hanging="720"/>
        <w:jc w:val="both"/>
        <w:rPr>
          <w:color w:val="000000"/>
          <w:sz w:val="22"/>
          <w:szCs w:val="22"/>
        </w:rPr>
      </w:pPr>
      <w:r w:rsidRPr="00D177A5">
        <w:rPr>
          <w:color w:val="000000"/>
          <w:sz w:val="22"/>
          <w:szCs w:val="22"/>
        </w:rPr>
        <w:t xml:space="preserve">The Borrower, through OITeG, shall ensure that the obligation to comply with the relevant Safeguard Instruments is incorporated: (a) in the contracts between the Borrower and the relevant contractors and any entity (including any engineer) supervising the Project’s civil works; and (b) in the contracts between the relevant contractors and the contractors’ subcontractors.   </w:t>
      </w:r>
    </w:p>
    <w:p w:rsidR="00357BB1" w:rsidRPr="00985D6B" w:rsidRDefault="00357BB1" w:rsidP="0090447C">
      <w:pPr>
        <w:spacing w:line="240" w:lineRule="auto"/>
        <w:ind w:left="720" w:hanging="720"/>
        <w:jc w:val="both"/>
        <w:rPr>
          <w:sz w:val="22"/>
          <w:szCs w:val="22"/>
        </w:rPr>
      </w:pPr>
    </w:p>
    <w:p w:rsidR="00357BB1" w:rsidRPr="00D177A5" w:rsidRDefault="00357BB1" w:rsidP="00357BB1">
      <w:pPr>
        <w:pStyle w:val="ListParagraph"/>
        <w:numPr>
          <w:ilvl w:val="0"/>
          <w:numId w:val="25"/>
        </w:numPr>
        <w:spacing w:line="240" w:lineRule="auto"/>
        <w:ind w:hanging="720"/>
        <w:jc w:val="both"/>
        <w:rPr>
          <w:sz w:val="22"/>
          <w:szCs w:val="22"/>
        </w:rPr>
      </w:pPr>
      <w:r w:rsidRPr="00D177A5">
        <w:rPr>
          <w:sz w:val="22"/>
          <w:szCs w:val="22"/>
        </w:rPr>
        <w:t>Except as the Bank shall otherwise agree, the Borrower,</w:t>
      </w:r>
      <w:r w:rsidRPr="00D177A5">
        <w:rPr>
          <w:color w:val="000000"/>
          <w:sz w:val="22"/>
          <w:szCs w:val="22"/>
        </w:rPr>
        <w:t xml:space="preserve"> through OITeG,</w:t>
      </w:r>
      <w:r w:rsidRPr="00D177A5">
        <w:rPr>
          <w:sz w:val="22"/>
          <w:szCs w:val="22"/>
        </w:rPr>
        <w:t xml:space="preserve"> shall ensure, and cause to ensure, that none of the provisions of the Safeguard Instruments is abrogated, amended, repealed, suspended</w:t>
      </w:r>
      <w:r>
        <w:rPr>
          <w:sz w:val="22"/>
          <w:szCs w:val="22"/>
        </w:rPr>
        <w:t>,</w:t>
      </w:r>
      <w:r w:rsidRPr="00D177A5">
        <w:rPr>
          <w:sz w:val="22"/>
          <w:szCs w:val="22"/>
        </w:rPr>
        <w:t xml:space="preserve"> or waived. In case of any inconsistencies between the provisions of any of the Safeguard Instruments and the provisions of this Agreement, the provisions of this Agreement shall prevail.</w:t>
      </w:r>
    </w:p>
    <w:p w:rsidR="00357BB1" w:rsidRPr="00985D6B" w:rsidRDefault="00357BB1" w:rsidP="0090447C">
      <w:pPr>
        <w:spacing w:line="240" w:lineRule="auto"/>
        <w:ind w:left="720" w:hanging="720"/>
        <w:jc w:val="both"/>
        <w:rPr>
          <w:sz w:val="22"/>
          <w:szCs w:val="22"/>
        </w:rPr>
      </w:pPr>
    </w:p>
    <w:p w:rsidR="00357BB1" w:rsidRPr="00D177A5" w:rsidRDefault="00357BB1" w:rsidP="00357BB1">
      <w:pPr>
        <w:pStyle w:val="ListParagraph"/>
        <w:numPr>
          <w:ilvl w:val="0"/>
          <w:numId w:val="25"/>
        </w:numPr>
        <w:autoSpaceDE w:val="0"/>
        <w:autoSpaceDN w:val="0"/>
        <w:adjustRightInd w:val="0"/>
        <w:spacing w:line="240" w:lineRule="auto"/>
        <w:ind w:hanging="720"/>
        <w:jc w:val="both"/>
        <w:rPr>
          <w:sz w:val="22"/>
          <w:szCs w:val="22"/>
        </w:rPr>
      </w:pPr>
      <w:r w:rsidRPr="00D177A5">
        <w:rPr>
          <w:bCs/>
          <w:iCs/>
          <w:sz w:val="22"/>
          <w:szCs w:val="22"/>
        </w:rPr>
        <w:t>The Borrower</w:t>
      </w:r>
      <w:r w:rsidRPr="00D177A5">
        <w:rPr>
          <w:sz w:val="22"/>
          <w:szCs w:val="22"/>
        </w:rPr>
        <w:t>,</w:t>
      </w:r>
      <w:r w:rsidRPr="00D177A5">
        <w:rPr>
          <w:color w:val="000000"/>
          <w:sz w:val="22"/>
          <w:szCs w:val="22"/>
        </w:rPr>
        <w:t xml:space="preserve"> through OITeG,</w:t>
      </w:r>
      <w:r w:rsidRPr="00D177A5">
        <w:rPr>
          <w:sz w:val="22"/>
          <w:szCs w:val="22"/>
        </w:rPr>
        <w:t xml:space="preserve"> </w:t>
      </w:r>
      <w:r w:rsidRPr="00D177A5">
        <w:rPr>
          <w:bCs/>
          <w:iCs/>
          <w:sz w:val="22"/>
          <w:szCs w:val="22"/>
        </w:rPr>
        <w:t xml:space="preserve">shall ensure that: (a) </w:t>
      </w:r>
      <w:r w:rsidRPr="00D177A5">
        <w:rPr>
          <w:sz w:val="22"/>
          <w:szCs w:val="22"/>
        </w:rPr>
        <w:t>all consultancies related to technical assistance, design and capacity building under the Project, the application of whose results could have environmental, social and health and safety implications, shall only be undertaken pursuant to terms of reference reviewed and found satisfactory by the Bank; and (b) such terms of reference shall require the technical assistance, design and capacity building activities to take into account the requirements of the applicable Bank Safeguards Policies and EHS Guidelines.</w:t>
      </w:r>
    </w:p>
    <w:p w:rsidR="00357BB1" w:rsidRPr="00985D6B" w:rsidRDefault="00357BB1" w:rsidP="0090447C">
      <w:pPr>
        <w:autoSpaceDE w:val="0"/>
        <w:autoSpaceDN w:val="0"/>
        <w:adjustRightInd w:val="0"/>
        <w:spacing w:line="240" w:lineRule="auto"/>
        <w:ind w:left="720" w:hanging="720"/>
        <w:jc w:val="both"/>
        <w:rPr>
          <w:sz w:val="22"/>
          <w:szCs w:val="22"/>
        </w:rPr>
      </w:pPr>
    </w:p>
    <w:p w:rsidR="00357BB1" w:rsidRPr="00985D6B" w:rsidRDefault="00357BB1" w:rsidP="00357BB1">
      <w:pPr>
        <w:pStyle w:val="Default"/>
        <w:numPr>
          <w:ilvl w:val="0"/>
          <w:numId w:val="25"/>
        </w:numPr>
        <w:ind w:hanging="720"/>
        <w:jc w:val="both"/>
        <w:rPr>
          <w:color w:val="auto"/>
          <w:sz w:val="22"/>
          <w:szCs w:val="22"/>
        </w:rPr>
      </w:pPr>
      <w:r w:rsidRPr="00985D6B">
        <w:rPr>
          <w:color w:val="auto"/>
          <w:sz w:val="22"/>
          <w:szCs w:val="22"/>
        </w:rPr>
        <w:t>The Borrower</w:t>
      </w:r>
      <w:r w:rsidRPr="00985D6B">
        <w:rPr>
          <w:sz w:val="22"/>
          <w:szCs w:val="22"/>
        </w:rPr>
        <w:t>, through OITeG,</w:t>
      </w:r>
      <w:r w:rsidRPr="00985D6B">
        <w:rPr>
          <w:color w:val="auto"/>
          <w:sz w:val="22"/>
          <w:szCs w:val="22"/>
        </w:rPr>
        <w:t xml:space="preserve"> shall maintain, throughout Project implementation, and publicize the availability of a grievance redress mechanism, in form and substance satisfactory to the Bank, to hear and determine fairly and in good faith all complaints raised in relation to the Project, and take all measures necessary to implement the determinations made by such mechanism in a manner satisfactory to the Bank.</w:t>
      </w:r>
    </w:p>
    <w:p w:rsidR="00357BB1" w:rsidRPr="00255057" w:rsidRDefault="00357BB1" w:rsidP="0090447C">
      <w:pPr>
        <w:autoSpaceDE w:val="0"/>
        <w:autoSpaceDN w:val="0"/>
        <w:adjustRightInd w:val="0"/>
        <w:spacing w:line="240" w:lineRule="auto"/>
        <w:jc w:val="both"/>
        <w:rPr>
          <w:sz w:val="23"/>
          <w:szCs w:val="23"/>
        </w:rPr>
      </w:pPr>
    </w:p>
    <w:bookmarkEnd w:id="21"/>
    <w:p w:rsidR="00357BB1" w:rsidRPr="00115CF5" w:rsidRDefault="00357BB1" w:rsidP="0090447C">
      <w:pPr>
        <w:pStyle w:val="BodyText"/>
        <w:rPr>
          <w:b/>
          <w:bCs/>
          <w:sz w:val="22"/>
          <w:szCs w:val="22"/>
        </w:rPr>
      </w:pPr>
      <w:r w:rsidRPr="00115CF5">
        <w:rPr>
          <w:b/>
          <w:bCs/>
          <w:sz w:val="22"/>
          <w:szCs w:val="22"/>
        </w:rPr>
        <w:t>Section II.</w:t>
      </w:r>
      <w:r w:rsidRPr="00115CF5">
        <w:rPr>
          <w:b/>
          <w:bCs/>
          <w:sz w:val="22"/>
          <w:szCs w:val="22"/>
        </w:rPr>
        <w:tab/>
      </w:r>
      <w:r w:rsidRPr="00115CF5">
        <w:rPr>
          <w:b/>
          <w:bCs/>
          <w:sz w:val="22"/>
          <w:szCs w:val="22"/>
          <w:u w:val="single"/>
        </w:rPr>
        <w:t>Project Monitoring</w:t>
      </w:r>
      <w:r>
        <w:rPr>
          <w:b/>
          <w:bCs/>
          <w:sz w:val="22"/>
          <w:szCs w:val="22"/>
          <w:u w:val="single"/>
        </w:rPr>
        <w:t xml:space="preserve"> Reporting and</w:t>
      </w:r>
      <w:r w:rsidRPr="00115CF5">
        <w:rPr>
          <w:b/>
          <w:bCs/>
          <w:sz w:val="22"/>
          <w:szCs w:val="22"/>
          <w:u w:val="single"/>
        </w:rPr>
        <w:t xml:space="preserve"> Evaluation</w:t>
      </w:r>
    </w:p>
    <w:p w:rsidR="00357BB1" w:rsidRPr="00115CF5" w:rsidRDefault="00357BB1" w:rsidP="0090447C">
      <w:pPr>
        <w:pStyle w:val="BodyText"/>
        <w:rPr>
          <w:sz w:val="22"/>
          <w:szCs w:val="22"/>
        </w:rPr>
      </w:pPr>
    </w:p>
    <w:p w:rsidR="00357BB1" w:rsidRPr="00115CF5" w:rsidRDefault="00357BB1" w:rsidP="0090447C">
      <w:pPr>
        <w:pStyle w:val="BodyText"/>
        <w:rPr>
          <w:sz w:val="22"/>
          <w:szCs w:val="22"/>
        </w:rPr>
      </w:pPr>
      <w:r>
        <w:rPr>
          <w:sz w:val="22"/>
          <w:szCs w:val="22"/>
        </w:rPr>
        <w:tab/>
        <w:t>The Borrower shall furnish to the Bank each</w:t>
      </w:r>
      <w:r w:rsidRPr="00115CF5">
        <w:rPr>
          <w:sz w:val="22"/>
          <w:szCs w:val="22"/>
        </w:rPr>
        <w:t xml:space="preserve"> Project Report not later than one</w:t>
      </w:r>
      <w:r>
        <w:rPr>
          <w:sz w:val="22"/>
          <w:szCs w:val="22"/>
        </w:rPr>
        <w:t> (1) </w:t>
      </w:r>
      <w:r w:rsidRPr="00115CF5">
        <w:rPr>
          <w:sz w:val="22"/>
          <w:szCs w:val="22"/>
        </w:rPr>
        <w:t xml:space="preserve">month after the end of </w:t>
      </w:r>
      <w:r>
        <w:rPr>
          <w:sz w:val="22"/>
          <w:szCs w:val="22"/>
        </w:rPr>
        <w:t xml:space="preserve">each calendar semester, </w:t>
      </w:r>
      <w:r w:rsidRPr="00115CF5">
        <w:rPr>
          <w:sz w:val="22"/>
          <w:szCs w:val="22"/>
        </w:rPr>
        <w:t>cover</w:t>
      </w:r>
      <w:r>
        <w:rPr>
          <w:sz w:val="22"/>
          <w:szCs w:val="22"/>
        </w:rPr>
        <w:t>ing</w:t>
      </w:r>
      <w:r w:rsidRPr="00115CF5">
        <w:rPr>
          <w:sz w:val="22"/>
          <w:szCs w:val="22"/>
        </w:rPr>
        <w:t xml:space="preserve"> the calendar semester. </w:t>
      </w:r>
    </w:p>
    <w:p w:rsidR="00357BB1" w:rsidRPr="00115CF5" w:rsidRDefault="00357BB1" w:rsidP="0090447C">
      <w:pPr>
        <w:pStyle w:val="BodyText"/>
        <w:rPr>
          <w:iCs/>
          <w:sz w:val="22"/>
          <w:szCs w:val="22"/>
        </w:rPr>
      </w:pPr>
    </w:p>
    <w:p w:rsidR="00357BB1" w:rsidRPr="00115CF5" w:rsidRDefault="00357BB1" w:rsidP="0090447C">
      <w:pPr>
        <w:pStyle w:val="BodyText"/>
        <w:rPr>
          <w:b/>
          <w:bCs/>
          <w:sz w:val="22"/>
          <w:szCs w:val="22"/>
        </w:rPr>
      </w:pPr>
      <w:r w:rsidRPr="00115CF5">
        <w:rPr>
          <w:b/>
          <w:bCs/>
          <w:sz w:val="22"/>
          <w:szCs w:val="22"/>
        </w:rPr>
        <w:t>Section I</w:t>
      </w:r>
      <w:r>
        <w:rPr>
          <w:b/>
          <w:bCs/>
          <w:sz w:val="22"/>
          <w:szCs w:val="22"/>
        </w:rPr>
        <w:t>II</w:t>
      </w:r>
      <w:r w:rsidRPr="00115CF5">
        <w:rPr>
          <w:b/>
          <w:bCs/>
          <w:sz w:val="22"/>
          <w:szCs w:val="22"/>
        </w:rPr>
        <w:t>.</w:t>
      </w:r>
      <w:r w:rsidRPr="00115CF5">
        <w:rPr>
          <w:b/>
          <w:bCs/>
          <w:sz w:val="22"/>
          <w:szCs w:val="22"/>
        </w:rPr>
        <w:tab/>
      </w:r>
      <w:r w:rsidRPr="00115CF5">
        <w:rPr>
          <w:b/>
          <w:bCs/>
          <w:sz w:val="22"/>
          <w:szCs w:val="22"/>
          <w:u w:val="single"/>
        </w:rPr>
        <w:t>Withdrawal of Loan Proceeds</w:t>
      </w:r>
    </w:p>
    <w:p w:rsidR="00357BB1" w:rsidRPr="00115CF5" w:rsidRDefault="00357BB1" w:rsidP="0090447C">
      <w:pPr>
        <w:pStyle w:val="BodyText"/>
        <w:rPr>
          <w:sz w:val="22"/>
          <w:szCs w:val="22"/>
        </w:rPr>
      </w:pPr>
    </w:p>
    <w:p w:rsidR="00357BB1" w:rsidRPr="009344AD" w:rsidRDefault="00357BB1" w:rsidP="0090447C">
      <w:pPr>
        <w:pStyle w:val="BodyText"/>
        <w:ind w:left="720" w:hanging="720"/>
        <w:rPr>
          <w:b/>
          <w:bCs/>
          <w:sz w:val="22"/>
          <w:szCs w:val="22"/>
        </w:rPr>
      </w:pPr>
      <w:r>
        <w:rPr>
          <w:b/>
          <w:bCs/>
          <w:sz w:val="22"/>
          <w:szCs w:val="22"/>
        </w:rPr>
        <w:t>A.</w:t>
      </w:r>
      <w:r>
        <w:rPr>
          <w:b/>
          <w:bCs/>
          <w:sz w:val="22"/>
          <w:szCs w:val="22"/>
        </w:rPr>
        <w:tab/>
        <w:t>General</w:t>
      </w:r>
    </w:p>
    <w:p w:rsidR="00357BB1" w:rsidRDefault="00357BB1" w:rsidP="0090447C">
      <w:pPr>
        <w:pStyle w:val="BodyText"/>
        <w:ind w:left="720" w:hanging="720"/>
        <w:rPr>
          <w:bCs/>
          <w:sz w:val="22"/>
          <w:szCs w:val="22"/>
        </w:rPr>
      </w:pPr>
    </w:p>
    <w:p w:rsidR="00357BB1" w:rsidRDefault="00357BB1" w:rsidP="0090447C">
      <w:pPr>
        <w:pStyle w:val="BodyText"/>
        <w:ind w:firstLine="720"/>
        <w:rPr>
          <w:sz w:val="22"/>
          <w:szCs w:val="22"/>
        </w:rPr>
      </w:pPr>
      <w:r w:rsidRPr="006C2469">
        <w:rPr>
          <w:sz w:val="22"/>
          <w:szCs w:val="22"/>
        </w:rPr>
        <w:t>Without limitation upon the provisions of Article II of the General Conditions</w:t>
      </w:r>
      <w:r w:rsidRPr="00417805">
        <w:rPr>
          <w:sz w:val="22"/>
          <w:szCs w:val="22"/>
        </w:rPr>
        <w:t xml:space="preserve"> </w:t>
      </w:r>
      <w:r>
        <w:rPr>
          <w:sz w:val="22"/>
          <w:szCs w:val="22"/>
        </w:rPr>
        <w:t>and in accordance with the</w:t>
      </w:r>
      <w:r w:rsidRPr="00F63C11">
        <w:rPr>
          <w:color w:val="000000"/>
          <w:sz w:val="23"/>
          <w:szCs w:val="23"/>
        </w:rPr>
        <w:t xml:space="preserve"> Disbursement and Financial </w:t>
      </w:r>
      <w:r>
        <w:rPr>
          <w:color w:val="000000"/>
          <w:sz w:val="23"/>
          <w:szCs w:val="23"/>
        </w:rPr>
        <w:t>Information</w:t>
      </w:r>
      <w:r w:rsidRPr="00F63C11">
        <w:rPr>
          <w:color w:val="000000"/>
          <w:sz w:val="23"/>
          <w:szCs w:val="23"/>
        </w:rPr>
        <w:t xml:space="preserve"> Letter</w:t>
      </w:r>
      <w:r w:rsidRPr="006C2469">
        <w:rPr>
          <w:sz w:val="22"/>
          <w:szCs w:val="22"/>
        </w:rPr>
        <w:t xml:space="preserve">, the </w:t>
      </w:r>
      <w:r>
        <w:rPr>
          <w:sz w:val="22"/>
          <w:szCs w:val="22"/>
        </w:rPr>
        <w:t>Borrower</w:t>
      </w:r>
      <w:r w:rsidRPr="006C2469">
        <w:rPr>
          <w:sz w:val="22"/>
          <w:szCs w:val="22"/>
        </w:rPr>
        <w:t xml:space="preserve"> may withdraw the proceeds of the </w:t>
      </w:r>
      <w:r>
        <w:rPr>
          <w:sz w:val="22"/>
          <w:szCs w:val="22"/>
        </w:rPr>
        <w:t xml:space="preserve">Loan </w:t>
      </w:r>
      <w:r w:rsidRPr="006C2469">
        <w:rPr>
          <w:sz w:val="22"/>
          <w:szCs w:val="22"/>
        </w:rPr>
        <w:t>to</w:t>
      </w:r>
      <w:r w:rsidRPr="004C24EE">
        <w:rPr>
          <w:sz w:val="22"/>
          <w:szCs w:val="22"/>
        </w:rPr>
        <w:t>: (a) finance Eligible Expenditures; and (</w:t>
      </w:r>
      <w:r>
        <w:rPr>
          <w:sz w:val="22"/>
          <w:szCs w:val="22"/>
        </w:rPr>
        <w:t>b</w:t>
      </w:r>
      <w:r w:rsidRPr="004C24EE">
        <w:rPr>
          <w:sz w:val="22"/>
          <w:szCs w:val="22"/>
        </w:rPr>
        <w:t>) pay the Front-end Fee; in the amount allocated and, if applicable</w:t>
      </w:r>
      <w:r>
        <w:rPr>
          <w:sz w:val="22"/>
          <w:szCs w:val="22"/>
        </w:rPr>
        <w:t>,</w:t>
      </w:r>
      <w:r w:rsidRPr="004C24EE">
        <w:rPr>
          <w:sz w:val="22"/>
          <w:szCs w:val="22"/>
        </w:rPr>
        <w:t xml:space="preserve"> up to the percentage </w:t>
      </w:r>
      <w:r>
        <w:rPr>
          <w:sz w:val="22"/>
          <w:szCs w:val="22"/>
        </w:rPr>
        <w:t xml:space="preserve">set forth against each Category of </w:t>
      </w:r>
      <w:r w:rsidRPr="004C24EE">
        <w:rPr>
          <w:sz w:val="22"/>
          <w:szCs w:val="22"/>
        </w:rPr>
        <w:t>the following table</w:t>
      </w:r>
      <w:r w:rsidRPr="006C2469">
        <w:rPr>
          <w:sz w:val="22"/>
          <w:szCs w:val="22"/>
        </w:rPr>
        <w:t>:</w:t>
      </w:r>
    </w:p>
    <w:p w:rsidR="009A2304" w:rsidRDefault="009A2304" w:rsidP="0090447C">
      <w:pPr>
        <w:pStyle w:val="BodyText"/>
        <w:ind w:firstLine="720"/>
        <w:rPr>
          <w:sz w:val="22"/>
          <w:szCs w:val="22"/>
        </w:rPr>
      </w:pPr>
    </w:p>
    <w:p w:rsidR="009A2304" w:rsidRDefault="009A2304" w:rsidP="0090447C">
      <w:pPr>
        <w:pStyle w:val="BodyText"/>
        <w:ind w:firstLine="720"/>
        <w:rPr>
          <w:sz w:val="22"/>
          <w:szCs w:val="22"/>
        </w:rPr>
      </w:pPr>
    </w:p>
    <w:p w:rsidR="009A2304" w:rsidRDefault="009A2304" w:rsidP="0090447C">
      <w:pPr>
        <w:pStyle w:val="BodyText"/>
        <w:ind w:firstLine="720"/>
        <w:rPr>
          <w:sz w:val="22"/>
          <w:szCs w:val="22"/>
        </w:rPr>
      </w:pPr>
    </w:p>
    <w:p w:rsidR="009A2304" w:rsidRPr="006C2469" w:rsidRDefault="009A2304" w:rsidP="0090447C">
      <w:pPr>
        <w:pStyle w:val="BodyText"/>
        <w:ind w:firstLine="720"/>
        <w:rPr>
          <w:sz w:val="22"/>
          <w:szCs w:val="22"/>
        </w:rPr>
      </w:pPr>
    </w:p>
    <w:p w:rsidR="00357BB1" w:rsidRPr="00115CF5" w:rsidRDefault="00357BB1" w:rsidP="0090447C">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3"/>
        <w:gridCol w:w="2182"/>
        <w:gridCol w:w="2951"/>
      </w:tblGrid>
      <w:tr w:rsidR="00357BB1" w:rsidRPr="002503E1" w:rsidTr="0090447C">
        <w:trPr>
          <w:cantSplit/>
        </w:trPr>
        <w:tc>
          <w:tcPr>
            <w:tcW w:w="2102" w:type="pct"/>
            <w:vAlign w:val="center"/>
          </w:tcPr>
          <w:p w:rsidR="00357BB1" w:rsidRPr="002503E1" w:rsidRDefault="00357BB1" w:rsidP="0090447C">
            <w:pPr>
              <w:pStyle w:val="BodyText"/>
              <w:jc w:val="center"/>
              <w:rPr>
                <w:b/>
                <w:sz w:val="22"/>
                <w:szCs w:val="22"/>
              </w:rPr>
            </w:pPr>
            <w:r w:rsidRPr="002503E1">
              <w:rPr>
                <w:b/>
                <w:sz w:val="22"/>
                <w:szCs w:val="22"/>
              </w:rPr>
              <w:lastRenderedPageBreak/>
              <w:t>Category</w:t>
            </w:r>
          </w:p>
        </w:tc>
        <w:tc>
          <w:tcPr>
            <w:tcW w:w="1232" w:type="pct"/>
            <w:vAlign w:val="center"/>
          </w:tcPr>
          <w:p w:rsidR="00357BB1" w:rsidRPr="002503E1" w:rsidRDefault="00357BB1" w:rsidP="0090447C">
            <w:pPr>
              <w:pStyle w:val="BodyText"/>
              <w:jc w:val="center"/>
              <w:rPr>
                <w:b/>
                <w:sz w:val="22"/>
                <w:szCs w:val="22"/>
              </w:rPr>
            </w:pPr>
            <w:r w:rsidRPr="002503E1">
              <w:rPr>
                <w:b/>
                <w:sz w:val="22"/>
                <w:szCs w:val="22"/>
              </w:rPr>
              <w:t>Amount</w:t>
            </w:r>
            <w:r>
              <w:rPr>
                <w:b/>
                <w:sz w:val="22"/>
                <w:szCs w:val="22"/>
              </w:rPr>
              <w:br/>
            </w:r>
            <w:r w:rsidRPr="002503E1">
              <w:rPr>
                <w:b/>
                <w:sz w:val="22"/>
                <w:szCs w:val="22"/>
              </w:rPr>
              <w:t>of the Loan</w:t>
            </w:r>
            <w:r>
              <w:rPr>
                <w:b/>
                <w:sz w:val="22"/>
                <w:szCs w:val="22"/>
              </w:rPr>
              <w:t xml:space="preserve"> </w:t>
            </w:r>
            <w:r w:rsidRPr="002503E1">
              <w:rPr>
                <w:b/>
                <w:sz w:val="22"/>
                <w:szCs w:val="22"/>
              </w:rPr>
              <w:t>Allocated</w:t>
            </w:r>
          </w:p>
          <w:p w:rsidR="00357BB1" w:rsidRPr="002503E1" w:rsidRDefault="00357BB1" w:rsidP="0090447C">
            <w:pPr>
              <w:pStyle w:val="BodyText"/>
              <w:jc w:val="center"/>
              <w:rPr>
                <w:b/>
                <w:sz w:val="22"/>
                <w:szCs w:val="22"/>
              </w:rPr>
            </w:pPr>
            <w:r w:rsidRPr="002503E1">
              <w:rPr>
                <w:b/>
                <w:sz w:val="22"/>
                <w:szCs w:val="22"/>
              </w:rPr>
              <w:t xml:space="preserve">(expressed in </w:t>
            </w:r>
            <w:r>
              <w:rPr>
                <w:b/>
                <w:sz w:val="22"/>
                <w:szCs w:val="22"/>
              </w:rPr>
              <w:t>EUR</w:t>
            </w:r>
            <w:r w:rsidRPr="002503E1">
              <w:rPr>
                <w:b/>
                <w:sz w:val="22"/>
                <w:szCs w:val="22"/>
              </w:rPr>
              <w:t>)</w:t>
            </w:r>
          </w:p>
        </w:tc>
        <w:tc>
          <w:tcPr>
            <w:tcW w:w="1666" w:type="pct"/>
          </w:tcPr>
          <w:p w:rsidR="00357BB1" w:rsidRPr="002503E1" w:rsidRDefault="00357BB1" w:rsidP="0090447C">
            <w:pPr>
              <w:pStyle w:val="BodyText"/>
              <w:jc w:val="center"/>
              <w:rPr>
                <w:b/>
                <w:sz w:val="22"/>
                <w:szCs w:val="22"/>
              </w:rPr>
            </w:pPr>
            <w:r w:rsidRPr="002503E1">
              <w:rPr>
                <w:b/>
                <w:sz w:val="22"/>
                <w:szCs w:val="22"/>
              </w:rPr>
              <w:t>Percentage of Expenditures to be financed</w:t>
            </w:r>
          </w:p>
          <w:p w:rsidR="00357BB1" w:rsidRPr="002503E1" w:rsidRDefault="00357BB1" w:rsidP="0090447C">
            <w:pPr>
              <w:pStyle w:val="BodyText"/>
              <w:jc w:val="center"/>
              <w:rPr>
                <w:b/>
                <w:sz w:val="22"/>
                <w:szCs w:val="22"/>
              </w:rPr>
            </w:pPr>
            <w:r w:rsidRPr="0096662C">
              <w:rPr>
                <w:b/>
                <w:bCs/>
                <w:sz w:val="22"/>
                <w:szCs w:val="22"/>
              </w:rPr>
              <w:t>(inclusive of Taxes</w:t>
            </w:r>
            <w:r>
              <w:rPr>
                <w:b/>
                <w:bCs/>
                <w:sz w:val="22"/>
                <w:szCs w:val="22"/>
              </w:rPr>
              <w:t xml:space="preserve"> </w:t>
            </w:r>
            <w:r w:rsidRPr="0096662C">
              <w:rPr>
                <w:b/>
                <w:bCs/>
                <w:sz w:val="22"/>
                <w:szCs w:val="22"/>
              </w:rPr>
              <w:t>other than Value Added Tax and Customs Duties)</w:t>
            </w:r>
          </w:p>
        </w:tc>
      </w:tr>
      <w:tr w:rsidR="00357BB1" w:rsidRPr="002503E1" w:rsidTr="0090447C">
        <w:trPr>
          <w:cantSplit/>
        </w:trPr>
        <w:tc>
          <w:tcPr>
            <w:tcW w:w="2102" w:type="pct"/>
          </w:tcPr>
          <w:p w:rsidR="00357BB1" w:rsidRPr="00301A7A" w:rsidRDefault="00357BB1" w:rsidP="0090447C">
            <w:pPr>
              <w:pStyle w:val="BodyText"/>
              <w:spacing w:before="120" w:after="120"/>
              <w:ind w:left="432" w:hanging="432"/>
              <w:rPr>
                <w:sz w:val="22"/>
                <w:szCs w:val="22"/>
              </w:rPr>
            </w:pPr>
            <w:r w:rsidRPr="00301A7A">
              <w:rPr>
                <w:sz w:val="22"/>
                <w:szCs w:val="22"/>
              </w:rPr>
              <w:t xml:space="preserve">(1) </w:t>
            </w:r>
            <w:r>
              <w:rPr>
                <w:sz w:val="22"/>
                <w:szCs w:val="22"/>
              </w:rPr>
              <w:tab/>
            </w:r>
            <w:r w:rsidRPr="00301A7A">
              <w:rPr>
                <w:sz w:val="22"/>
                <w:szCs w:val="22"/>
              </w:rPr>
              <w:t xml:space="preserve">Goods, works, non-consulting services, </w:t>
            </w:r>
            <w:r w:rsidRPr="00485F64">
              <w:rPr>
                <w:sz w:val="22"/>
                <w:szCs w:val="22"/>
              </w:rPr>
              <w:t>consulting services</w:t>
            </w:r>
            <w:r>
              <w:rPr>
                <w:sz w:val="22"/>
                <w:szCs w:val="22"/>
              </w:rPr>
              <w:t>, Training and Operating Costs</w:t>
            </w:r>
            <w:r w:rsidRPr="00301A7A">
              <w:rPr>
                <w:sz w:val="22"/>
                <w:szCs w:val="22"/>
              </w:rPr>
              <w:t xml:space="preserve"> for the Project</w:t>
            </w:r>
          </w:p>
        </w:tc>
        <w:tc>
          <w:tcPr>
            <w:tcW w:w="1232" w:type="pct"/>
            <w:vAlign w:val="center"/>
          </w:tcPr>
          <w:p w:rsidR="00357BB1" w:rsidRPr="002503E1" w:rsidRDefault="00357BB1" w:rsidP="0090447C">
            <w:pPr>
              <w:pStyle w:val="BodyText"/>
              <w:spacing w:before="120" w:after="120"/>
              <w:jc w:val="center"/>
              <w:rPr>
                <w:sz w:val="22"/>
                <w:szCs w:val="22"/>
              </w:rPr>
            </w:pPr>
            <w:r>
              <w:rPr>
                <w:sz w:val="22"/>
                <w:szCs w:val="22"/>
              </w:rPr>
              <w:t>43,690,500</w:t>
            </w:r>
          </w:p>
        </w:tc>
        <w:tc>
          <w:tcPr>
            <w:tcW w:w="1666" w:type="pct"/>
            <w:vAlign w:val="center"/>
          </w:tcPr>
          <w:p w:rsidR="00357BB1" w:rsidRPr="00F30CBD" w:rsidRDefault="00357BB1" w:rsidP="0090447C">
            <w:pPr>
              <w:pStyle w:val="BodyText"/>
              <w:spacing w:before="120" w:after="120"/>
              <w:jc w:val="center"/>
              <w:rPr>
                <w:sz w:val="22"/>
                <w:szCs w:val="22"/>
              </w:rPr>
            </w:pPr>
            <w:r>
              <w:rPr>
                <w:sz w:val="22"/>
                <w:szCs w:val="22"/>
              </w:rPr>
              <w:t>91%</w:t>
            </w:r>
          </w:p>
        </w:tc>
      </w:tr>
      <w:tr w:rsidR="00357BB1" w:rsidRPr="002503E1" w:rsidTr="0090447C">
        <w:trPr>
          <w:cantSplit/>
        </w:trPr>
        <w:tc>
          <w:tcPr>
            <w:tcW w:w="2102" w:type="pct"/>
            <w:vAlign w:val="center"/>
          </w:tcPr>
          <w:p w:rsidR="00357BB1" w:rsidRPr="002503E1" w:rsidRDefault="00357BB1" w:rsidP="0090447C">
            <w:pPr>
              <w:pStyle w:val="BodyText"/>
              <w:spacing w:before="120" w:after="120"/>
              <w:ind w:left="432" w:hanging="432"/>
              <w:jc w:val="left"/>
              <w:rPr>
                <w:sz w:val="22"/>
                <w:szCs w:val="22"/>
              </w:rPr>
            </w:pPr>
            <w:r w:rsidRPr="002503E1">
              <w:rPr>
                <w:sz w:val="22"/>
                <w:szCs w:val="22"/>
              </w:rPr>
              <w:t>(</w:t>
            </w:r>
            <w:r>
              <w:rPr>
                <w:sz w:val="22"/>
                <w:szCs w:val="22"/>
              </w:rPr>
              <w:t>2</w:t>
            </w:r>
            <w:r w:rsidRPr="002503E1">
              <w:rPr>
                <w:sz w:val="22"/>
                <w:szCs w:val="22"/>
              </w:rPr>
              <w:t xml:space="preserve">) </w:t>
            </w:r>
            <w:r>
              <w:rPr>
                <w:sz w:val="22"/>
                <w:szCs w:val="22"/>
              </w:rPr>
              <w:tab/>
            </w:r>
            <w:r w:rsidRPr="002503E1">
              <w:rPr>
                <w:sz w:val="22"/>
                <w:szCs w:val="22"/>
              </w:rPr>
              <w:t>Front-end Fee</w:t>
            </w:r>
          </w:p>
        </w:tc>
        <w:tc>
          <w:tcPr>
            <w:tcW w:w="1232" w:type="pct"/>
            <w:vAlign w:val="center"/>
          </w:tcPr>
          <w:p w:rsidR="00357BB1" w:rsidRPr="002503E1" w:rsidRDefault="00357BB1" w:rsidP="0090447C">
            <w:pPr>
              <w:pStyle w:val="BodyText"/>
              <w:spacing w:before="120" w:after="120"/>
              <w:jc w:val="center"/>
              <w:rPr>
                <w:sz w:val="22"/>
                <w:szCs w:val="22"/>
              </w:rPr>
            </w:pPr>
            <w:r>
              <w:rPr>
                <w:sz w:val="22"/>
                <w:szCs w:val="22"/>
              </w:rPr>
              <w:t>109,500</w:t>
            </w:r>
          </w:p>
        </w:tc>
        <w:tc>
          <w:tcPr>
            <w:tcW w:w="1666" w:type="pct"/>
          </w:tcPr>
          <w:p w:rsidR="00357BB1" w:rsidRPr="002D6874" w:rsidRDefault="00357BB1" w:rsidP="0090447C">
            <w:pPr>
              <w:pStyle w:val="BodyText"/>
              <w:spacing w:before="120" w:after="120"/>
              <w:rPr>
                <w:sz w:val="22"/>
                <w:szCs w:val="22"/>
              </w:rPr>
            </w:pPr>
            <w:r w:rsidRPr="002D6874">
              <w:rPr>
                <w:sz w:val="22"/>
                <w:szCs w:val="22"/>
              </w:rPr>
              <w:t xml:space="preserve">Amount payable pursuant to Section 2.03 of this Agreement in accordance with Section </w:t>
            </w:r>
            <w:r w:rsidRPr="00F30CBD">
              <w:rPr>
                <w:sz w:val="22"/>
                <w:szCs w:val="22"/>
              </w:rPr>
              <w:t>2.07 (b)</w:t>
            </w:r>
            <w:r w:rsidRPr="002D6874">
              <w:rPr>
                <w:sz w:val="22"/>
                <w:szCs w:val="22"/>
              </w:rPr>
              <w:t xml:space="preserve"> of the General Conditions</w:t>
            </w:r>
          </w:p>
        </w:tc>
      </w:tr>
      <w:tr w:rsidR="00357BB1" w:rsidRPr="002503E1" w:rsidTr="0090447C">
        <w:trPr>
          <w:cantSplit/>
        </w:trPr>
        <w:tc>
          <w:tcPr>
            <w:tcW w:w="2102" w:type="pct"/>
          </w:tcPr>
          <w:p w:rsidR="00357BB1" w:rsidRPr="002503E1" w:rsidRDefault="00357BB1" w:rsidP="0090447C">
            <w:pPr>
              <w:pStyle w:val="BodyText"/>
              <w:spacing w:before="120" w:after="120"/>
              <w:rPr>
                <w:sz w:val="22"/>
                <w:szCs w:val="22"/>
              </w:rPr>
            </w:pPr>
            <w:r w:rsidRPr="002503E1">
              <w:rPr>
                <w:sz w:val="22"/>
                <w:szCs w:val="22"/>
              </w:rPr>
              <w:t>TOTAL AMOUNT</w:t>
            </w:r>
          </w:p>
        </w:tc>
        <w:tc>
          <w:tcPr>
            <w:tcW w:w="1232" w:type="pct"/>
          </w:tcPr>
          <w:p w:rsidR="00357BB1" w:rsidRPr="002503E1" w:rsidRDefault="00357BB1" w:rsidP="0090447C">
            <w:pPr>
              <w:pStyle w:val="BodyText"/>
              <w:spacing w:before="120" w:after="120"/>
              <w:jc w:val="center"/>
              <w:rPr>
                <w:sz w:val="22"/>
                <w:szCs w:val="22"/>
              </w:rPr>
            </w:pPr>
            <w:r>
              <w:rPr>
                <w:sz w:val="22"/>
                <w:szCs w:val="22"/>
              </w:rPr>
              <w:t>43,800,000</w:t>
            </w:r>
          </w:p>
        </w:tc>
        <w:tc>
          <w:tcPr>
            <w:tcW w:w="1666" w:type="pct"/>
          </w:tcPr>
          <w:p w:rsidR="00357BB1" w:rsidRPr="002503E1" w:rsidRDefault="00357BB1" w:rsidP="0090447C">
            <w:pPr>
              <w:pStyle w:val="BodyText"/>
              <w:spacing w:before="120" w:after="120"/>
              <w:rPr>
                <w:sz w:val="22"/>
                <w:szCs w:val="22"/>
              </w:rPr>
            </w:pPr>
          </w:p>
        </w:tc>
      </w:tr>
    </w:tbl>
    <w:p w:rsidR="00357BB1" w:rsidRPr="00115CF5" w:rsidRDefault="00357BB1" w:rsidP="00357BB1">
      <w:pPr>
        <w:pStyle w:val="BodyText"/>
        <w:rPr>
          <w:sz w:val="22"/>
          <w:szCs w:val="22"/>
        </w:rPr>
      </w:pPr>
    </w:p>
    <w:p w:rsidR="00357BB1" w:rsidRDefault="00357BB1" w:rsidP="00357BB1">
      <w:pPr>
        <w:pStyle w:val="BodyText"/>
        <w:ind w:firstLine="720"/>
        <w:rPr>
          <w:sz w:val="22"/>
          <w:szCs w:val="22"/>
        </w:rPr>
      </w:pPr>
      <w:r w:rsidRPr="00B44745">
        <w:rPr>
          <w:sz w:val="22"/>
          <w:szCs w:val="22"/>
        </w:rPr>
        <w:t>For the purpose of this table</w:t>
      </w:r>
      <w:r>
        <w:rPr>
          <w:sz w:val="22"/>
          <w:szCs w:val="22"/>
        </w:rPr>
        <w:t>,</w:t>
      </w:r>
      <w:r w:rsidRPr="00B44745">
        <w:rPr>
          <w:sz w:val="22"/>
          <w:szCs w:val="22"/>
        </w:rPr>
        <w:t xml:space="preserve"> </w:t>
      </w:r>
      <w:r>
        <w:rPr>
          <w:sz w:val="22"/>
          <w:szCs w:val="22"/>
        </w:rPr>
        <w:t>the custom duties and value added tax for the</w:t>
      </w:r>
      <w:r w:rsidRPr="00B44745">
        <w:rPr>
          <w:sz w:val="22"/>
          <w:szCs w:val="22"/>
        </w:rPr>
        <w:t xml:space="preserve"> importation </w:t>
      </w:r>
      <w:r>
        <w:rPr>
          <w:sz w:val="22"/>
          <w:szCs w:val="22"/>
        </w:rPr>
        <w:t xml:space="preserve">and supply </w:t>
      </w:r>
      <w:r w:rsidRPr="00B44745">
        <w:rPr>
          <w:sz w:val="22"/>
          <w:szCs w:val="22"/>
        </w:rPr>
        <w:t xml:space="preserve">of goods and services, within the Borrower’s territory and for the purpose of the implementation of the Project, shall </w:t>
      </w:r>
      <w:r>
        <w:rPr>
          <w:sz w:val="22"/>
          <w:szCs w:val="22"/>
        </w:rPr>
        <w:t>not be financed out of Loan proceeds</w:t>
      </w:r>
      <w:r w:rsidRPr="00B44745">
        <w:rPr>
          <w:sz w:val="22"/>
          <w:szCs w:val="22"/>
        </w:rPr>
        <w:t>.</w:t>
      </w:r>
      <w:r>
        <w:rPr>
          <w:sz w:val="22"/>
          <w:szCs w:val="22"/>
        </w:rPr>
        <w:t xml:space="preserve"> </w:t>
      </w:r>
      <w:r w:rsidRPr="00355111">
        <w:rPr>
          <w:sz w:val="22"/>
          <w:szCs w:val="22"/>
        </w:rPr>
        <w:t>The Borrower confirm</w:t>
      </w:r>
      <w:r>
        <w:rPr>
          <w:sz w:val="22"/>
          <w:szCs w:val="22"/>
        </w:rPr>
        <w:t>s</w:t>
      </w:r>
      <w:r w:rsidRPr="00355111">
        <w:rPr>
          <w:sz w:val="22"/>
          <w:szCs w:val="22"/>
        </w:rPr>
        <w:t xml:space="preserve"> that </w:t>
      </w:r>
      <w:r>
        <w:rPr>
          <w:sz w:val="22"/>
          <w:szCs w:val="22"/>
        </w:rPr>
        <w:t xml:space="preserve">the </w:t>
      </w:r>
      <w:r w:rsidRPr="00355111">
        <w:rPr>
          <w:sz w:val="22"/>
          <w:szCs w:val="22"/>
        </w:rPr>
        <w:t xml:space="preserve">importation </w:t>
      </w:r>
      <w:r>
        <w:rPr>
          <w:sz w:val="22"/>
          <w:szCs w:val="22"/>
        </w:rPr>
        <w:t xml:space="preserve">and supply </w:t>
      </w:r>
      <w:r w:rsidRPr="00355111">
        <w:rPr>
          <w:sz w:val="22"/>
          <w:szCs w:val="22"/>
        </w:rPr>
        <w:t>of goods and services, within the Borrower’s territory and for the purpose of the implementation of the Project, shall be exempte</w:t>
      </w:r>
      <w:r>
        <w:rPr>
          <w:sz w:val="22"/>
          <w:szCs w:val="22"/>
        </w:rPr>
        <w:t>d from customs duties and value</w:t>
      </w:r>
      <w:r w:rsidRPr="00355111">
        <w:rPr>
          <w:sz w:val="22"/>
          <w:szCs w:val="22"/>
        </w:rPr>
        <w:t xml:space="preserve"> added tax.</w:t>
      </w:r>
    </w:p>
    <w:p w:rsidR="00357BB1" w:rsidRDefault="00357BB1" w:rsidP="00357BB1">
      <w:pPr>
        <w:pStyle w:val="BodyText"/>
        <w:rPr>
          <w:b/>
          <w:bCs/>
          <w:sz w:val="22"/>
          <w:szCs w:val="22"/>
        </w:rPr>
      </w:pPr>
    </w:p>
    <w:p w:rsidR="00357BB1" w:rsidRPr="00EF442F" w:rsidRDefault="00357BB1" w:rsidP="00357BB1">
      <w:pPr>
        <w:pStyle w:val="BodyText"/>
        <w:ind w:left="810" w:hanging="810"/>
        <w:rPr>
          <w:b/>
          <w:bCs/>
          <w:sz w:val="22"/>
          <w:szCs w:val="22"/>
        </w:rPr>
      </w:pPr>
      <w:r>
        <w:rPr>
          <w:b/>
          <w:bCs/>
          <w:sz w:val="22"/>
          <w:szCs w:val="22"/>
        </w:rPr>
        <w:t>B.</w:t>
      </w:r>
      <w:r>
        <w:rPr>
          <w:b/>
          <w:bCs/>
          <w:sz w:val="22"/>
          <w:szCs w:val="22"/>
        </w:rPr>
        <w:tab/>
        <w:t>Withdrawal Conditions; Withdrawal Period</w:t>
      </w:r>
    </w:p>
    <w:p w:rsidR="00357BB1" w:rsidRDefault="00357BB1" w:rsidP="00357BB1">
      <w:pPr>
        <w:pStyle w:val="BodyText"/>
        <w:rPr>
          <w:bCs/>
          <w:sz w:val="22"/>
          <w:szCs w:val="22"/>
        </w:rPr>
      </w:pPr>
    </w:p>
    <w:p w:rsidR="00357BB1" w:rsidRPr="00115CF5" w:rsidRDefault="00357BB1" w:rsidP="00357BB1">
      <w:pPr>
        <w:pStyle w:val="BodyText"/>
        <w:ind w:left="720" w:hanging="720"/>
        <w:rPr>
          <w:sz w:val="22"/>
          <w:szCs w:val="22"/>
        </w:rPr>
      </w:pPr>
      <w:r>
        <w:rPr>
          <w:bCs/>
          <w:sz w:val="22"/>
          <w:szCs w:val="22"/>
        </w:rPr>
        <w:t>1</w:t>
      </w:r>
      <w:r w:rsidRPr="00EC00A8">
        <w:rPr>
          <w:bCs/>
          <w:sz w:val="22"/>
          <w:szCs w:val="22"/>
        </w:rPr>
        <w:t>.</w:t>
      </w:r>
      <w:r w:rsidRPr="00115CF5">
        <w:rPr>
          <w:b/>
          <w:bCs/>
          <w:sz w:val="22"/>
          <w:szCs w:val="22"/>
        </w:rPr>
        <w:tab/>
      </w:r>
      <w:r w:rsidRPr="00115CF5">
        <w:rPr>
          <w:bCs/>
          <w:sz w:val="22"/>
          <w:szCs w:val="22"/>
        </w:rPr>
        <w:t xml:space="preserve">Notwithstanding the provisions of </w:t>
      </w:r>
      <w:r>
        <w:rPr>
          <w:bCs/>
          <w:sz w:val="22"/>
          <w:szCs w:val="22"/>
        </w:rPr>
        <w:t xml:space="preserve">Part A above, no withdrawal shall be made </w:t>
      </w:r>
      <w:r w:rsidRPr="00115CF5">
        <w:rPr>
          <w:sz w:val="22"/>
          <w:szCs w:val="22"/>
        </w:rPr>
        <w:t xml:space="preserve">for payments made prior to the </w:t>
      </w:r>
      <w:r>
        <w:rPr>
          <w:sz w:val="22"/>
          <w:szCs w:val="22"/>
        </w:rPr>
        <w:t>Signature Date</w:t>
      </w:r>
      <w:r w:rsidRPr="00115CF5">
        <w:rPr>
          <w:sz w:val="22"/>
          <w:szCs w:val="22"/>
        </w:rPr>
        <w:t>, except that</w:t>
      </w:r>
      <w:r>
        <w:rPr>
          <w:sz w:val="22"/>
          <w:szCs w:val="22"/>
        </w:rPr>
        <w:t xml:space="preserve"> </w:t>
      </w:r>
      <w:r w:rsidRPr="00115CF5">
        <w:rPr>
          <w:sz w:val="22"/>
          <w:szCs w:val="22"/>
        </w:rPr>
        <w:t xml:space="preserve">withdrawals up to an aggregate amount </w:t>
      </w:r>
      <w:r>
        <w:rPr>
          <w:sz w:val="22"/>
          <w:szCs w:val="22"/>
        </w:rPr>
        <w:t>not to exceed Euro 4,000,000</w:t>
      </w:r>
      <w:r w:rsidRPr="00115CF5">
        <w:rPr>
          <w:sz w:val="22"/>
          <w:szCs w:val="22"/>
        </w:rPr>
        <w:t xml:space="preserve"> may be made for payments made prior to this date </w:t>
      </w:r>
      <w:r>
        <w:rPr>
          <w:sz w:val="22"/>
          <w:szCs w:val="22"/>
        </w:rPr>
        <w:t xml:space="preserve">but on or after March 11, 2019, </w:t>
      </w:r>
      <w:r w:rsidRPr="00115CF5">
        <w:rPr>
          <w:sz w:val="22"/>
          <w:szCs w:val="22"/>
        </w:rPr>
        <w:t>for Eligible Expenditures</w:t>
      </w:r>
      <w:r>
        <w:rPr>
          <w:sz w:val="22"/>
          <w:szCs w:val="22"/>
        </w:rPr>
        <w:t>.</w:t>
      </w:r>
      <w:r w:rsidRPr="00115CF5">
        <w:rPr>
          <w:sz w:val="22"/>
          <w:szCs w:val="22"/>
        </w:rPr>
        <w:t xml:space="preserve"> </w:t>
      </w:r>
      <w:r w:rsidRPr="0004388E">
        <w:rPr>
          <w:sz w:val="22"/>
          <w:szCs w:val="22"/>
        </w:rPr>
        <w:t>In accordance with Section 5.13 of the General Conditions, said Eligible Expenditures shall be procured in accordance with the requirements set forth or referred to in the Procurement Regulations and the provisions of the Procurement Plan.</w:t>
      </w:r>
    </w:p>
    <w:p w:rsidR="00357BB1" w:rsidRPr="00115CF5" w:rsidRDefault="00357BB1" w:rsidP="00357BB1">
      <w:pPr>
        <w:pStyle w:val="BodyText"/>
        <w:rPr>
          <w:bCs/>
          <w:sz w:val="22"/>
          <w:szCs w:val="22"/>
        </w:rPr>
      </w:pPr>
    </w:p>
    <w:p w:rsidR="00357BB1" w:rsidRDefault="00357BB1" w:rsidP="00357BB1">
      <w:pPr>
        <w:pStyle w:val="BodyText"/>
        <w:numPr>
          <w:ilvl w:val="0"/>
          <w:numId w:val="2"/>
        </w:numPr>
        <w:rPr>
          <w:sz w:val="22"/>
          <w:szCs w:val="22"/>
        </w:rPr>
      </w:pPr>
      <w:r w:rsidRPr="00115CF5">
        <w:rPr>
          <w:sz w:val="22"/>
          <w:szCs w:val="22"/>
        </w:rPr>
        <w:t xml:space="preserve">The Closing Date is </w:t>
      </w:r>
      <w:r>
        <w:rPr>
          <w:sz w:val="22"/>
          <w:szCs w:val="22"/>
        </w:rPr>
        <w:t>June 30, 2024.</w:t>
      </w:r>
    </w:p>
    <w:p w:rsidR="00357BB1" w:rsidRDefault="00357BB1" w:rsidP="00357BB1">
      <w:pPr>
        <w:pStyle w:val="BodyText"/>
        <w:rPr>
          <w:sz w:val="22"/>
          <w:szCs w:val="22"/>
        </w:rPr>
      </w:pPr>
    </w:p>
    <w:p w:rsidR="00357BB1" w:rsidRPr="00AC1688" w:rsidRDefault="00357BB1" w:rsidP="00357BB1">
      <w:pPr>
        <w:pStyle w:val="BodyText"/>
        <w:jc w:val="left"/>
        <w:rPr>
          <w:b/>
          <w:sz w:val="22"/>
          <w:szCs w:val="22"/>
          <w:u w:val="single"/>
        </w:rPr>
      </w:pPr>
      <w:r>
        <w:rPr>
          <w:b/>
          <w:sz w:val="22"/>
          <w:szCs w:val="22"/>
        </w:rPr>
        <w:t xml:space="preserve">Section </w:t>
      </w:r>
      <w:r w:rsidRPr="009F0A89">
        <w:rPr>
          <w:b/>
          <w:sz w:val="22"/>
          <w:szCs w:val="22"/>
        </w:rPr>
        <w:t xml:space="preserve">IV. </w:t>
      </w:r>
      <w:r>
        <w:rPr>
          <w:b/>
          <w:sz w:val="22"/>
          <w:szCs w:val="22"/>
        </w:rPr>
        <w:tab/>
      </w:r>
      <w:r w:rsidRPr="00AC1688">
        <w:rPr>
          <w:b/>
          <w:sz w:val="22"/>
          <w:szCs w:val="22"/>
          <w:u w:val="single"/>
        </w:rPr>
        <w:t>Other Undertakings</w:t>
      </w:r>
    </w:p>
    <w:p w:rsidR="00357BB1" w:rsidRDefault="00357BB1" w:rsidP="00357BB1">
      <w:pPr>
        <w:pStyle w:val="BodyText"/>
        <w:jc w:val="left"/>
        <w:rPr>
          <w:sz w:val="22"/>
          <w:szCs w:val="22"/>
        </w:rPr>
      </w:pPr>
    </w:p>
    <w:p w:rsidR="00357BB1" w:rsidRPr="00115CF5" w:rsidRDefault="00357BB1" w:rsidP="00357BB1">
      <w:pPr>
        <w:pStyle w:val="BodyText"/>
        <w:ind w:firstLine="720"/>
        <w:jc w:val="left"/>
        <w:rPr>
          <w:sz w:val="22"/>
          <w:szCs w:val="22"/>
        </w:rPr>
      </w:pPr>
      <w:r>
        <w:rPr>
          <w:sz w:val="22"/>
          <w:szCs w:val="22"/>
        </w:rPr>
        <w:t>The Borrower shall provide promptly as needed during Project implementation, an amount equivalent to EUR 4,380,000 as counterpart funds for the Project.</w:t>
      </w:r>
    </w:p>
    <w:p w:rsidR="00357BB1" w:rsidRPr="00115CF5" w:rsidRDefault="00357BB1" w:rsidP="00357BB1">
      <w:pPr>
        <w:pStyle w:val="BodyText"/>
        <w:rPr>
          <w:sz w:val="22"/>
          <w:szCs w:val="22"/>
        </w:rPr>
      </w:pPr>
      <w:r w:rsidRPr="00115CF5">
        <w:rPr>
          <w:sz w:val="22"/>
          <w:szCs w:val="22"/>
        </w:rPr>
        <w:br w:type="page"/>
      </w:r>
    </w:p>
    <w:p w:rsidR="00357BB1" w:rsidRPr="00115CF5" w:rsidRDefault="00357BB1" w:rsidP="00357BB1">
      <w:pPr>
        <w:pStyle w:val="BodyText"/>
        <w:jc w:val="center"/>
        <w:rPr>
          <w:b/>
          <w:sz w:val="22"/>
          <w:szCs w:val="22"/>
        </w:rPr>
      </w:pPr>
      <w:r w:rsidRPr="00115CF5">
        <w:rPr>
          <w:b/>
          <w:sz w:val="22"/>
          <w:szCs w:val="22"/>
        </w:rPr>
        <w:lastRenderedPageBreak/>
        <w:t>SCHEDULE 3</w:t>
      </w:r>
    </w:p>
    <w:p w:rsidR="00357BB1" w:rsidRPr="00115CF5" w:rsidRDefault="00357BB1" w:rsidP="00357BB1">
      <w:pPr>
        <w:pStyle w:val="BodyText"/>
        <w:jc w:val="center"/>
        <w:rPr>
          <w:b/>
          <w:sz w:val="22"/>
          <w:szCs w:val="22"/>
        </w:rPr>
      </w:pPr>
    </w:p>
    <w:p w:rsidR="00357BB1" w:rsidRPr="002D3E9E" w:rsidRDefault="00357BB1" w:rsidP="00357BB1">
      <w:pPr>
        <w:pStyle w:val="BodyText"/>
        <w:jc w:val="center"/>
        <w:rPr>
          <w:b/>
          <w:sz w:val="22"/>
          <w:szCs w:val="22"/>
        </w:rPr>
      </w:pPr>
      <w:r>
        <w:rPr>
          <w:b/>
          <w:sz w:val="22"/>
          <w:szCs w:val="22"/>
        </w:rPr>
        <w:t>Commitment-Linked Amortization Repayment Schedule</w:t>
      </w:r>
    </w:p>
    <w:p w:rsidR="00357BB1" w:rsidRPr="002D3E9E" w:rsidRDefault="00357BB1" w:rsidP="00357BB1">
      <w:pPr>
        <w:pStyle w:val="BodyText"/>
        <w:rPr>
          <w:b/>
          <w:sz w:val="22"/>
          <w:szCs w:val="22"/>
        </w:rPr>
      </w:pPr>
    </w:p>
    <w:p w:rsidR="00357BB1" w:rsidRPr="008F0213" w:rsidRDefault="00357BB1" w:rsidP="00357BB1">
      <w:pPr>
        <w:pStyle w:val="BodyText"/>
        <w:ind w:firstLine="720"/>
        <w:rPr>
          <w:sz w:val="22"/>
          <w:szCs w:val="22"/>
        </w:rPr>
      </w:pPr>
      <w:r w:rsidRPr="008F0213">
        <w:rPr>
          <w:sz w:val="22"/>
          <w:szCs w:val="22"/>
        </w:rPr>
        <w:t xml:space="preserve">The following table sets forth the Principal Payment Dates of the Loan and the percentage of the total principal amount of the Loan payable on each Principal Payment Date (“Installment Share”). </w:t>
      </w:r>
    </w:p>
    <w:p w:rsidR="00357BB1" w:rsidRPr="008F0213" w:rsidRDefault="00357BB1" w:rsidP="00357BB1">
      <w:pPr>
        <w:pStyle w:val="BodyText"/>
        <w:ind w:left="720"/>
        <w:rPr>
          <w:sz w:val="22"/>
          <w:szCs w:val="22"/>
        </w:rPr>
      </w:pPr>
    </w:p>
    <w:p w:rsidR="00357BB1" w:rsidRDefault="00357BB1" w:rsidP="00357BB1">
      <w:pPr>
        <w:pStyle w:val="BodyText"/>
        <w:ind w:left="720"/>
        <w:jc w:val="center"/>
        <w:rPr>
          <w:b/>
          <w:bCs/>
          <w:sz w:val="22"/>
          <w:szCs w:val="22"/>
        </w:rPr>
      </w:pPr>
      <w:r>
        <w:rPr>
          <w:b/>
          <w:bCs/>
          <w:sz w:val="22"/>
          <w:szCs w:val="22"/>
        </w:rPr>
        <w:t>Level Principal Repayments</w:t>
      </w:r>
    </w:p>
    <w:p w:rsidR="00357BB1" w:rsidRDefault="00357BB1" w:rsidP="00357BB1">
      <w:pPr>
        <w:pStyle w:val="BodyText"/>
        <w:ind w:left="720"/>
        <w:jc w:val="center"/>
        <w:rPr>
          <w:b/>
          <w:bCs/>
          <w:i/>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28"/>
        <w:gridCol w:w="4428"/>
      </w:tblGrid>
      <w:tr w:rsidR="00357BB1" w:rsidTr="0090447C">
        <w:tc>
          <w:tcPr>
            <w:tcW w:w="2500" w:type="pct"/>
            <w:tcMar>
              <w:top w:w="0" w:type="dxa"/>
              <w:left w:w="108" w:type="dxa"/>
              <w:bottom w:w="0" w:type="dxa"/>
              <w:right w:w="108" w:type="dxa"/>
            </w:tcMar>
            <w:hideMark/>
          </w:tcPr>
          <w:p w:rsidR="00357BB1" w:rsidRDefault="00357BB1" w:rsidP="0090447C">
            <w:pPr>
              <w:pStyle w:val="BodyText"/>
              <w:spacing w:before="120" w:after="120"/>
              <w:jc w:val="center"/>
              <w:rPr>
                <w:b/>
                <w:bCs/>
                <w:sz w:val="22"/>
                <w:szCs w:val="22"/>
              </w:rPr>
            </w:pPr>
            <w:r>
              <w:rPr>
                <w:b/>
                <w:bCs/>
                <w:sz w:val="22"/>
                <w:szCs w:val="22"/>
              </w:rPr>
              <w:t>Principal Payment Date</w:t>
            </w:r>
          </w:p>
        </w:tc>
        <w:tc>
          <w:tcPr>
            <w:tcW w:w="2500" w:type="pct"/>
            <w:tcMar>
              <w:top w:w="0" w:type="dxa"/>
              <w:left w:w="108" w:type="dxa"/>
              <w:bottom w:w="0" w:type="dxa"/>
              <w:right w:w="108" w:type="dxa"/>
            </w:tcMar>
            <w:hideMark/>
          </w:tcPr>
          <w:p w:rsidR="00357BB1" w:rsidRDefault="00357BB1" w:rsidP="0090447C">
            <w:pPr>
              <w:pStyle w:val="BodyText"/>
              <w:spacing w:before="120" w:after="120"/>
              <w:jc w:val="center"/>
              <w:rPr>
                <w:sz w:val="22"/>
                <w:szCs w:val="22"/>
              </w:rPr>
            </w:pPr>
            <w:r>
              <w:rPr>
                <w:b/>
                <w:bCs/>
                <w:sz w:val="22"/>
                <w:szCs w:val="22"/>
              </w:rPr>
              <w:t>Installment Share</w:t>
            </w:r>
          </w:p>
        </w:tc>
      </w:tr>
      <w:tr w:rsidR="00357BB1" w:rsidTr="0090447C">
        <w:tc>
          <w:tcPr>
            <w:tcW w:w="2500" w:type="pct"/>
            <w:tcMar>
              <w:top w:w="0" w:type="dxa"/>
              <w:left w:w="108" w:type="dxa"/>
              <w:bottom w:w="0" w:type="dxa"/>
              <w:right w:w="108" w:type="dxa"/>
            </w:tcMar>
            <w:hideMark/>
          </w:tcPr>
          <w:p w:rsidR="00357BB1" w:rsidRDefault="00357BB1" w:rsidP="0090447C">
            <w:pPr>
              <w:pStyle w:val="BodyText"/>
              <w:spacing w:before="120" w:after="120"/>
              <w:rPr>
                <w:sz w:val="22"/>
                <w:szCs w:val="22"/>
              </w:rPr>
            </w:pPr>
            <w:r>
              <w:rPr>
                <w:sz w:val="22"/>
                <w:szCs w:val="22"/>
              </w:rPr>
              <w:t>On each May 15 and November 15</w:t>
            </w:r>
          </w:p>
          <w:p w:rsidR="00357BB1" w:rsidRDefault="00357BB1" w:rsidP="0090447C">
            <w:pPr>
              <w:pStyle w:val="BodyText"/>
              <w:spacing w:before="120" w:after="120"/>
              <w:ind w:left="522"/>
              <w:rPr>
                <w:sz w:val="22"/>
                <w:szCs w:val="22"/>
              </w:rPr>
            </w:pPr>
            <w:r>
              <w:rPr>
                <w:sz w:val="22"/>
                <w:szCs w:val="22"/>
              </w:rPr>
              <w:t xml:space="preserve">Beginning May 15, 2024 </w:t>
            </w:r>
          </w:p>
          <w:p w:rsidR="00357BB1" w:rsidRDefault="00357BB1" w:rsidP="0090447C">
            <w:pPr>
              <w:pStyle w:val="BodyText"/>
              <w:spacing w:before="120" w:after="120"/>
              <w:ind w:left="522"/>
              <w:rPr>
                <w:sz w:val="22"/>
                <w:szCs w:val="22"/>
              </w:rPr>
            </w:pPr>
            <w:r>
              <w:rPr>
                <w:sz w:val="22"/>
                <w:szCs w:val="22"/>
              </w:rPr>
              <w:t>through November 15, 2033</w:t>
            </w:r>
          </w:p>
        </w:tc>
        <w:tc>
          <w:tcPr>
            <w:tcW w:w="2500" w:type="pct"/>
            <w:tcMar>
              <w:top w:w="0" w:type="dxa"/>
              <w:left w:w="108" w:type="dxa"/>
              <w:bottom w:w="0" w:type="dxa"/>
              <w:right w:w="108" w:type="dxa"/>
            </w:tcMar>
            <w:vAlign w:val="center"/>
          </w:tcPr>
          <w:p w:rsidR="00357BB1" w:rsidRDefault="00357BB1" w:rsidP="0090447C">
            <w:pPr>
              <w:pStyle w:val="BodyText"/>
              <w:spacing w:before="120" w:after="120"/>
              <w:jc w:val="center"/>
              <w:rPr>
                <w:sz w:val="22"/>
                <w:szCs w:val="22"/>
              </w:rPr>
            </w:pPr>
            <w:r>
              <w:rPr>
                <w:sz w:val="22"/>
                <w:szCs w:val="22"/>
              </w:rPr>
              <w:t>5.0%</w:t>
            </w:r>
          </w:p>
        </w:tc>
      </w:tr>
    </w:tbl>
    <w:p w:rsidR="00357BB1" w:rsidRPr="00115CF5" w:rsidRDefault="00357BB1" w:rsidP="00357BB1">
      <w:pPr>
        <w:pStyle w:val="BodyText"/>
        <w:ind w:left="720" w:hanging="720"/>
        <w:jc w:val="center"/>
        <w:rPr>
          <w:b/>
          <w:bCs/>
          <w:sz w:val="22"/>
          <w:szCs w:val="22"/>
        </w:rPr>
      </w:pPr>
      <w:r w:rsidRPr="00115CF5">
        <w:rPr>
          <w:sz w:val="22"/>
          <w:szCs w:val="22"/>
        </w:rPr>
        <w:br w:type="page"/>
      </w:r>
      <w:r w:rsidRPr="00115CF5">
        <w:rPr>
          <w:b/>
          <w:bCs/>
          <w:sz w:val="22"/>
          <w:szCs w:val="22"/>
        </w:rPr>
        <w:lastRenderedPageBreak/>
        <w:t>APPENDIX</w:t>
      </w:r>
    </w:p>
    <w:p w:rsidR="00357BB1" w:rsidRPr="00115CF5" w:rsidRDefault="00357BB1" w:rsidP="00357BB1">
      <w:pPr>
        <w:pStyle w:val="BodyText"/>
        <w:ind w:left="720" w:hanging="720"/>
        <w:rPr>
          <w:b/>
          <w:bCs/>
          <w:sz w:val="22"/>
          <w:szCs w:val="22"/>
        </w:rPr>
      </w:pPr>
    </w:p>
    <w:p w:rsidR="00357BB1" w:rsidRPr="00115CF5" w:rsidRDefault="00357BB1" w:rsidP="00357BB1">
      <w:pPr>
        <w:pStyle w:val="BodyText"/>
        <w:ind w:left="720" w:hanging="720"/>
        <w:rPr>
          <w:b/>
          <w:bCs/>
          <w:sz w:val="22"/>
          <w:szCs w:val="22"/>
        </w:rPr>
      </w:pPr>
      <w:r w:rsidRPr="00115CF5">
        <w:rPr>
          <w:b/>
          <w:bCs/>
          <w:sz w:val="22"/>
          <w:szCs w:val="22"/>
        </w:rPr>
        <w:t>Section I</w:t>
      </w:r>
      <w:r>
        <w:rPr>
          <w:b/>
          <w:bCs/>
          <w:sz w:val="22"/>
          <w:szCs w:val="22"/>
        </w:rPr>
        <w:t xml:space="preserve">. </w:t>
      </w:r>
      <w:r>
        <w:rPr>
          <w:b/>
          <w:bCs/>
          <w:sz w:val="22"/>
          <w:szCs w:val="22"/>
        </w:rPr>
        <w:tab/>
      </w:r>
      <w:r w:rsidRPr="00DA4FD2">
        <w:rPr>
          <w:b/>
          <w:bCs/>
          <w:sz w:val="22"/>
          <w:szCs w:val="22"/>
          <w:u w:val="single"/>
        </w:rPr>
        <w:t>Definitions</w:t>
      </w:r>
    </w:p>
    <w:p w:rsidR="00357BB1" w:rsidRPr="00115CF5" w:rsidRDefault="00357BB1" w:rsidP="00357BB1">
      <w:pPr>
        <w:pStyle w:val="BodyText"/>
        <w:ind w:left="720" w:hanging="720"/>
        <w:rPr>
          <w:b/>
          <w:bCs/>
          <w:sz w:val="22"/>
          <w:szCs w:val="22"/>
        </w:rPr>
      </w:pPr>
    </w:p>
    <w:p w:rsidR="00357BB1" w:rsidRPr="007A4DFB" w:rsidRDefault="00357BB1" w:rsidP="00357BB1">
      <w:pPr>
        <w:pStyle w:val="Default"/>
        <w:numPr>
          <w:ilvl w:val="0"/>
          <w:numId w:val="5"/>
        </w:numPr>
        <w:tabs>
          <w:tab w:val="clear" w:pos="1080"/>
          <w:tab w:val="num" w:pos="720"/>
        </w:tabs>
        <w:autoSpaceDE/>
        <w:autoSpaceDN/>
        <w:adjustRightInd/>
        <w:ind w:left="720" w:hanging="720"/>
        <w:jc w:val="both"/>
        <w:rPr>
          <w:color w:val="auto"/>
          <w:sz w:val="22"/>
          <w:szCs w:val="22"/>
        </w:rPr>
      </w:pPr>
      <w:r w:rsidRPr="007A4DFB">
        <w:rPr>
          <w:color w:val="auto"/>
          <w:sz w:val="22"/>
          <w:szCs w:val="22"/>
        </w:rPr>
        <w:t>“Affected Person” means a person or entity who, on account of the execution of the Project, has experienced or would experience direct economic and social impacts caused by: (</w:t>
      </w:r>
      <w:r>
        <w:rPr>
          <w:color w:val="auto"/>
          <w:sz w:val="22"/>
          <w:szCs w:val="22"/>
        </w:rPr>
        <w:t>a</w:t>
      </w:r>
      <w:r w:rsidRPr="007A4DFB">
        <w:rPr>
          <w:color w:val="auto"/>
          <w:sz w:val="22"/>
          <w:szCs w:val="22"/>
        </w:rPr>
        <w:t>) the involuntary taking of land resulting in: (</w:t>
      </w:r>
      <w:r>
        <w:rPr>
          <w:color w:val="auto"/>
          <w:sz w:val="22"/>
          <w:szCs w:val="22"/>
        </w:rPr>
        <w:t>i</w:t>
      </w:r>
      <w:r w:rsidRPr="007A4DFB">
        <w:rPr>
          <w:color w:val="auto"/>
          <w:sz w:val="22"/>
          <w:szCs w:val="22"/>
        </w:rPr>
        <w:t>) relocation or loss of shelter; (</w:t>
      </w:r>
      <w:r>
        <w:rPr>
          <w:color w:val="auto"/>
          <w:sz w:val="22"/>
          <w:szCs w:val="22"/>
        </w:rPr>
        <w:t>ii</w:t>
      </w:r>
      <w:r w:rsidRPr="007A4DFB">
        <w:rPr>
          <w:color w:val="auto"/>
          <w:sz w:val="22"/>
          <w:szCs w:val="22"/>
        </w:rPr>
        <w:t>) loss of assets or access to assets; or (</w:t>
      </w:r>
      <w:r>
        <w:rPr>
          <w:color w:val="auto"/>
          <w:sz w:val="22"/>
          <w:szCs w:val="22"/>
        </w:rPr>
        <w:t>iii</w:t>
      </w:r>
      <w:r w:rsidRPr="007A4DFB">
        <w:rPr>
          <w:color w:val="auto"/>
          <w:sz w:val="22"/>
          <w:szCs w:val="22"/>
        </w:rPr>
        <w:t>) loss of income sources or means of livelihood, whether or not such person must move to another location; or (</w:t>
      </w:r>
      <w:r>
        <w:rPr>
          <w:color w:val="auto"/>
          <w:sz w:val="22"/>
          <w:szCs w:val="22"/>
        </w:rPr>
        <w:t>b</w:t>
      </w:r>
      <w:r w:rsidRPr="007A4DFB">
        <w:rPr>
          <w:color w:val="auto"/>
          <w:sz w:val="22"/>
          <w:szCs w:val="22"/>
        </w:rPr>
        <w:t>) the involuntary restriction of access to legally designated parks and protected areas, resulting in adverse impacts on the livelihood of such person; and, “Affected Persons”, means more than one such Affected Person.</w:t>
      </w:r>
    </w:p>
    <w:p w:rsidR="00357BB1" w:rsidRDefault="00357BB1" w:rsidP="00357BB1">
      <w:pPr>
        <w:pStyle w:val="ModelNrmlDouble"/>
        <w:spacing w:after="0" w:line="240" w:lineRule="auto"/>
        <w:ind w:left="720" w:firstLine="0"/>
        <w:rPr>
          <w:szCs w:val="22"/>
        </w:rPr>
      </w:pP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301A7A">
        <w:rPr>
          <w:szCs w:val="22"/>
        </w:rPr>
        <w:t>“Anti-Corruption Guidelines” means</w:t>
      </w:r>
      <w:r>
        <w:rPr>
          <w:szCs w:val="22"/>
        </w:rPr>
        <w:t>,</w:t>
      </w:r>
      <w:r w:rsidRPr="00301A7A">
        <w:rPr>
          <w:szCs w:val="22"/>
        </w:rPr>
        <w:t xml:space="preserve"> </w:t>
      </w:r>
      <w:r>
        <w:rPr>
          <w:szCs w:val="22"/>
        </w:rPr>
        <w:t>for purposes of paragraph 5 of the</w:t>
      </w:r>
      <w:r w:rsidRPr="00301A7A">
        <w:rPr>
          <w:szCs w:val="22"/>
        </w:rPr>
        <w:t xml:space="preserve"> </w:t>
      </w:r>
      <w:r>
        <w:rPr>
          <w:szCs w:val="22"/>
        </w:rPr>
        <w:t xml:space="preserve">Appendix to the General Conditions, the </w:t>
      </w:r>
      <w:r w:rsidRPr="00301A7A">
        <w:rPr>
          <w:szCs w:val="22"/>
        </w:rPr>
        <w:t>“Guidelines on Preventing and Combating Fraud and Corruption in Projects Financed by IBRD Loans and IDA Credits and Grants”, dated October 15, 2006 and revised in January 2011 and as of July 1, 2016.</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 xml:space="preserve">“As-Is Process Map” means a process </w:t>
      </w:r>
      <w:r w:rsidRPr="001F27E7">
        <w:rPr>
          <w:szCs w:val="22"/>
        </w:rPr>
        <w:t xml:space="preserve">map </w:t>
      </w:r>
      <w:r>
        <w:rPr>
          <w:szCs w:val="22"/>
        </w:rPr>
        <w:t xml:space="preserve">which </w:t>
      </w:r>
      <w:r w:rsidRPr="001F27E7">
        <w:rPr>
          <w:szCs w:val="22"/>
        </w:rPr>
        <w:t xml:space="preserve">reflects the current state of </w:t>
      </w:r>
      <w:r>
        <w:rPr>
          <w:szCs w:val="22"/>
        </w:rPr>
        <w:t>an administrative</w:t>
      </w:r>
      <w:r w:rsidRPr="001F27E7">
        <w:rPr>
          <w:szCs w:val="22"/>
        </w:rPr>
        <w:t xml:space="preserve"> service and identifies all the steps </w:t>
      </w:r>
      <w:r>
        <w:rPr>
          <w:szCs w:val="22"/>
        </w:rPr>
        <w:t xml:space="preserve">and business processes </w:t>
      </w:r>
      <w:r w:rsidRPr="001F27E7">
        <w:rPr>
          <w:szCs w:val="22"/>
        </w:rPr>
        <w:t xml:space="preserve">needed to provide </w:t>
      </w:r>
      <w:r>
        <w:rPr>
          <w:szCs w:val="22"/>
        </w:rPr>
        <w:t>said</w:t>
      </w:r>
      <w:r w:rsidRPr="001F27E7">
        <w:rPr>
          <w:szCs w:val="22"/>
        </w:rPr>
        <w:t xml:space="preserve"> service to the end user.</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115CF5">
        <w:rPr>
          <w:szCs w:val="22"/>
        </w:rPr>
        <w:t>“Category” means a category set forth in the table in Section I</w:t>
      </w:r>
      <w:r>
        <w:rPr>
          <w:szCs w:val="22"/>
        </w:rPr>
        <w:t>II.A</w:t>
      </w:r>
      <w:r w:rsidRPr="00115CF5">
        <w:rPr>
          <w:szCs w:val="22"/>
        </w:rPr>
        <w:t xml:space="preserve"> of Schedule </w:t>
      </w:r>
      <w:r>
        <w:rPr>
          <w:szCs w:val="22"/>
        </w:rPr>
        <w:t>2</w:t>
      </w:r>
      <w:r w:rsidRPr="00115CF5">
        <w:rPr>
          <w:szCs w:val="22"/>
        </w:rPr>
        <w:t xml:space="preserve"> to this Agreement.</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“CFU” means the unit referred to in Section I.A.1(b) of Schedule 2 to this Agreement.</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“Coordination Council for E-Government” means the council established pursuant to Government’s Decree No. 02-11209/2017, dated November 20, 2017, which shall provide strategic guidance to OITeG, in a manner set forth in the Operational Manual.</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 xml:space="preserve">“Disaster Recovery Data Center” or “DRDC” means the center referred to in Component 1(c) of the Project. </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82036A">
        <w:rPr>
          <w:szCs w:val="22"/>
        </w:rPr>
        <w:t xml:space="preserve">“EHS Guidelines” means the World Bank Group Environmental, Health and Safety Guidelines published on </w:t>
      </w:r>
      <w:hyperlink r:id="rId14" w:history="1">
        <w:r w:rsidRPr="0082036A">
          <w:rPr>
            <w:szCs w:val="22"/>
          </w:rPr>
          <w:t>www.ifc.org/ehsguidelines</w:t>
        </w:r>
      </w:hyperlink>
      <w:r w:rsidRPr="0082036A">
        <w:rPr>
          <w:szCs w:val="22"/>
        </w:rPr>
        <w:t xml:space="preserve">, as said guidelines are updated from time to time.  </w:t>
      </w:r>
    </w:p>
    <w:p w:rsidR="00AC6C12" w:rsidRDefault="00357BB1" w:rsidP="00357BB1">
      <w:pPr>
        <w:pStyle w:val="ModelNrmlDouble"/>
        <w:numPr>
          <w:ilvl w:val="0"/>
          <w:numId w:val="5"/>
        </w:numPr>
        <w:tabs>
          <w:tab w:val="clear" w:pos="1080"/>
          <w:tab w:val="num" w:pos="990"/>
        </w:tabs>
        <w:spacing w:after="240" w:line="240" w:lineRule="auto"/>
        <w:ind w:left="720" w:hanging="720"/>
        <w:rPr>
          <w:szCs w:val="22"/>
        </w:rPr>
      </w:pPr>
      <w:r w:rsidRPr="0082036A">
        <w:rPr>
          <w:szCs w:val="22"/>
        </w:rPr>
        <w:t xml:space="preserve">“Environmental and Social Management Framework” </w:t>
      </w:r>
      <w:r>
        <w:rPr>
          <w:szCs w:val="22"/>
        </w:rPr>
        <w:t xml:space="preserve">or “ESMF” </w:t>
      </w:r>
      <w:r w:rsidRPr="0082036A">
        <w:rPr>
          <w:szCs w:val="22"/>
        </w:rPr>
        <w:t xml:space="preserve">means the </w:t>
      </w:r>
      <w:r>
        <w:rPr>
          <w:szCs w:val="22"/>
        </w:rPr>
        <w:t>environmental and social management framework</w:t>
      </w:r>
      <w:r w:rsidRPr="0082036A">
        <w:rPr>
          <w:szCs w:val="22"/>
        </w:rPr>
        <w:t xml:space="preserve">, prepared by </w:t>
      </w:r>
      <w:r>
        <w:rPr>
          <w:szCs w:val="22"/>
        </w:rPr>
        <w:t>OITeG</w:t>
      </w:r>
      <w:r w:rsidRPr="0082036A">
        <w:rPr>
          <w:szCs w:val="22"/>
        </w:rPr>
        <w:t xml:space="preserve">, satisfactory to the Bank, and disclosed on the Bank’s website on </w:t>
      </w:r>
      <w:r>
        <w:rPr>
          <w:szCs w:val="22"/>
        </w:rPr>
        <w:t xml:space="preserve">February 22, 2019 </w:t>
      </w:r>
      <w:r w:rsidRPr="0082036A">
        <w:rPr>
          <w:szCs w:val="22"/>
        </w:rPr>
        <w:t>setting out the principles, rules, guidelines</w:t>
      </w:r>
      <w:r>
        <w:rPr>
          <w:szCs w:val="22"/>
        </w:rPr>
        <w:t>,</w:t>
      </w:r>
      <w:r w:rsidRPr="0082036A">
        <w:rPr>
          <w:szCs w:val="22"/>
        </w:rPr>
        <w:t xml:space="preserve"> and procedures to screen and assess the environmental and social impacts (including health and safety issues) of the </w:t>
      </w:r>
    </w:p>
    <w:p w:rsidR="00AC6C12" w:rsidRDefault="00AC6C12">
      <w:pPr>
        <w:spacing w:line="240" w:lineRule="auto"/>
        <w:rPr>
          <w:sz w:val="22"/>
          <w:szCs w:val="22"/>
        </w:rPr>
      </w:pPr>
      <w:r>
        <w:rPr>
          <w:szCs w:val="22"/>
        </w:rPr>
        <w:br w:type="page"/>
      </w:r>
    </w:p>
    <w:p w:rsidR="00357BB1" w:rsidRDefault="00357BB1" w:rsidP="00AC6C12">
      <w:pPr>
        <w:pStyle w:val="ModelNrmlDouble"/>
        <w:spacing w:after="240" w:line="240" w:lineRule="auto"/>
        <w:ind w:left="720" w:firstLine="0"/>
        <w:rPr>
          <w:szCs w:val="22"/>
        </w:rPr>
      </w:pPr>
      <w:r w:rsidRPr="0082036A">
        <w:rPr>
          <w:szCs w:val="22"/>
        </w:rPr>
        <w:lastRenderedPageBreak/>
        <w:t>activities which will be identified and appraised during Project implementation, and containing measures and plans to avoid, minimize, mitigate</w:t>
      </w:r>
      <w:r>
        <w:rPr>
          <w:szCs w:val="22"/>
        </w:rPr>
        <w:t>,</w:t>
      </w:r>
      <w:r w:rsidRPr="0082036A">
        <w:rPr>
          <w:szCs w:val="22"/>
        </w:rPr>
        <w:t xml:space="preserve"> and/or offset adverse impacts and/or reduce said adverse impacts to acceptable levels, and enhance positive impacts, provisions for estimating and budgeting the costs of such measures, and information on the agency or agencies responsible for addressing project impacts, as said instrument may be amended from time to time with the Bank’s prior written agreement. </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82036A">
        <w:rPr>
          <w:szCs w:val="22"/>
        </w:rPr>
        <w:t>“Environmental and Social Management Plan” or “ESMP” means the</w:t>
      </w:r>
      <w:r>
        <w:rPr>
          <w:szCs w:val="22"/>
        </w:rPr>
        <w:t xml:space="preserve"> plans to be </w:t>
      </w:r>
      <w:r w:rsidRPr="0082036A">
        <w:rPr>
          <w:szCs w:val="22"/>
        </w:rPr>
        <w:t xml:space="preserve">prepared by the </w:t>
      </w:r>
      <w:r>
        <w:rPr>
          <w:szCs w:val="22"/>
        </w:rPr>
        <w:t>OITeG</w:t>
      </w:r>
      <w:r w:rsidRPr="0082036A">
        <w:rPr>
          <w:szCs w:val="22"/>
        </w:rPr>
        <w:t xml:space="preserve">, </w:t>
      </w:r>
      <w:r>
        <w:rPr>
          <w:szCs w:val="22"/>
        </w:rPr>
        <w:t xml:space="preserve">as required, </w:t>
      </w:r>
      <w:r w:rsidRPr="0082036A">
        <w:rPr>
          <w:szCs w:val="22"/>
        </w:rPr>
        <w:t xml:space="preserve">satisfactory to the Bank, and </w:t>
      </w:r>
      <w:r>
        <w:rPr>
          <w:szCs w:val="22"/>
        </w:rPr>
        <w:t xml:space="preserve">to be </w:t>
      </w:r>
      <w:r w:rsidRPr="0082036A">
        <w:rPr>
          <w:szCs w:val="22"/>
        </w:rPr>
        <w:t>disclosed on the B</w:t>
      </w:r>
      <w:r>
        <w:rPr>
          <w:szCs w:val="22"/>
        </w:rPr>
        <w:t>orrower</w:t>
      </w:r>
      <w:r w:rsidRPr="0082036A">
        <w:rPr>
          <w:szCs w:val="22"/>
        </w:rPr>
        <w:t xml:space="preserve">’s website </w:t>
      </w:r>
      <w:r>
        <w:rPr>
          <w:szCs w:val="22"/>
        </w:rPr>
        <w:t>during the implementation of the Project</w:t>
      </w:r>
      <w:r w:rsidRPr="0082036A">
        <w:rPr>
          <w:szCs w:val="22"/>
        </w:rPr>
        <w:t>, which details (a) the measures to be taken during the implementation and operation of the Project to avoid, minimize, mitigate or offset adverse environmental and social impacts (including health and safety issues), or to reduce them to acceptable levels; and (b)</w:t>
      </w:r>
      <w:r>
        <w:rPr>
          <w:szCs w:val="22"/>
        </w:rPr>
        <w:t> </w:t>
      </w:r>
      <w:r w:rsidRPr="0082036A">
        <w:rPr>
          <w:szCs w:val="22"/>
        </w:rPr>
        <w:t>the actions needed to implement these measures, as said instrument may be amended from time to time with the Bank’s prior written agreement.</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294CAB">
        <w:rPr>
          <w:szCs w:val="22"/>
        </w:rPr>
        <w:t>“</w:t>
      </w:r>
      <w:r>
        <w:rPr>
          <w:szCs w:val="22"/>
        </w:rPr>
        <w:t>E-Trusted Services” means a</w:t>
      </w:r>
      <w:r w:rsidRPr="001F27E7">
        <w:rPr>
          <w:szCs w:val="22"/>
        </w:rPr>
        <w:t xml:space="preserve"> service </w:t>
      </w:r>
      <w:r>
        <w:rPr>
          <w:szCs w:val="22"/>
        </w:rPr>
        <w:t xml:space="preserve">provided by a </w:t>
      </w:r>
      <w:r w:rsidRPr="001F27E7">
        <w:rPr>
          <w:szCs w:val="22"/>
        </w:rPr>
        <w:t xml:space="preserve">service provider accredited under </w:t>
      </w:r>
      <w:r>
        <w:rPr>
          <w:szCs w:val="22"/>
        </w:rPr>
        <w:t>EU Regulation No. 910/2014, dated July 23, 2014 (</w:t>
      </w:r>
      <w:r w:rsidRPr="004F45C0">
        <w:rPr>
          <w:szCs w:val="22"/>
        </w:rPr>
        <w:t xml:space="preserve">Electronic Identification and Trust Services for Electronic Transactions in the Internal Market) </w:t>
      </w:r>
      <w:r>
        <w:rPr>
          <w:szCs w:val="22"/>
        </w:rPr>
        <w:t>and</w:t>
      </w:r>
      <w:r w:rsidRPr="001F27E7">
        <w:rPr>
          <w:szCs w:val="22"/>
        </w:rPr>
        <w:t xml:space="preserve"> compliant</w:t>
      </w:r>
      <w:r>
        <w:rPr>
          <w:szCs w:val="22"/>
        </w:rPr>
        <w:t xml:space="preserve"> with EU standards and regulations</w:t>
      </w:r>
      <w:r w:rsidRPr="001F27E7">
        <w:rPr>
          <w:szCs w:val="22"/>
        </w:rPr>
        <w:t>.</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“EU” means European Union.</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w:t>
      </w:r>
      <w:r w:rsidRPr="00294CAB">
        <w:rPr>
          <w:szCs w:val="22"/>
        </w:rPr>
        <w:t xml:space="preserve">General Conditions” means the “International Bank for Reconstruction and Development General Conditions for IBRD Financing, Investment Project Financing”, dated </w:t>
      </w:r>
      <w:r>
        <w:rPr>
          <w:szCs w:val="22"/>
        </w:rPr>
        <w:t>December 14, 2018</w:t>
      </w:r>
      <w:r w:rsidRPr="00294CAB">
        <w:rPr>
          <w:szCs w:val="22"/>
        </w:rPr>
        <w:t>.</w:t>
      </w:r>
    </w:p>
    <w:p w:rsidR="00357BB1" w:rsidRPr="00294CAB"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“General Data Protection Regulation” means EU Regulation No. 2016/679, dated May 25, 2018.</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“ICT” means information and communications technology.</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“Implementing Entity” means OITeG (as defined below).</w:t>
      </w:r>
    </w:p>
    <w:p w:rsidR="00357BB1" w:rsidRPr="00346F77"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“Implementing Entity’s Legislation” means the Government Bylaw 05 No. 110</w:t>
      </w:r>
      <w:r>
        <w:rPr>
          <w:szCs w:val="22"/>
        </w:rPr>
        <w:noBreakHyphen/>
        <w:t>7109/2017, duly published in the Borrower’s Official Gazette No. 73, dated July 28, 2017, as amended</w:t>
      </w:r>
      <w:r w:rsidRPr="00346F77">
        <w:rPr>
          <w:szCs w:val="22"/>
        </w:rPr>
        <w:t>.</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“Management Committee” means the committee referred to in Section I.A.3 of Schedule 2 to this Agreement.</w:t>
      </w:r>
      <w:r w:rsidDel="003C1B7F">
        <w:rPr>
          <w:szCs w:val="22"/>
        </w:rPr>
        <w:t xml:space="preserve"> </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“MoF” means the Borrower’s ministry of finance, or any successor thereto.</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“OITeG” means Office of Information Technologies and e-Government, established pursuant to the Implementing Entity’s Legislation.</w:t>
      </w:r>
    </w:p>
    <w:p w:rsidR="00AC6C12" w:rsidRDefault="00AC6C12" w:rsidP="00AC6C12">
      <w:pPr>
        <w:pStyle w:val="ModelNrmlDouble"/>
        <w:spacing w:after="240" w:line="240" w:lineRule="auto"/>
        <w:rPr>
          <w:szCs w:val="22"/>
        </w:rPr>
      </w:pPr>
    </w:p>
    <w:p w:rsidR="00AC6C12" w:rsidRDefault="00AC6C12" w:rsidP="00AC6C12">
      <w:pPr>
        <w:pStyle w:val="ModelNrmlDouble"/>
        <w:spacing w:after="240" w:line="240" w:lineRule="auto"/>
        <w:rPr>
          <w:szCs w:val="22"/>
        </w:rPr>
      </w:pPr>
    </w:p>
    <w:p w:rsidR="00357BB1" w:rsidRDefault="00357BB1" w:rsidP="00357BB1">
      <w:pPr>
        <w:pStyle w:val="ModelNrmlDouble"/>
        <w:numPr>
          <w:ilvl w:val="0"/>
          <w:numId w:val="5"/>
        </w:numPr>
        <w:tabs>
          <w:tab w:val="clear" w:pos="1080"/>
        </w:tabs>
        <w:spacing w:after="240" w:line="240" w:lineRule="auto"/>
        <w:ind w:left="720" w:hanging="720"/>
        <w:rPr>
          <w:szCs w:val="22"/>
        </w:rPr>
      </w:pPr>
      <w:r w:rsidRPr="00884E66">
        <w:rPr>
          <w:szCs w:val="22"/>
        </w:rPr>
        <w:lastRenderedPageBreak/>
        <w:t>"Operating Costs" means expenditures incurred by the Borrower</w:t>
      </w:r>
      <w:r>
        <w:rPr>
          <w:szCs w:val="22"/>
        </w:rPr>
        <w:t>, through OITeG,</w:t>
      </w:r>
      <w:r w:rsidRPr="00884E66">
        <w:rPr>
          <w:szCs w:val="22"/>
        </w:rPr>
        <w:t xml:space="preserve"> on account of the Project implementation</w:t>
      </w:r>
      <w:r>
        <w:rPr>
          <w:szCs w:val="22"/>
        </w:rPr>
        <w:t xml:space="preserve">, </w:t>
      </w:r>
      <w:r w:rsidRPr="002B02B7">
        <w:rPr>
          <w:szCs w:val="22"/>
        </w:rPr>
        <w:t xml:space="preserve">including, </w:t>
      </w:r>
      <w:r w:rsidRPr="002B02B7">
        <w:rPr>
          <w:i/>
          <w:szCs w:val="22"/>
        </w:rPr>
        <w:t>inter alia</w:t>
      </w:r>
      <w:r w:rsidRPr="002B02B7">
        <w:rPr>
          <w:szCs w:val="22"/>
        </w:rPr>
        <w:t>, expenditures</w:t>
      </w:r>
      <w:r>
        <w:rPr>
          <w:szCs w:val="22"/>
        </w:rPr>
        <w:t xml:space="preserve"> </w:t>
      </w:r>
      <w:r w:rsidRPr="00884E66">
        <w:rPr>
          <w:szCs w:val="22"/>
        </w:rPr>
        <w:t xml:space="preserve">for office supplies, utilities, communication tools, advertisement fees, translation and interpretation services, </w:t>
      </w:r>
      <w:r>
        <w:rPr>
          <w:szCs w:val="22"/>
        </w:rPr>
        <w:t>transportation costs</w:t>
      </w:r>
      <w:r w:rsidRPr="00884E66">
        <w:rPr>
          <w:szCs w:val="22"/>
        </w:rPr>
        <w:t xml:space="preserve">, equipment insurance, printing and publications, travel per diem allowances and accommodation costs for PIU </w:t>
      </w:r>
      <w:r>
        <w:rPr>
          <w:szCs w:val="22"/>
        </w:rPr>
        <w:t xml:space="preserve">and CFU </w:t>
      </w:r>
      <w:r w:rsidRPr="00884E66">
        <w:rPr>
          <w:szCs w:val="22"/>
        </w:rPr>
        <w:t xml:space="preserve">staff, and salaries for </w:t>
      </w:r>
      <w:r w:rsidRPr="00926C86">
        <w:rPr>
          <w:szCs w:val="22"/>
        </w:rPr>
        <w:t>selected</w:t>
      </w:r>
      <w:r>
        <w:rPr>
          <w:szCs w:val="22"/>
        </w:rPr>
        <w:t xml:space="preserve"> CFU </w:t>
      </w:r>
      <w:r w:rsidRPr="00884E66">
        <w:rPr>
          <w:szCs w:val="22"/>
        </w:rPr>
        <w:t xml:space="preserve">staff, including </w:t>
      </w:r>
      <w:r>
        <w:rPr>
          <w:szCs w:val="22"/>
        </w:rPr>
        <w:t xml:space="preserve">taxes and </w:t>
      </w:r>
      <w:r w:rsidRPr="00884E66">
        <w:rPr>
          <w:szCs w:val="22"/>
        </w:rPr>
        <w:t xml:space="preserve">social </w:t>
      </w:r>
      <w:r>
        <w:rPr>
          <w:szCs w:val="22"/>
        </w:rPr>
        <w:t>contributions</w:t>
      </w:r>
      <w:r w:rsidRPr="00884E66">
        <w:rPr>
          <w:szCs w:val="22"/>
        </w:rPr>
        <w:t>, but excluding salaries for the Borrower's civil servants.</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“Personal Data Protection Law” means the law published in the Borrower’s Official Gazette No. 87 on November 13, 2018.</w:t>
      </w:r>
    </w:p>
    <w:p w:rsidR="00357BB1" w:rsidRPr="0082036A"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 xml:space="preserve">“PIU” means the Project implementation unit referred to in Section I.A.1(a) of Schedule 2 to this Agreement. </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DB6C16">
        <w:rPr>
          <w:szCs w:val="22"/>
        </w:rPr>
        <w:t>“Procurement Regulations” means</w:t>
      </w:r>
      <w:r>
        <w:rPr>
          <w:szCs w:val="22"/>
        </w:rPr>
        <w:t>,</w:t>
      </w:r>
      <w:r w:rsidRPr="00DB6C16">
        <w:rPr>
          <w:szCs w:val="22"/>
        </w:rPr>
        <w:t xml:space="preserve"> for purpose</w:t>
      </w:r>
      <w:r>
        <w:rPr>
          <w:szCs w:val="22"/>
        </w:rPr>
        <w:t>s</w:t>
      </w:r>
      <w:r w:rsidRPr="00DB6C16">
        <w:rPr>
          <w:szCs w:val="22"/>
        </w:rPr>
        <w:t xml:space="preserve"> of paragraph </w:t>
      </w:r>
      <w:r>
        <w:rPr>
          <w:szCs w:val="22"/>
        </w:rPr>
        <w:t>8</w:t>
      </w:r>
      <w:r w:rsidRPr="00DB6C16">
        <w:rPr>
          <w:szCs w:val="22"/>
        </w:rPr>
        <w:t xml:space="preserve">5 of the Appendix to the General Conditions, the </w:t>
      </w:r>
      <w:r w:rsidRPr="004A52D9">
        <w:rPr>
          <w:szCs w:val="22"/>
        </w:rPr>
        <w:t xml:space="preserve">“World Bank Procurement Regulations for </w:t>
      </w:r>
      <w:r>
        <w:rPr>
          <w:szCs w:val="22"/>
        </w:rPr>
        <w:t xml:space="preserve">IPF </w:t>
      </w:r>
      <w:r w:rsidRPr="004A52D9">
        <w:rPr>
          <w:szCs w:val="22"/>
        </w:rPr>
        <w:t>Borrowers”, dated July 2016</w:t>
      </w:r>
      <w:r>
        <w:rPr>
          <w:szCs w:val="22"/>
        </w:rPr>
        <w:t>, revised November 2017 and August 2018</w:t>
      </w:r>
      <w:r w:rsidRPr="00DB6C16">
        <w:rPr>
          <w:szCs w:val="22"/>
        </w:rPr>
        <w:t>.</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7D6915">
        <w:rPr>
          <w:szCs w:val="22"/>
        </w:rPr>
        <w:t xml:space="preserve">“Project Implementing Entity” means </w:t>
      </w:r>
      <w:r>
        <w:rPr>
          <w:szCs w:val="22"/>
        </w:rPr>
        <w:t>OITeG.</w:t>
      </w:r>
    </w:p>
    <w:p w:rsidR="00357BB1" w:rsidRPr="0082036A"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 xml:space="preserve"> “Project Operations Manual” means the manual referred to in Section I.B of Schedule 2 to this Agreement.</w:t>
      </w:r>
    </w:p>
    <w:p w:rsidR="00357BB1" w:rsidRPr="006E01AE" w:rsidRDefault="00357BB1" w:rsidP="00357BB1">
      <w:pPr>
        <w:pStyle w:val="ModelNrmlDouble"/>
        <w:numPr>
          <w:ilvl w:val="0"/>
          <w:numId w:val="5"/>
        </w:numPr>
        <w:tabs>
          <w:tab w:val="clear" w:pos="1080"/>
          <w:tab w:val="num" w:pos="990"/>
        </w:tabs>
        <w:spacing w:after="240" w:line="240" w:lineRule="auto"/>
        <w:ind w:left="720" w:hanging="720"/>
        <w:rPr>
          <w:szCs w:val="22"/>
        </w:rPr>
      </w:pPr>
      <w:r w:rsidRPr="007D6915" w:rsidDel="00455960">
        <w:rPr>
          <w:szCs w:val="22"/>
        </w:rPr>
        <w:t xml:space="preserve"> </w:t>
      </w:r>
      <w:r w:rsidRPr="0082036A" w:rsidDel="00CD690E">
        <w:rPr>
          <w:szCs w:val="22"/>
        </w:rPr>
        <w:t xml:space="preserve"> </w:t>
      </w:r>
      <w:r w:rsidRPr="006E01AE">
        <w:rPr>
          <w:szCs w:val="22"/>
        </w:rPr>
        <w:t>“Resettlement Action Plan” or “RAP” means the instrument to be prepared in accordance with the procedures and requirements of the Resettlement Policy Framework, which includes the principles, procedures, organizational arrangements and budget to implement the resettlement related activities under the Subproject, as said resettlement action plan may be revised from time to time with the prior written agreement of the Bank and “ RAPs” means, collectively, all such RAPs.</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82036A">
        <w:rPr>
          <w:szCs w:val="22"/>
        </w:rPr>
        <w:t>“Resettlement Policy Framework” or “RPF” means the</w:t>
      </w:r>
      <w:r>
        <w:rPr>
          <w:szCs w:val="22"/>
        </w:rPr>
        <w:t xml:space="preserve"> resettlement policy framework </w:t>
      </w:r>
      <w:r w:rsidRPr="0082036A">
        <w:rPr>
          <w:szCs w:val="22"/>
        </w:rPr>
        <w:t xml:space="preserve">prepared and adopted by </w:t>
      </w:r>
      <w:r>
        <w:rPr>
          <w:szCs w:val="22"/>
        </w:rPr>
        <w:t>OITeG</w:t>
      </w:r>
      <w:r w:rsidRPr="0082036A">
        <w:rPr>
          <w:szCs w:val="22"/>
        </w:rPr>
        <w:t>, satisfactory to the Bank, and disclosed on the Bank’s website on</w:t>
      </w:r>
      <w:r>
        <w:rPr>
          <w:szCs w:val="22"/>
        </w:rPr>
        <w:t xml:space="preserve"> February 22, 2019, </w:t>
      </w:r>
      <w:r w:rsidRPr="0082036A">
        <w:rPr>
          <w:szCs w:val="22"/>
        </w:rPr>
        <w:t>which sets out the resettlement principles, organizational arrangements (including consultation and budget), and design criteria to be applied to resettlement related Project activities to be prepared during Project implementation, as such framework may be amended from time to time with the prior written agreement of the Bank.</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82036A">
        <w:rPr>
          <w:szCs w:val="22"/>
        </w:rPr>
        <w:t>“Safeguard Instruments” means collectively, the E</w:t>
      </w:r>
      <w:r>
        <w:rPr>
          <w:szCs w:val="22"/>
        </w:rPr>
        <w:t xml:space="preserve">nvironmental and </w:t>
      </w:r>
      <w:r w:rsidRPr="0082036A">
        <w:rPr>
          <w:szCs w:val="22"/>
        </w:rPr>
        <w:t>S</w:t>
      </w:r>
      <w:r>
        <w:rPr>
          <w:szCs w:val="22"/>
        </w:rPr>
        <w:t xml:space="preserve">ocial </w:t>
      </w:r>
      <w:r w:rsidRPr="0082036A">
        <w:rPr>
          <w:szCs w:val="22"/>
        </w:rPr>
        <w:t>M</w:t>
      </w:r>
      <w:r>
        <w:rPr>
          <w:szCs w:val="22"/>
        </w:rPr>
        <w:t xml:space="preserve">anagement </w:t>
      </w:r>
      <w:r w:rsidRPr="0082036A">
        <w:rPr>
          <w:szCs w:val="22"/>
        </w:rPr>
        <w:t>F</w:t>
      </w:r>
      <w:r>
        <w:rPr>
          <w:szCs w:val="22"/>
        </w:rPr>
        <w:t>ramework</w:t>
      </w:r>
      <w:r w:rsidRPr="0082036A">
        <w:rPr>
          <w:szCs w:val="22"/>
        </w:rPr>
        <w:t>, E</w:t>
      </w:r>
      <w:r>
        <w:rPr>
          <w:szCs w:val="22"/>
        </w:rPr>
        <w:t xml:space="preserve">nvironmental </w:t>
      </w:r>
      <w:r w:rsidRPr="0082036A">
        <w:rPr>
          <w:szCs w:val="22"/>
        </w:rPr>
        <w:t>M</w:t>
      </w:r>
      <w:r>
        <w:rPr>
          <w:szCs w:val="22"/>
        </w:rPr>
        <w:t xml:space="preserve">anagement </w:t>
      </w:r>
      <w:r w:rsidRPr="0082036A">
        <w:rPr>
          <w:szCs w:val="22"/>
        </w:rPr>
        <w:t>P</w:t>
      </w:r>
      <w:r>
        <w:rPr>
          <w:szCs w:val="22"/>
        </w:rPr>
        <w:t>lan</w:t>
      </w:r>
      <w:r w:rsidRPr="0082036A">
        <w:rPr>
          <w:szCs w:val="22"/>
        </w:rPr>
        <w:t xml:space="preserve"> and </w:t>
      </w:r>
      <w:r>
        <w:rPr>
          <w:szCs w:val="22"/>
        </w:rPr>
        <w:t xml:space="preserve">Resettlement Actions Plan and </w:t>
      </w:r>
      <w:r w:rsidRPr="0082036A">
        <w:rPr>
          <w:szCs w:val="22"/>
        </w:rPr>
        <w:t xml:space="preserve">Resettlement Policy Framework and “Safeguard Instrument” means any of such Safeguards Instruments. </w:t>
      </w:r>
    </w:p>
    <w:p w:rsidR="00AC6C12" w:rsidRDefault="00AC6C12" w:rsidP="00AC6C12">
      <w:pPr>
        <w:pStyle w:val="ModelNrmlDouble"/>
        <w:spacing w:after="240" w:line="240" w:lineRule="auto"/>
        <w:rPr>
          <w:szCs w:val="22"/>
        </w:rPr>
      </w:pPr>
    </w:p>
    <w:p w:rsidR="00AC6C12" w:rsidRDefault="00AC6C12" w:rsidP="00AC6C12">
      <w:pPr>
        <w:pStyle w:val="ModelNrmlDouble"/>
        <w:spacing w:after="240" w:line="240" w:lineRule="auto"/>
        <w:rPr>
          <w:szCs w:val="22"/>
        </w:rPr>
      </w:pPr>
    </w:p>
    <w:p w:rsidR="00AC6C12" w:rsidRPr="0082036A" w:rsidRDefault="00AC6C12" w:rsidP="00AC6C12">
      <w:pPr>
        <w:pStyle w:val="ModelNrmlDouble"/>
        <w:spacing w:after="240" w:line="240" w:lineRule="auto"/>
        <w:rPr>
          <w:szCs w:val="22"/>
        </w:rPr>
      </w:pP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sidRPr="0082036A">
        <w:rPr>
          <w:szCs w:val="22"/>
        </w:rPr>
        <w:lastRenderedPageBreak/>
        <w:t>“Safeguard Policies” means, the Operational Policies (Ops) and Bank Procedures (BPs) of the Bank, namely OP/BP 4.01 (Environmental Assessment), OP/BP 4.11 (Physical Cultural Resources)</w:t>
      </w:r>
      <w:r>
        <w:rPr>
          <w:szCs w:val="22"/>
        </w:rPr>
        <w:t xml:space="preserve"> and</w:t>
      </w:r>
      <w:r w:rsidRPr="0082036A">
        <w:rPr>
          <w:szCs w:val="22"/>
        </w:rPr>
        <w:t xml:space="preserve"> OP/BP 4.12 (Involuntary Resettlement); they can be found at </w:t>
      </w:r>
      <w:hyperlink r:id="rId15" w:history="1">
        <w:r w:rsidRPr="0082036A">
          <w:rPr>
            <w:szCs w:val="22"/>
          </w:rPr>
          <w:t>https://policies.worldbank.org</w:t>
        </w:r>
      </w:hyperlink>
      <w:r w:rsidRPr="0082036A">
        <w:rPr>
          <w:szCs w:val="22"/>
        </w:rPr>
        <w:t xml:space="preserve">. </w:t>
      </w:r>
    </w:p>
    <w:p w:rsidR="00357BB1" w:rsidRPr="0082036A" w:rsidRDefault="00357BB1" w:rsidP="00357BB1">
      <w:pPr>
        <w:pStyle w:val="ModelNrmlDouble"/>
        <w:numPr>
          <w:ilvl w:val="0"/>
          <w:numId w:val="5"/>
        </w:numPr>
        <w:tabs>
          <w:tab w:val="clear" w:pos="1080"/>
          <w:tab w:val="num" w:pos="990"/>
        </w:tabs>
        <w:spacing w:after="240" w:line="240" w:lineRule="auto"/>
        <w:ind w:left="720" w:hanging="720"/>
        <w:rPr>
          <w:szCs w:val="22"/>
        </w:rPr>
      </w:pPr>
      <w:r w:rsidDel="00CD690E">
        <w:rPr>
          <w:szCs w:val="22"/>
        </w:rPr>
        <w:t xml:space="preserve"> </w:t>
      </w:r>
      <w:r>
        <w:rPr>
          <w:szCs w:val="22"/>
        </w:rPr>
        <w:t xml:space="preserve">“Signature Date” means </w:t>
      </w:r>
      <w:r w:rsidRPr="002D3E9E">
        <w:rPr>
          <w:szCs w:val="22"/>
        </w:rPr>
        <w:t>the late</w:t>
      </w:r>
      <w:r>
        <w:rPr>
          <w:szCs w:val="22"/>
        </w:rPr>
        <w:t>r</w:t>
      </w:r>
      <w:r w:rsidRPr="002D3E9E">
        <w:rPr>
          <w:szCs w:val="22"/>
        </w:rPr>
        <w:t xml:space="preserve"> of the two dates on which the Borrower and the Bank signed this Agreement and such definition applie</w:t>
      </w:r>
      <w:r>
        <w:rPr>
          <w:szCs w:val="22"/>
        </w:rPr>
        <w:t>s</w:t>
      </w:r>
      <w:r w:rsidRPr="002D3E9E">
        <w:rPr>
          <w:szCs w:val="22"/>
        </w:rPr>
        <w:t xml:space="preserve"> to all references to “the date of the Loan Agreement” in the General Conditions.</w:t>
      </w:r>
    </w:p>
    <w:p w:rsidR="00357BB1" w:rsidRPr="0082036A" w:rsidRDefault="00357BB1" w:rsidP="00357BB1">
      <w:pPr>
        <w:pStyle w:val="ModelNrmlDouble"/>
        <w:numPr>
          <w:ilvl w:val="0"/>
          <w:numId w:val="5"/>
        </w:numPr>
        <w:tabs>
          <w:tab w:val="clear" w:pos="1080"/>
          <w:tab w:val="num" w:pos="990"/>
        </w:tabs>
        <w:spacing w:after="240" w:line="240" w:lineRule="auto"/>
        <w:ind w:left="720" w:hanging="720"/>
        <w:rPr>
          <w:szCs w:val="22"/>
        </w:rPr>
      </w:pPr>
      <w:r w:rsidRPr="0082036A" w:rsidDel="00CD690E">
        <w:rPr>
          <w:szCs w:val="22"/>
        </w:rPr>
        <w:t xml:space="preserve"> </w:t>
      </w:r>
      <w:r>
        <w:rPr>
          <w:szCs w:val="22"/>
        </w:rPr>
        <w:t>“Steering Committee” means the committee referred to in Section I.A.2 of Schedule 2 to this Agreement.</w:t>
      </w:r>
    </w:p>
    <w:p w:rsidR="00357BB1" w:rsidRDefault="00357BB1" w:rsidP="00357BB1">
      <w:pPr>
        <w:pStyle w:val="ModelNrmlDouble"/>
        <w:numPr>
          <w:ilvl w:val="0"/>
          <w:numId w:val="5"/>
        </w:numPr>
        <w:tabs>
          <w:tab w:val="clear" w:pos="1080"/>
          <w:tab w:val="num" w:pos="990"/>
        </w:tabs>
        <w:spacing w:after="240" w:line="240" w:lineRule="auto"/>
        <w:ind w:left="720" w:hanging="720"/>
        <w:rPr>
          <w:szCs w:val="22"/>
        </w:rPr>
      </w:pPr>
      <w:r>
        <w:rPr>
          <w:szCs w:val="22"/>
        </w:rPr>
        <w:t xml:space="preserve"> “To-Be Process Map” means t</w:t>
      </w:r>
      <w:r w:rsidRPr="001F27E7">
        <w:rPr>
          <w:szCs w:val="22"/>
        </w:rPr>
        <w:t xml:space="preserve">he </w:t>
      </w:r>
      <w:r>
        <w:rPr>
          <w:szCs w:val="22"/>
        </w:rPr>
        <w:t xml:space="preserve">process </w:t>
      </w:r>
      <w:r w:rsidRPr="001F27E7">
        <w:rPr>
          <w:szCs w:val="22"/>
        </w:rPr>
        <w:t xml:space="preserve">map </w:t>
      </w:r>
      <w:r>
        <w:rPr>
          <w:szCs w:val="22"/>
        </w:rPr>
        <w:t xml:space="preserve">which </w:t>
      </w:r>
      <w:r w:rsidRPr="001F27E7">
        <w:rPr>
          <w:szCs w:val="22"/>
        </w:rPr>
        <w:t xml:space="preserve">identifies the </w:t>
      </w:r>
      <w:r>
        <w:rPr>
          <w:szCs w:val="22"/>
        </w:rPr>
        <w:t xml:space="preserve">future state of the service and the </w:t>
      </w:r>
      <w:r w:rsidRPr="001F27E7">
        <w:rPr>
          <w:szCs w:val="22"/>
        </w:rPr>
        <w:t xml:space="preserve">modifications needed to provide </w:t>
      </w:r>
      <w:r>
        <w:rPr>
          <w:szCs w:val="22"/>
        </w:rPr>
        <w:t xml:space="preserve">an </w:t>
      </w:r>
      <w:r w:rsidRPr="001F27E7">
        <w:rPr>
          <w:szCs w:val="22"/>
        </w:rPr>
        <w:t>administrative service more efficiently</w:t>
      </w:r>
      <w:r>
        <w:rPr>
          <w:szCs w:val="22"/>
        </w:rPr>
        <w:t>.</w:t>
      </w:r>
    </w:p>
    <w:p w:rsidR="00357BB1" w:rsidRPr="00926C86" w:rsidRDefault="00357BB1" w:rsidP="00357BB1">
      <w:pPr>
        <w:pStyle w:val="BodyText"/>
        <w:numPr>
          <w:ilvl w:val="0"/>
          <w:numId w:val="5"/>
        </w:numPr>
        <w:tabs>
          <w:tab w:val="clear" w:pos="1080"/>
        </w:tabs>
        <w:spacing w:after="240"/>
        <w:ind w:left="720" w:hanging="720"/>
        <w:rPr>
          <w:szCs w:val="22"/>
        </w:rPr>
      </w:pPr>
      <w:r w:rsidRPr="00926C86">
        <w:rPr>
          <w:sz w:val="22"/>
          <w:szCs w:val="22"/>
        </w:rPr>
        <w:t>"Training" means Project related study tours, training courses, seminars, workshops and other training activities, including costs of training materials, space and equipment rental, travel, accommodation and per diem costs of trainees and trainers, trainers' fees, and other training related miscellaneous costs.</w:t>
      </w:r>
    </w:p>
    <w:bookmarkEnd w:id="5"/>
    <w:p w:rsidR="00357BB1" w:rsidRDefault="00357BB1" w:rsidP="00357BB1"/>
    <w:p w:rsidR="00102021" w:rsidRPr="004327C2" w:rsidRDefault="00102021" w:rsidP="00357BB1">
      <w:pPr>
        <w:suppressAutoHyphens/>
        <w:spacing w:line="240" w:lineRule="auto"/>
        <w:jc w:val="both"/>
        <w:rPr>
          <w:bCs/>
          <w:sz w:val="22"/>
          <w:szCs w:val="22"/>
        </w:rPr>
      </w:pPr>
    </w:p>
    <w:sectPr w:rsidR="00102021" w:rsidRPr="004327C2" w:rsidSect="00357BB1">
      <w:headerReference w:type="default" r:id="rId16"/>
      <w:headerReference w:type="first" r:id="rId17"/>
      <w:pgSz w:w="12240" w:h="15840"/>
      <w:pgMar w:top="180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38B" w:rsidRDefault="0016038B">
      <w:r>
        <w:separator/>
      </w:r>
    </w:p>
  </w:endnote>
  <w:endnote w:type="continuationSeparator" w:id="0">
    <w:p w:rsidR="0016038B" w:rsidRDefault="0016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38B" w:rsidRDefault="0016038B">
      <w:r>
        <w:separator/>
      </w:r>
    </w:p>
  </w:footnote>
  <w:footnote w:type="continuationSeparator" w:id="0">
    <w:p w:rsidR="0016038B" w:rsidRDefault="00160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4E6" w:rsidRPr="00562E0E" w:rsidRDefault="00E604E6">
    <w:pPr>
      <w:pStyle w:val="Header"/>
      <w:spacing w:line="240" w:lineRule="auto"/>
      <w:rPr>
        <w:b/>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9099855"/>
      <w:docPartObj>
        <w:docPartGallery w:val="Page Numbers (Top of Page)"/>
        <w:docPartUnique/>
      </w:docPartObj>
    </w:sdtPr>
    <w:sdtEndPr>
      <w:rPr>
        <w:noProof/>
      </w:rPr>
    </w:sdtEndPr>
    <w:sdtContent>
      <w:p w:rsidR="00E604E6" w:rsidRDefault="00E604E6">
        <w:pPr>
          <w:pStyle w:val="Header"/>
          <w:jc w:val="center"/>
          <w:rPr>
            <w:noProof/>
          </w:rPr>
        </w:pPr>
      </w:p>
      <w:p w:rsidR="00E604E6" w:rsidRDefault="0016038B" w:rsidP="00981102">
        <w:pPr>
          <w:pStyle w:val="Header"/>
          <w:rPr>
            <w:b/>
            <w:bCs/>
            <w:u w:val="single"/>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963D6F"/>
    <w:multiLevelType w:val="hybridMultilevel"/>
    <w:tmpl w:val="7360BE90"/>
    <w:lvl w:ilvl="0" w:tplc="3F260EC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9E113E0"/>
    <w:multiLevelType w:val="hybridMultilevel"/>
    <w:tmpl w:val="568CAEC4"/>
    <w:lvl w:ilvl="0" w:tplc="1398EF7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B9011F"/>
    <w:multiLevelType w:val="hybridMultilevel"/>
    <w:tmpl w:val="75108956"/>
    <w:lvl w:ilvl="0" w:tplc="3112F03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E72E67"/>
    <w:multiLevelType w:val="hybridMultilevel"/>
    <w:tmpl w:val="B3E29D74"/>
    <w:lvl w:ilvl="0" w:tplc="52723230">
      <w:start w:val="1"/>
      <w:numFmt w:val="lowerLetter"/>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A33724A"/>
    <w:multiLevelType w:val="hybridMultilevel"/>
    <w:tmpl w:val="B6740676"/>
    <w:lvl w:ilvl="0" w:tplc="1EE809D6">
      <w:start w:val="1"/>
      <w:numFmt w:val="lowerRoman"/>
      <w:lvlText w:val="(%1)"/>
      <w:lvlJc w:val="left"/>
      <w:pPr>
        <w:ind w:left="2385" w:hanging="94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16"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52ED23FF"/>
    <w:multiLevelType w:val="hybridMultilevel"/>
    <w:tmpl w:val="65D65650"/>
    <w:lvl w:ilvl="0" w:tplc="FC866D90">
      <w:start w:val="2"/>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6CCA4B2C"/>
    <w:multiLevelType w:val="hybridMultilevel"/>
    <w:tmpl w:val="8900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B31F31"/>
    <w:multiLevelType w:val="hybridMultilevel"/>
    <w:tmpl w:val="7FF082C8"/>
    <w:lvl w:ilvl="0" w:tplc="BD98178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22"/>
  </w:num>
  <w:num w:numId="2">
    <w:abstractNumId w:val="13"/>
  </w:num>
  <w:num w:numId="3">
    <w:abstractNumId w:val="18"/>
  </w:num>
  <w:num w:numId="4">
    <w:abstractNumId w:val="16"/>
  </w:num>
  <w:num w:numId="5">
    <w:abstractNumId w:val="11"/>
  </w:num>
  <w:num w:numId="6">
    <w:abstractNumId w:val="12"/>
  </w:num>
  <w:num w:numId="7">
    <w:abstractNumId w:val="15"/>
  </w:num>
  <w:num w:numId="8">
    <w:abstractNumId w:val="17"/>
  </w:num>
  <w:num w:numId="9">
    <w:abstractNumId w:val="0"/>
  </w:num>
  <w:num w:numId="10">
    <w:abstractNumId w:val="9"/>
  </w:num>
  <w:num w:numId="11">
    <w:abstractNumId w:val="20"/>
  </w:num>
  <w:num w:numId="12">
    <w:abstractNumId w:val="5"/>
  </w:num>
  <w:num w:numId="13">
    <w:abstractNumId w:val="21"/>
  </w:num>
  <w:num w:numId="14">
    <w:abstractNumId w:val="2"/>
  </w:num>
  <w:num w:numId="15">
    <w:abstractNumId w:val="14"/>
  </w:num>
  <w:num w:numId="16">
    <w:abstractNumId w:val="1"/>
  </w:num>
  <w:num w:numId="17">
    <w:abstractNumId w:val="3"/>
  </w:num>
  <w:num w:numId="18">
    <w:abstractNumId w:val="6"/>
  </w:num>
  <w:num w:numId="19">
    <w:abstractNumId w:val="24"/>
  </w:num>
  <w:num w:numId="20">
    <w:abstractNumId w:val="8"/>
  </w:num>
  <w:num w:numId="21">
    <w:abstractNumId w:val="10"/>
  </w:num>
  <w:num w:numId="22">
    <w:abstractNumId w:val="7"/>
  </w:num>
  <w:num w:numId="23">
    <w:abstractNumId w:val="19"/>
  </w:num>
  <w:num w:numId="24">
    <w:abstractNumId w:val="4"/>
  </w:num>
  <w:num w:numId="25">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46A3A"/>
    <w:rsid w:val="0000735A"/>
    <w:rsid w:val="000079E5"/>
    <w:rsid w:val="00007FA3"/>
    <w:rsid w:val="0001285C"/>
    <w:rsid w:val="00017FEB"/>
    <w:rsid w:val="00020971"/>
    <w:rsid w:val="00022181"/>
    <w:rsid w:val="000224FA"/>
    <w:rsid w:val="0002409A"/>
    <w:rsid w:val="00025B43"/>
    <w:rsid w:val="0002606D"/>
    <w:rsid w:val="00032A74"/>
    <w:rsid w:val="00032F1E"/>
    <w:rsid w:val="000348C4"/>
    <w:rsid w:val="000364BD"/>
    <w:rsid w:val="00037847"/>
    <w:rsid w:val="0004008B"/>
    <w:rsid w:val="00042F67"/>
    <w:rsid w:val="00051883"/>
    <w:rsid w:val="00053842"/>
    <w:rsid w:val="00056F33"/>
    <w:rsid w:val="000571DD"/>
    <w:rsid w:val="000578AB"/>
    <w:rsid w:val="000600CE"/>
    <w:rsid w:val="00063768"/>
    <w:rsid w:val="0006449D"/>
    <w:rsid w:val="00064C89"/>
    <w:rsid w:val="00066501"/>
    <w:rsid w:val="00066E05"/>
    <w:rsid w:val="00071139"/>
    <w:rsid w:val="00073DA1"/>
    <w:rsid w:val="00081649"/>
    <w:rsid w:val="0008229B"/>
    <w:rsid w:val="00086AE8"/>
    <w:rsid w:val="00087B3D"/>
    <w:rsid w:val="00090BC7"/>
    <w:rsid w:val="00093818"/>
    <w:rsid w:val="00093DD7"/>
    <w:rsid w:val="000946A7"/>
    <w:rsid w:val="000978D3"/>
    <w:rsid w:val="0009792E"/>
    <w:rsid w:val="000A0C1E"/>
    <w:rsid w:val="000A11DF"/>
    <w:rsid w:val="000A129F"/>
    <w:rsid w:val="000A35DA"/>
    <w:rsid w:val="000A3DAF"/>
    <w:rsid w:val="000A7620"/>
    <w:rsid w:val="000A76B8"/>
    <w:rsid w:val="000B0D27"/>
    <w:rsid w:val="000B12F5"/>
    <w:rsid w:val="000B14AE"/>
    <w:rsid w:val="000B4532"/>
    <w:rsid w:val="000B4649"/>
    <w:rsid w:val="000B5449"/>
    <w:rsid w:val="000C2D37"/>
    <w:rsid w:val="000D14A6"/>
    <w:rsid w:val="000D48D7"/>
    <w:rsid w:val="000D5027"/>
    <w:rsid w:val="000D5441"/>
    <w:rsid w:val="000D7A40"/>
    <w:rsid w:val="000E4841"/>
    <w:rsid w:val="000E4E56"/>
    <w:rsid w:val="000E7072"/>
    <w:rsid w:val="000E749E"/>
    <w:rsid w:val="000E7FFE"/>
    <w:rsid w:val="000F1A7E"/>
    <w:rsid w:val="000F7355"/>
    <w:rsid w:val="00100BFE"/>
    <w:rsid w:val="00102021"/>
    <w:rsid w:val="00102FB2"/>
    <w:rsid w:val="0010368D"/>
    <w:rsid w:val="00103762"/>
    <w:rsid w:val="00105E2A"/>
    <w:rsid w:val="00113948"/>
    <w:rsid w:val="00122378"/>
    <w:rsid w:val="0012770D"/>
    <w:rsid w:val="001303F7"/>
    <w:rsid w:val="00133421"/>
    <w:rsid w:val="00135D57"/>
    <w:rsid w:val="00136189"/>
    <w:rsid w:val="00143A55"/>
    <w:rsid w:val="00144A34"/>
    <w:rsid w:val="00147191"/>
    <w:rsid w:val="001475E2"/>
    <w:rsid w:val="0015433F"/>
    <w:rsid w:val="0016038B"/>
    <w:rsid w:val="001625B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94D80"/>
    <w:rsid w:val="001A24D0"/>
    <w:rsid w:val="001A268E"/>
    <w:rsid w:val="001A3FA0"/>
    <w:rsid w:val="001A7726"/>
    <w:rsid w:val="001B3553"/>
    <w:rsid w:val="001B5C60"/>
    <w:rsid w:val="001C259E"/>
    <w:rsid w:val="001C3BB2"/>
    <w:rsid w:val="001D01DC"/>
    <w:rsid w:val="001D058F"/>
    <w:rsid w:val="001D3E70"/>
    <w:rsid w:val="001D7F85"/>
    <w:rsid w:val="001E1650"/>
    <w:rsid w:val="001E3C97"/>
    <w:rsid w:val="001F04B9"/>
    <w:rsid w:val="001F6351"/>
    <w:rsid w:val="001F784D"/>
    <w:rsid w:val="002014A8"/>
    <w:rsid w:val="0020628F"/>
    <w:rsid w:val="00211D91"/>
    <w:rsid w:val="0021552A"/>
    <w:rsid w:val="00217570"/>
    <w:rsid w:val="002175C3"/>
    <w:rsid w:val="002201BC"/>
    <w:rsid w:val="00220293"/>
    <w:rsid w:val="00221EFA"/>
    <w:rsid w:val="00222667"/>
    <w:rsid w:val="00224EDD"/>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75A7E"/>
    <w:rsid w:val="002815B7"/>
    <w:rsid w:val="00284922"/>
    <w:rsid w:val="00287D37"/>
    <w:rsid w:val="00293605"/>
    <w:rsid w:val="00293D20"/>
    <w:rsid w:val="00294825"/>
    <w:rsid w:val="00296236"/>
    <w:rsid w:val="00296914"/>
    <w:rsid w:val="00296DBE"/>
    <w:rsid w:val="002A1822"/>
    <w:rsid w:val="002A567C"/>
    <w:rsid w:val="002A5BCB"/>
    <w:rsid w:val="002A622D"/>
    <w:rsid w:val="002A6B79"/>
    <w:rsid w:val="002B0F31"/>
    <w:rsid w:val="002B13BD"/>
    <w:rsid w:val="002B2F5A"/>
    <w:rsid w:val="002B4CBE"/>
    <w:rsid w:val="002C20A5"/>
    <w:rsid w:val="002C2305"/>
    <w:rsid w:val="002C7206"/>
    <w:rsid w:val="002C7E93"/>
    <w:rsid w:val="002D1F59"/>
    <w:rsid w:val="002D700F"/>
    <w:rsid w:val="002D796B"/>
    <w:rsid w:val="002E1481"/>
    <w:rsid w:val="002E5873"/>
    <w:rsid w:val="002E5DA4"/>
    <w:rsid w:val="002E7E1C"/>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57BB1"/>
    <w:rsid w:val="00360947"/>
    <w:rsid w:val="003628EB"/>
    <w:rsid w:val="00363426"/>
    <w:rsid w:val="00363AF2"/>
    <w:rsid w:val="00364E3F"/>
    <w:rsid w:val="00365193"/>
    <w:rsid w:val="00367817"/>
    <w:rsid w:val="00370EB2"/>
    <w:rsid w:val="0037186B"/>
    <w:rsid w:val="003732A1"/>
    <w:rsid w:val="00373609"/>
    <w:rsid w:val="003738C9"/>
    <w:rsid w:val="00375904"/>
    <w:rsid w:val="003803E6"/>
    <w:rsid w:val="003811A5"/>
    <w:rsid w:val="003848A0"/>
    <w:rsid w:val="003873DA"/>
    <w:rsid w:val="0038779F"/>
    <w:rsid w:val="00396644"/>
    <w:rsid w:val="003A0988"/>
    <w:rsid w:val="003A1983"/>
    <w:rsid w:val="003A38EC"/>
    <w:rsid w:val="003B02E8"/>
    <w:rsid w:val="003B1D86"/>
    <w:rsid w:val="003B693D"/>
    <w:rsid w:val="003C1F83"/>
    <w:rsid w:val="003C28AA"/>
    <w:rsid w:val="003C2942"/>
    <w:rsid w:val="003C2AB7"/>
    <w:rsid w:val="003C6D16"/>
    <w:rsid w:val="003C7D85"/>
    <w:rsid w:val="003D0C80"/>
    <w:rsid w:val="003D4AAB"/>
    <w:rsid w:val="003D7010"/>
    <w:rsid w:val="003D7F46"/>
    <w:rsid w:val="003E7CA6"/>
    <w:rsid w:val="003F1A31"/>
    <w:rsid w:val="003F3B28"/>
    <w:rsid w:val="003F5E52"/>
    <w:rsid w:val="003F5FA1"/>
    <w:rsid w:val="003F7259"/>
    <w:rsid w:val="00400530"/>
    <w:rsid w:val="00403C1D"/>
    <w:rsid w:val="00407827"/>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6567"/>
    <w:rsid w:val="004520DD"/>
    <w:rsid w:val="00453486"/>
    <w:rsid w:val="0045450A"/>
    <w:rsid w:val="00456B65"/>
    <w:rsid w:val="004570BB"/>
    <w:rsid w:val="00461A45"/>
    <w:rsid w:val="00463720"/>
    <w:rsid w:val="00466FD7"/>
    <w:rsid w:val="004672D0"/>
    <w:rsid w:val="00471474"/>
    <w:rsid w:val="00485071"/>
    <w:rsid w:val="00490303"/>
    <w:rsid w:val="0049440E"/>
    <w:rsid w:val="00494C0D"/>
    <w:rsid w:val="004A1278"/>
    <w:rsid w:val="004A2955"/>
    <w:rsid w:val="004A318A"/>
    <w:rsid w:val="004A5176"/>
    <w:rsid w:val="004A5BAA"/>
    <w:rsid w:val="004B3DEA"/>
    <w:rsid w:val="004B66EB"/>
    <w:rsid w:val="004C19DA"/>
    <w:rsid w:val="004C1FC5"/>
    <w:rsid w:val="004C79DD"/>
    <w:rsid w:val="004D0A80"/>
    <w:rsid w:val="004D0EE4"/>
    <w:rsid w:val="004D1B2F"/>
    <w:rsid w:val="004D281E"/>
    <w:rsid w:val="004D2D9F"/>
    <w:rsid w:val="004E16B0"/>
    <w:rsid w:val="004E6323"/>
    <w:rsid w:val="004E7941"/>
    <w:rsid w:val="004F5D16"/>
    <w:rsid w:val="004F5D5C"/>
    <w:rsid w:val="004F6D1D"/>
    <w:rsid w:val="005035DD"/>
    <w:rsid w:val="005059CD"/>
    <w:rsid w:val="005068B2"/>
    <w:rsid w:val="00512316"/>
    <w:rsid w:val="005145E8"/>
    <w:rsid w:val="005156A0"/>
    <w:rsid w:val="00515F5B"/>
    <w:rsid w:val="00516B64"/>
    <w:rsid w:val="0052007A"/>
    <w:rsid w:val="005214C2"/>
    <w:rsid w:val="00522B97"/>
    <w:rsid w:val="00522FDC"/>
    <w:rsid w:val="00523466"/>
    <w:rsid w:val="00523A30"/>
    <w:rsid w:val="00526839"/>
    <w:rsid w:val="00526C9B"/>
    <w:rsid w:val="005364F6"/>
    <w:rsid w:val="005402E9"/>
    <w:rsid w:val="00543997"/>
    <w:rsid w:val="00545D83"/>
    <w:rsid w:val="005463F1"/>
    <w:rsid w:val="005474C2"/>
    <w:rsid w:val="00550C27"/>
    <w:rsid w:val="005540F5"/>
    <w:rsid w:val="005548C0"/>
    <w:rsid w:val="0055539C"/>
    <w:rsid w:val="005557C2"/>
    <w:rsid w:val="005568AC"/>
    <w:rsid w:val="00560451"/>
    <w:rsid w:val="00561693"/>
    <w:rsid w:val="00562110"/>
    <w:rsid w:val="00562E0E"/>
    <w:rsid w:val="00566E0F"/>
    <w:rsid w:val="00570A62"/>
    <w:rsid w:val="005713A9"/>
    <w:rsid w:val="00576CA6"/>
    <w:rsid w:val="005774F3"/>
    <w:rsid w:val="005810F6"/>
    <w:rsid w:val="00584C03"/>
    <w:rsid w:val="00585A61"/>
    <w:rsid w:val="00591982"/>
    <w:rsid w:val="00591B4E"/>
    <w:rsid w:val="00595504"/>
    <w:rsid w:val="00596A34"/>
    <w:rsid w:val="00596C0A"/>
    <w:rsid w:val="005B00D2"/>
    <w:rsid w:val="005B069B"/>
    <w:rsid w:val="005B37C8"/>
    <w:rsid w:val="005B4FC1"/>
    <w:rsid w:val="005B6418"/>
    <w:rsid w:val="005B77D6"/>
    <w:rsid w:val="005C2585"/>
    <w:rsid w:val="005C26D9"/>
    <w:rsid w:val="005C52B7"/>
    <w:rsid w:val="005D3256"/>
    <w:rsid w:val="005D345F"/>
    <w:rsid w:val="005D43C1"/>
    <w:rsid w:val="005D478E"/>
    <w:rsid w:val="005E0475"/>
    <w:rsid w:val="005E6F37"/>
    <w:rsid w:val="005F22EB"/>
    <w:rsid w:val="005F3827"/>
    <w:rsid w:val="005F69F1"/>
    <w:rsid w:val="005F7031"/>
    <w:rsid w:val="00600C48"/>
    <w:rsid w:val="00603141"/>
    <w:rsid w:val="0060535E"/>
    <w:rsid w:val="00606E9B"/>
    <w:rsid w:val="00610215"/>
    <w:rsid w:val="006161E0"/>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1349"/>
    <w:rsid w:val="006532F1"/>
    <w:rsid w:val="006543F5"/>
    <w:rsid w:val="0065463F"/>
    <w:rsid w:val="006600C8"/>
    <w:rsid w:val="00662B9B"/>
    <w:rsid w:val="00663424"/>
    <w:rsid w:val="00667837"/>
    <w:rsid w:val="006679C7"/>
    <w:rsid w:val="00670BD0"/>
    <w:rsid w:val="00672E43"/>
    <w:rsid w:val="00681211"/>
    <w:rsid w:val="00691CEF"/>
    <w:rsid w:val="0069292C"/>
    <w:rsid w:val="00692C55"/>
    <w:rsid w:val="00693905"/>
    <w:rsid w:val="006952F8"/>
    <w:rsid w:val="00697347"/>
    <w:rsid w:val="0069772A"/>
    <w:rsid w:val="006A18F2"/>
    <w:rsid w:val="006A19FE"/>
    <w:rsid w:val="006A1EA8"/>
    <w:rsid w:val="006A2184"/>
    <w:rsid w:val="006A409D"/>
    <w:rsid w:val="006A6FB5"/>
    <w:rsid w:val="006A73A5"/>
    <w:rsid w:val="006B0C3E"/>
    <w:rsid w:val="006B3EF4"/>
    <w:rsid w:val="006B442D"/>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733F"/>
    <w:rsid w:val="00711001"/>
    <w:rsid w:val="00712749"/>
    <w:rsid w:val="00713973"/>
    <w:rsid w:val="00714EE7"/>
    <w:rsid w:val="007175CF"/>
    <w:rsid w:val="00720AF2"/>
    <w:rsid w:val="007216F4"/>
    <w:rsid w:val="00721F55"/>
    <w:rsid w:val="00722AC7"/>
    <w:rsid w:val="007233D8"/>
    <w:rsid w:val="00725C72"/>
    <w:rsid w:val="00727FCB"/>
    <w:rsid w:val="00733738"/>
    <w:rsid w:val="0073443C"/>
    <w:rsid w:val="00736FBB"/>
    <w:rsid w:val="0074323D"/>
    <w:rsid w:val="00745125"/>
    <w:rsid w:val="00745220"/>
    <w:rsid w:val="007454C2"/>
    <w:rsid w:val="00747A6E"/>
    <w:rsid w:val="007552E9"/>
    <w:rsid w:val="00757367"/>
    <w:rsid w:val="00761A2C"/>
    <w:rsid w:val="00761FBA"/>
    <w:rsid w:val="007639AE"/>
    <w:rsid w:val="00763AA6"/>
    <w:rsid w:val="007654A6"/>
    <w:rsid w:val="00766CFA"/>
    <w:rsid w:val="0076703C"/>
    <w:rsid w:val="00767E0E"/>
    <w:rsid w:val="00767E29"/>
    <w:rsid w:val="00776249"/>
    <w:rsid w:val="007777A6"/>
    <w:rsid w:val="00777B5A"/>
    <w:rsid w:val="007802CC"/>
    <w:rsid w:val="00784386"/>
    <w:rsid w:val="00787CC8"/>
    <w:rsid w:val="00787F23"/>
    <w:rsid w:val="00793B67"/>
    <w:rsid w:val="00796B04"/>
    <w:rsid w:val="0079784B"/>
    <w:rsid w:val="00797D8D"/>
    <w:rsid w:val="007A1F9C"/>
    <w:rsid w:val="007A4E30"/>
    <w:rsid w:val="007A517B"/>
    <w:rsid w:val="007A52A9"/>
    <w:rsid w:val="007A60A1"/>
    <w:rsid w:val="007B2F18"/>
    <w:rsid w:val="007B43B1"/>
    <w:rsid w:val="007B476B"/>
    <w:rsid w:val="007B67BC"/>
    <w:rsid w:val="007C4225"/>
    <w:rsid w:val="007C7321"/>
    <w:rsid w:val="007D037B"/>
    <w:rsid w:val="007D0F98"/>
    <w:rsid w:val="007D2601"/>
    <w:rsid w:val="007D3F47"/>
    <w:rsid w:val="007D618A"/>
    <w:rsid w:val="007D6A6D"/>
    <w:rsid w:val="007D6B1F"/>
    <w:rsid w:val="007D6FDC"/>
    <w:rsid w:val="007E017E"/>
    <w:rsid w:val="007E16F6"/>
    <w:rsid w:val="007E5B44"/>
    <w:rsid w:val="007E6425"/>
    <w:rsid w:val="007F1FB8"/>
    <w:rsid w:val="007F2032"/>
    <w:rsid w:val="007F5091"/>
    <w:rsid w:val="007F69DC"/>
    <w:rsid w:val="007F73E0"/>
    <w:rsid w:val="008033D3"/>
    <w:rsid w:val="0080360A"/>
    <w:rsid w:val="00805A27"/>
    <w:rsid w:val="00806173"/>
    <w:rsid w:val="008071D9"/>
    <w:rsid w:val="00812C17"/>
    <w:rsid w:val="00820E8D"/>
    <w:rsid w:val="00820FE8"/>
    <w:rsid w:val="00823723"/>
    <w:rsid w:val="008270FB"/>
    <w:rsid w:val="008274B1"/>
    <w:rsid w:val="00832D74"/>
    <w:rsid w:val="00833732"/>
    <w:rsid w:val="00836A40"/>
    <w:rsid w:val="00843672"/>
    <w:rsid w:val="00845374"/>
    <w:rsid w:val="008459C7"/>
    <w:rsid w:val="008525C3"/>
    <w:rsid w:val="008533D6"/>
    <w:rsid w:val="00853A4C"/>
    <w:rsid w:val="008569AD"/>
    <w:rsid w:val="00857B0D"/>
    <w:rsid w:val="00857E58"/>
    <w:rsid w:val="008613B8"/>
    <w:rsid w:val="0086194C"/>
    <w:rsid w:val="00870A1A"/>
    <w:rsid w:val="00870F2E"/>
    <w:rsid w:val="00871312"/>
    <w:rsid w:val="0087144E"/>
    <w:rsid w:val="00871A7A"/>
    <w:rsid w:val="008768B7"/>
    <w:rsid w:val="00880121"/>
    <w:rsid w:val="00881C2D"/>
    <w:rsid w:val="00883DFE"/>
    <w:rsid w:val="00884693"/>
    <w:rsid w:val="0088659F"/>
    <w:rsid w:val="008923B0"/>
    <w:rsid w:val="0089723D"/>
    <w:rsid w:val="008A39EA"/>
    <w:rsid w:val="008B4455"/>
    <w:rsid w:val="008B4757"/>
    <w:rsid w:val="008C0453"/>
    <w:rsid w:val="008C0F98"/>
    <w:rsid w:val="008C18D9"/>
    <w:rsid w:val="008C21A2"/>
    <w:rsid w:val="008C79B7"/>
    <w:rsid w:val="008D17AC"/>
    <w:rsid w:val="008D2665"/>
    <w:rsid w:val="008D437B"/>
    <w:rsid w:val="008D47AB"/>
    <w:rsid w:val="008D48E7"/>
    <w:rsid w:val="008D4E52"/>
    <w:rsid w:val="008D4E9B"/>
    <w:rsid w:val="008D502B"/>
    <w:rsid w:val="008D5F0B"/>
    <w:rsid w:val="008E4023"/>
    <w:rsid w:val="008E4625"/>
    <w:rsid w:val="008E4754"/>
    <w:rsid w:val="008E4C25"/>
    <w:rsid w:val="008E6051"/>
    <w:rsid w:val="008F232E"/>
    <w:rsid w:val="008F4DA4"/>
    <w:rsid w:val="008F5299"/>
    <w:rsid w:val="00902E96"/>
    <w:rsid w:val="00903950"/>
    <w:rsid w:val="00911627"/>
    <w:rsid w:val="00916227"/>
    <w:rsid w:val="00917CAA"/>
    <w:rsid w:val="009209FE"/>
    <w:rsid w:val="0092221C"/>
    <w:rsid w:val="00923E7E"/>
    <w:rsid w:val="00925406"/>
    <w:rsid w:val="00925B9F"/>
    <w:rsid w:val="00926828"/>
    <w:rsid w:val="009310C3"/>
    <w:rsid w:val="009310D7"/>
    <w:rsid w:val="00935AA4"/>
    <w:rsid w:val="0093782E"/>
    <w:rsid w:val="0095197D"/>
    <w:rsid w:val="00956BEB"/>
    <w:rsid w:val="00957003"/>
    <w:rsid w:val="009607CD"/>
    <w:rsid w:val="00961E62"/>
    <w:rsid w:val="00962A2D"/>
    <w:rsid w:val="0097063E"/>
    <w:rsid w:val="00971128"/>
    <w:rsid w:val="00973BB3"/>
    <w:rsid w:val="00976F1F"/>
    <w:rsid w:val="009778E2"/>
    <w:rsid w:val="009806C3"/>
    <w:rsid w:val="009809FA"/>
    <w:rsid w:val="00981102"/>
    <w:rsid w:val="009815A1"/>
    <w:rsid w:val="009827AC"/>
    <w:rsid w:val="00984229"/>
    <w:rsid w:val="00991460"/>
    <w:rsid w:val="00997967"/>
    <w:rsid w:val="009A1D72"/>
    <w:rsid w:val="009A2304"/>
    <w:rsid w:val="009A2758"/>
    <w:rsid w:val="009A4861"/>
    <w:rsid w:val="009A5154"/>
    <w:rsid w:val="009A6899"/>
    <w:rsid w:val="009A6E33"/>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14DE"/>
    <w:rsid w:val="009C1FAA"/>
    <w:rsid w:val="009C22EC"/>
    <w:rsid w:val="009C30FF"/>
    <w:rsid w:val="009C3737"/>
    <w:rsid w:val="009C5A49"/>
    <w:rsid w:val="009D2DE6"/>
    <w:rsid w:val="009D3E32"/>
    <w:rsid w:val="009D45CF"/>
    <w:rsid w:val="009D594A"/>
    <w:rsid w:val="009D6D4B"/>
    <w:rsid w:val="009E3C65"/>
    <w:rsid w:val="009F265B"/>
    <w:rsid w:val="009F36CC"/>
    <w:rsid w:val="009F44CB"/>
    <w:rsid w:val="009F477A"/>
    <w:rsid w:val="009F6360"/>
    <w:rsid w:val="009F7F7E"/>
    <w:rsid w:val="00A00770"/>
    <w:rsid w:val="00A009D9"/>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434B"/>
    <w:rsid w:val="00A253BA"/>
    <w:rsid w:val="00A2594C"/>
    <w:rsid w:val="00A2626A"/>
    <w:rsid w:val="00A27BB0"/>
    <w:rsid w:val="00A3320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973"/>
    <w:rsid w:val="00A5661C"/>
    <w:rsid w:val="00A57841"/>
    <w:rsid w:val="00A615AF"/>
    <w:rsid w:val="00A651E7"/>
    <w:rsid w:val="00A665E7"/>
    <w:rsid w:val="00A676D6"/>
    <w:rsid w:val="00A705DB"/>
    <w:rsid w:val="00A71EBB"/>
    <w:rsid w:val="00A731FB"/>
    <w:rsid w:val="00A74341"/>
    <w:rsid w:val="00A75680"/>
    <w:rsid w:val="00A779FF"/>
    <w:rsid w:val="00A80067"/>
    <w:rsid w:val="00A80EF3"/>
    <w:rsid w:val="00A8300B"/>
    <w:rsid w:val="00A85096"/>
    <w:rsid w:val="00A8787F"/>
    <w:rsid w:val="00A91AA4"/>
    <w:rsid w:val="00A97879"/>
    <w:rsid w:val="00AB4238"/>
    <w:rsid w:val="00AB4C92"/>
    <w:rsid w:val="00AC09B7"/>
    <w:rsid w:val="00AC11B9"/>
    <w:rsid w:val="00AC6C12"/>
    <w:rsid w:val="00AC7E78"/>
    <w:rsid w:val="00AD4E30"/>
    <w:rsid w:val="00AD5626"/>
    <w:rsid w:val="00AD61C2"/>
    <w:rsid w:val="00AD7209"/>
    <w:rsid w:val="00AE1B1F"/>
    <w:rsid w:val="00AE5DBE"/>
    <w:rsid w:val="00AF0C3F"/>
    <w:rsid w:val="00AF428F"/>
    <w:rsid w:val="00AF4CF8"/>
    <w:rsid w:val="00AF68BF"/>
    <w:rsid w:val="00AF72F4"/>
    <w:rsid w:val="00B0255A"/>
    <w:rsid w:val="00B07CE8"/>
    <w:rsid w:val="00B10233"/>
    <w:rsid w:val="00B1068B"/>
    <w:rsid w:val="00B10AEC"/>
    <w:rsid w:val="00B1174F"/>
    <w:rsid w:val="00B139D2"/>
    <w:rsid w:val="00B13EEF"/>
    <w:rsid w:val="00B22FE6"/>
    <w:rsid w:val="00B24EA2"/>
    <w:rsid w:val="00B258D4"/>
    <w:rsid w:val="00B26023"/>
    <w:rsid w:val="00B26FD1"/>
    <w:rsid w:val="00B33B77"/>
    <w:rsid w:val="00B37B99"/>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92A48"/>
    <w:rsid w:val="00BA0616"/>
    <w:rsid w:val="00BA0BD7"/>
    <w:rsid w:val="00BA22B9"/>
    <w:rsid w:val="00BB2486"/>
    <w:rsid w:val="00BB2847"/>
    <w:rsid w:val="00BB5729"/>
    <w:rsid w:val="00BB76D4"/>
    <w:rsid w:val="00BC0358"/>
    <w:rsid w:val="00BC297F"/>
    <w:rsid w:val="00BC3C16"/>
    <w:rsid w:val="00BC4B87"/>
    <w:rsid w:val="00BC526C"/>
    <w:rsid w:val="00BC5598"/>
    <w:rsid w:val="00BD1023"/>
    <w:rsid w:val="00BD1D05"/>
    <w:rsid w:val="00BD3F10"/>
    <w:rsid w:val="00BE38FF"/>
    <w:rsid w:val="00BF06A0"/>
    <w:rsid w:val="00BF0791"/>
    <w:rsid w:val="00BF0BD1"/>
    <w:rsid w:val="00BF0DB4"/>
    <w:rsid w:val="00BF2D73"/>
    <w:rsid w:val="00BF30EA"/>
    <w:rsid w:val="00C022E1"/>
    <w:rsid w:val="00C02E21"/>
    <w:rsid w:val="00C03FC4"/>
    <w:rsid w:val="00C06DB8"/>
    <w:rsid w:val="00C075A6"/>
    <w:rsid w:val="00C11C3D"/>
    <w:rsid w:val="00C13055"/>
    <w:rsid w:val="00C15C9F"/>
    <w:rsid w:val="00C15D8E"/>
    <w:rsid w:val="00C20F1B"/>
    <w:rsid w:val="00C2256A"/>
    <w:rsid w:val="00C257EF"/>
    <w:rsid w:val="00C264E1"/>
    <w:rsid w:val="00C276C6"/>
    <w:rsid w:val="00C3047A"/>
    <w:rsid w:val="00C31019"/>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516"/>
    <w:rsid w:val="00C61E9B"/>
    <w:rsid w:val="00C64837"/>
    <w:rsid w:val="00C64ABE"/>
    <w:rsid w:val="00C6757D"/>
    <w:rsid w:val="00C7080F"/>
    <w:rsid w:val="00C73020"/>
    <w:rsid w:val="00C74F12"/>
    <w:rsid w:val="00C81EAE"/>
    <w:rsid w:val="00C82937"/>
    <w:rsid w:val="00C82B02"/>
    <w:rsid w:val="00C82F66"/>
    <w:rsid w:val="00C8638D"/>
    <w:rsid w:val="00C901CA"/>
    <w:rsid w:val="00C94C3C"/>
    <w:rsid w:val="00CA3343"/>
    <w:rsid w:val="00CB00FC"/>
    <w:rsid w:val="00CB06D5"/>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F00E4"/>
    <w:rsid w:val="00CF7837"/>
    <w:rsid w:val="00D026D2"/>
    <w:rsid w:val="00D03E3E"/>
    <w:rsid w:val="00D0525E"/>
    <w:rsid w:val="00D06AA3"/>
    <w:rsid w:val="00D1091E"/>
    <w:rsid w:val="00D125DA"/>
    <w:rsid w:val="00D1379E"/>
    <w:rsid w:val="00D1510E"/>
    <w:rsid w:val="00D15668"/>
    <w:rsid w:val="00D15801"/>
    <w:rsid w:val="00D15982"/>
    <w:rsid w:val="00D21CCD"/>
    <w:rsid w:val="00D22362"/>
    <w:rsid w:val="00D24796"/>
    <w:rsid w:val="00D26B87"/>
    <w:rsid w:val="00D30CF8"/>
    <w:rsid w:val="00D3192F"/>
    <w:rsid w:val="00D31ABE"/>
    <w:rsid w:val="00D32BD8"/>
    <w:rsid w:val="00D357A3"/>
    <w:rsid w:val="00D36452"/>
    <w:rsid w:val="00D41249"/>
    <w:rsid w:val="00D45585"/>
    <w:rsid w:val="00D46546"/>
    <w:rsid w:val="00D46C2A"/>
    <w:rsid w:val="00D47D74"/>
    <w:rsid w:val="00D518CD"/>
    <w:rsid w:val="00D64A2E"/>
    <w:rsid w:val="00D66213"/>
    <w:rsid w:val="00D66E49"/>
    <w:rsid w:val="00D6701C"/>
    <w:rsid w:val="00D67171"/>
    <w:rsid w:val="00D70915"/>
    <w:rsid w:val="00D72C95"/>
    <w:rsid w:val="00D73163"/>
    <w:rsid w:val="00D77222"/>
    <w:rsid w:val="00D77BCF"/>
    <w:rsid w:val="00D80EC9"/>
    <w:rsid w:val="00D8134C"/>
    <w:rsid w:val="00D860E1"/>
    <w:rsid w:val="00D9011C"/>
    <w:rsid w:val="00D9269D"/>
    <w:rsid w:val="00D93771"/>
    <w:rsid w:val="00D95183"/>
    <w:rsid w:val="00D951C4"/>
    <w:rsid w:val="00D9532C"/>
    <w:rsid w:val="00D96A6A"/>
    <w:rsid w:val="00DA1DB7"/>
    <w:rsid w:val="00DA4D60"/>
    <w:rsid w:val="00DA50D7"/>
    <w:rsid w:val="00DA57E9"/>
    <w:rsid w:val="00DA6EC2"/>
    <w:rsid w:val="00DB2AAB"/>
    <w:rsid w:val="00DB5942"/>
    <w:rsid w:val="00DB7E09"/>
    <w:rsid w:val="00DC0769"/>
    <w:rsid w:val="00DC11D4"/>
    <w:rsid w:val="00DC6E77"/>
    <w:rsid w:val="00DD07D1"/>
    <w:rsid w:val="00DD2C59"/>
    <w:rsid w:val="00DD3772"/>
    <w:rsid w:val="00DD4DB5"/>
    <w:rsid w:val="00DD7CFC"/>
    <w:rsid w:val="00DE2A8E"/>
    <w:rsid w:val="00DE34D3"/>
    <w:rsid w:val="00DE7C8D"/>
    <w:rsid w:val="00DF1714"/>
    <w:rsid w:val="00E00588"/>
    <w:rsid w:val="00E01C3D"/>
    <w:rsid w:val="00E01E90"/>
    <w:rsid w:val="00E027B4"/>
    <w:rsid w:val="00E046A4"/>
    <w:rsid w:val="00E06C36"/>
    <w:rsid w:val="00E15521"/>
    <w:rsid w:val="00E161C9"/>
    <w:rsid w:val="00E1705B"/>
    <w:rsid w:val="00E2171F"/>
    <w:rsid w:val="00E2198B"/>
    <w:rsid w:val="00E238C9"/>
    <w:rsid w:val="00E238F1"/>
    <w:rsid w:val="00E23B34"/>
    <w:rsid w:val="00E27683"/>
    <w:rsid w:val="00E43F44"/>
    <w:rsid w:val="00E442AD"/>
    <w:rsid w:val="00E45845"/>
    <w:rsid w:val="00E467CB"/>
    <w:rsid w:val="00E5359C"/>
    <w:rsid w:val="00E53BFE"/>
    <w:rsid w:val="00E55BC6"/>
    <w:rsid w:val="00E604E6"/>
    <w:rsid w:val="00E63623"/>
    <w:rsid w:val="00E63F20"/>
    <w:rsid w:val="00E64AD6"/>
    <w:rsid w:val="00E657AC"/>
    <w:rsid w:val="00E66FE4"/>
    <w:rsid w:val="00E6750B"/>
    <w:rsid w:val="00E72862"/>
    <w:rsid w:val="00E83386"/>
    <w:rsid w:val="00E86B94"/>
    <w:rsid w:val="00E86EF4"/>
    <w:rsid w:val="00E87814"/>
    <w:rsid w:val="00E9118C"/>
    <w:rsid w:val="00E91760"/>
    <w:rsid w:val="00E91F65"/>
    <w:rsid w:val="00E94267"/>
    <w:rsid w:val="00E95302"/>
    <w:rsid w:val="00E96AFC"/>
    <w:rsid w:val="00EA45F1"/>
    <w:rsid w:val="00EA78DF"/>
    <w:rsid w:val="00EA7C50"/>
    <w:rsid w:val="00EB55D9"/>
    <w:rsid w:val="00EC5A74"/>
    <w:rsid w:val="00EC5D83"/>
    <w:rsid w:val="00EC6170"/>
    <w:rsid w:val="00EC6175"/>
    <w:rsid w:val="00ED0041"/>
    <w:rsid w:val="00ED15BF"/>
    <w:rsid w:val="00ED2218"/>
    <w:rsid w:val="00ED44ED"/>
    <w:rsid w:val="00EE228B"/>
    <w:rsid w:val="00EE3BEC"/>
    <w:rsid w:val="00EE5832"/>
    <w:rsid w:val="00EF1564"/>
    <w:rsid w:val="00EF1C49"/>
    <w:rsid w:val="00EF30F6"/>
    <w:rsid w:val="00F017DE"/>
    <w:rsid w:val="00F01D76"/>
    <w:rsid w:val="00F03A46"/>
    <w:rsid w:val="00F051DA"/>
    <w:rsid w:val="00F072DA"/>
    <w:rsid w:val="00F074EC"/>
    <w:rsid w:val="00F07A8D"/>
    <w:rsid w:val="00F10E86"/>
    <w:rsid w:val="00F16B86"/>
    <w:rsid w:val="00F20518"/>
    <w:rsid w:val="00F21331"/>
    <w:rsid w:val="00F23717"/>
    <w:rsid w:val="00F24877"/>
    <w:rsid w:val="00F24CF5"/>
    <w:rsid w:val="00F26ACE"/>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730A"/>
    <w:rsid w:val="00F803ED"/>
    <w:rsid w:val="00F82601"/>
    <w:rsid w:val="00F83B5E"/>
    <w:rsid w:val="00F9055B"/>
    <w:rsid w:val="00F93499"/>
    <w:rsid w:val="00F93D97"/>
    <w:rsid w:val="00F94A0F"/>
    <w:rsid w:val="00F96FE2"/>
    <w:rsid w:val="00F97499"/>
    <w:rsid w:val="00FA1520"/>
    <w:rsid w:val="00FA197E"/>
    <w:rsid w:val="00FA219F"/>
    <w:rsid w:val="00FA4DB4"/>
    <w:rsid w:val="00FA4E00"/>
    <w:rsid w:val="00FA7803"/>
    <w:rsid w:val="00FB29EA"/>
    <w:rsid w:val="00FB409C"/>
    <w:rsid w:val="00FB44B9"/>
    <w:rsid w:val="00FB4812"/>
    <w:rsid w:val="00FB6144"/>
    <w:rsid w:val="00FC1DEE"/>
    <w:rsid w:val="00FC20DF"/>
    <w:rsid w:val="00FC3859"/>
    <w:rsid w:val="00FC4E94"/>
    <w:rsid w:val="00FE204B"/>
    <w:rsid w:val="00FE2813"/>
    <w:rsid w:val="00FE2D7D"/>
    <w:rsid w:val="00FE401D"/>
    <w:rsid w:val="00FF0643"/>
    <w:rsid w:val="00FF17C2"/>
    <w:rsid w:val="00FF1A99"/>
    <w:rsid w:val="00FF2B4F"/>
    <w:rsid w:val="00FF4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5:docId w15:val="{0458E38E-A582-4898-9647-B465E035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304"/>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uiPriority w:val="99"/>
    <w:qFormat/>
    <w:rsid w:val="006176F8"/>
    <w:rPr>
      <w:vertAlign w:val="superscript"/>
    </w:rPr>
  </w:style>
  <w:style w:type="paragraph" w:styleId="BodyText">
    <w:name w:val="Body Text"/>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99"/>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character" w:customStyle="1" w:styleId="TitleChar">
    <w:name w:val="Title Char"/>
    <w:basedOn w:val="DefaultParagraphFont"/>
    <w:link w:val="Title"/>
    <w:rsid w:val="00357BB1"/>
    <w:rPr>
      <w:b/>
      <w:bCs/>
      <w:sz w:val="24"/>
    </w:rPr>
  </w:style>
  <w:style w:type="paragraph" w:customStyle="1" w:styleId="ModelNrmlSingle">
    <w:name w:val="ModelNrmlSingle"/>
    <w:basedOn w:val="Normal"/>
    <w:link w:val="ModelNrmlSingleChar"/>
    <w:rsid w:val="00357BB1"/>
    <w:pPr>
      <w:spacing w:after="240" w:line="240" w:lineRule="auto"/>
      <w:ind w:firstLine="720"/>
      <w:jc w:val="both"/>
    </w:pPr>
    <w:rPr>
      <w:sz w:val="22"/>
    </w:rPr>
  </w:style>
  <w:style w:type="paragraph" w:customStyle="1" w:styleId="Default">
    <w:name w:val="Default"/>
    <w:rsid w:val="00357BB1"/>
    <w:pPr>
      <w:autoSpaceDE w:val="0"/>
      <w:autoSpaceDN w:val="0"/>
      <w:adjustRightInd w:val="0"/>
    </w:pPr>
    <w:rPr>
      <w:color w:val="000000"/>
      <w:sz w:val="24"/>
      <w:szCs w:val="24"/>
    </w:rPr>
  </w:style>
  <w:style w:type="character" w:customStyle="1" w:styleId="ModelNrmlDoubleChar">
    <w:name w:val="ModelNrmlDouble Char"/>
    <w:basedOn w:val="DefaultParagraphFont"/>
    <w:link w:val="ModelNrmlDouble"/>
    <w:rsid w:val="00357BB1"/>
    <w:rPr>
      <w:sz w:val="22"/>
    </w:rPr>
  </w:style>
  <w:style w:type="character" w:customStyle="1" w:styleId="Style1">
    <w:name w:val="Style1"/>
    <w:basedOn w:val="DefaultParagraphFont"/>
    <w:uiPriority w:val="1"/>
    <w:rsid w:val="00357BB1"/>
    <w:rPr>
      <w:color w:val="FFFFFF" w:themeColor="background1"/>
    </w:rPr>
  </w:style>
  <w:style w:type="character" w:customStyle="1" w:styleId="ModelNrmlSingleChar">
    <w:name w:val="ModelNrmlSingle Char"/>
    <w:link w:val="ModelNrmlSingle"/>
    <w:rsid w:val="00357BB1"/>
    <w:rPr>
      <w:sz w:val="22"/>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357BB1"/>
    <w:pPr>
      <w:spacing w:after="160" w:line="240" w:lineRule="exact"/>
      <w:jc w:val="both"/>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binet@mfin.gov.r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olicies.worldbank.org"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fc.org/ehsguidelin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29A1EC493C641E4B3E94909CF28268E"/>
        <w:category>
          <w:name w:val="General"/>
          <w:gallery w:val="placeholder"/>
        </w:category>
        <w:types>
          <w:type w:val="bbPlcHdr"/>
        </w:types>
        <w:behaviors>
          <w:behavior w:val="content"/>
        </w:behaviors>
        <w:guid w:val="{FF1DE0D6-5437-4566-B413-2A16B7E5DA19}"/>
      </w:docPartPr>
      <w:docPartBody>
        <w:p w:rsidR="004A1AA3" w:rsidRDefault="00FF6B15" w:rsidP="00FF6B15">
          <w:pPr>
            <w:pStyle w:val="029A1EC493C641E4B3E94909CF28268E"/>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B15"/>
    <w:rsid w:val="000F395F"/>
    <w:rsid w:val="004A1AA3"/>
    <w:rsid w:val="00CD0948"/>
    <w:rsid w:val="00FF6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6B15"/>
    <w:rPr>
      <w:color w:val="808080"/>
    </w:rPr>
  </w:style>
  <w:style w:type="paragraph" w:customStyle="1" w:styleId="029A1EC493C641E4B3E94909CF28268E">
    <w:name w:val="029A1EC493C641E4B3E94909CF28268E"/>
    <w:rsid w:val="00FF6B15"/>
  </w:style>
  <w:style w:type="paragraph" w:customStyle="1" w:styleId="E3F9C80DC43B4C0E9D4BF12AA540544D">
    <w:name w:val="E3F9C80DC43B4C0E9D4BF12AA540544D"/>
    <w:rsid w:val="00FF6B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2.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83C104EE-598A-4B66-95C8-5F749DF454B1}">
  <ds:schemaRefs>
    <ds:schemaRef ds:uri="http://schemas.openxmlformats.org/officeDocument/2006/bibliography"/>
  </ds:schemaRefs>
</ds:datastoreItem>
</file>

<file path=customXml/itemProps5.xml><?xml version="1.0" encoding="utf-8"?>
<ds:datastoreItem xmlns:ds="http://schemas.openxmlformats.org/officeDocument/2006/customXml" ds:itemID="{C8D88E17-A9B7-4320-B1AF-812E2D5A3C6E}">
  <ds:schemaRefs>
    <ds:schemaRef ds:uri="http://schemas.openxmlformats.org/officeDocument/2006/bibliography"/>
  </ds:schemaRefs>
</ds:datastoreItem>
</file>

<file path=customXml/itemProps6.xml><?xml version="1.0" encoding="utf-8"?>
<ds:datastoreItem xmlns:ds="http://schemas.openxmlformats.org/officeDocument/2006/customXml" ds:itemID="{F59E0FCC-5F80-4B07-9D1F-75A94149E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3860</Words>
  <Characters>22008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25817</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Bojan Grgic</cp:lastModifiedBy>
  <cp:revision>2</cp:revision>
  <cp:lastPrinted>2014-05-12T17:17:00Z</cp:lastPrinted>
  <dcterms:created xsi:type="dcterms:W3CDTF">2019-05-10T14:35:00Z</dcterms:created>
  <dcterms:modified xsi:type="dcterms:W3CDTF">2019-05-10T14:35:00Z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