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D76" w:rsidRPr="00EB3E75" w:rsidRDefault="00AF7D76" w:rsidP="00A37D3D">
      <w:pPr>
        <w:ind w:left="-720" w:firstLine="720"/>
        <w:jc w:val="center"/>
        <w:rPr>
          <w:lang w:val="sr-Cyrl-RS"/>
        </w:rPr>
      </w:pPr>
      <w:bookmarkStart w:id="0" w:name="_GoBack"/>
      <w:bookmarkEnd w:id="0"/>
    </w:p>
    <w:p w:rsidR="006961E3" w:rsidRPr="005038A0" w:rsidRDefault="006961E3" w:rsidP="00A37D3D">
      <w:pPr>
        <w:ind w:left="-720" w:firstLine="720"/>
        <w:jc w:val="center"/>
        <w:rPr>
          <w:lang w:val="sr-Cyrl-CS"/>
        </w:rPr>
      </w:pPr>
      <w:r w:rsidRPr="005038A0">
        <w:rPr>
          <w:lang w:val="sr-Cyrl-CS"/>
        </w:rPr>
        <w:t>О Б Р А З Л О Ж Е Њ Е</w:t>
      </w:r>
    </w:p>
    <w:p w:rsidR="00113ACC" w:rsidRPr="005038A0" w:rsidRDefault="00113ACC" w:rsidP="00A37D3D">
      <w:pPr>
        <w:ind w:left="-720" w:firstLine="720"/>
        <w:jc w:val="center"/>
        <w:rPr>
          <w:lang w:val="sr-Cyrl-CS"/>
        </w:rPr>
      </w:pPr>
    </w:p>
    <w:p w:rsidR="00FC1322" w:rsidRPr="005038A0" w:rsidRDefault="00FC1322" w:rsidP="00A37D3D">
      <w:pPr>
        <w:ind w:left="-720" w:firstLine="720"/>
        <w:jc w:val="center"/>
        <w:rPr>
          <w:lang w:val="sr-Cyrl-CS"/>
        </w:rPr>
      </w:pPr>
    </w:p>
    <w:p w:rsidR="006961E3" w:rsidRPr="005038A0" w:rsidRDefault="006961E3" w:rsidP="00A37D3D">
      <w:pPr>
        <w:rPr>
          <w:bCs/>
          <w:lang w:val="ru-RU"/>
        </w:rPr>
      </w:pPr>
      <w:r w:rsidRPr="005038A0">
        <w:rPr>
          <w:bCs/>
          <w:lang w:val="sr-Cyrl-CS"/>
        </w:rPr>
        <w:t xml:space="preserve"> </w:t>
      </w:r>
      <w:r w:rsidRPr="005038A0">
        <w:rPr>
          <w:bCs/>
          <w:lang w:val="sr-Cyrl-CS"/>
        </w:rPr>
        <w:tab/>
        <w:t xml:space="preserve">I. УСТАВНИ </w:t>
      </w:r>
      <w:r w:rsidRPr="005038A0">
        <w:rPr>
          <w:bCs/>
          <w:lang w:val="ru-RU"/>
        </w:rPr>
        <w:t>ОСНОВ ЗА ДОНОШЕЊЕ ЗАКОНА</w:t>
      </w:r>
    </w:p>
    <w:p w:rsidR="006961E3" w:rsidRPr="005038A0" w:rsidRDefault="006961E3" w:rsidP="00A37D3D">
      <w:pPr>
        <w:rPr>
          <w:bCs/>
          <w:lang w:val="ru-RU"/>
        </w:rPr>
      </w:pPr>
    </w:p>
    <w:p w:rsidR="0040226C" w:rsidRPr="005038A0" w:rsidRDefault="006961E3" w:rsidP="00A37D3D">
      <w:pPr>
        <w:jc w:val="both"/>
        <w:rPr>
          <w:lang w:val="ru-RU"/>
        </w:rPr>
      </w:pPr>
      <w:r w:rsidRPr="005038A0">
        <w:rPr>
          <w:lang w:val="ru-RU"/>
        </w:rPr>
        <w:t xml:space="preserve"> </w:t>
      </w:r>
      <w:r w:rsidRPr="005038A0">
        <w:rPr>
          <w:lang w:val="ru-RU"/>
        </w:rPr>
        <w:tab/>
      </w:r>
      <w:r w:rsidR="0040226C" w:rsidRPr="005038A0">
        <w:rPr>
          <w:lang w:val="ru-RU"/>
        </w:rPr>
        <w:t xml:space="preserve">Уставни основ за доношење овог закона садржан је у одредби члана 99. </w:t>
      </w:r>
      <w:r w:rsidR="0040226C" w:rsidRPr="005038A0">
        <w:rPr>
          <w:lang w:val="sr-Cyrl-CS"/>
        </w:rPr>
        <w:t xml:space="preserve">став 1. </w:t>
      </w:r>
      <w:r w:rsidR="0040226C" w:rsidRPr="005038A0">
        <w:rPr>
          <w:lang w:val="ru-RU"/>
        </w:rPr>
        <w:t>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</w:t>
      </w:r>
      <w:r w:rsidR="00AC23DB" w:rsidRPr="005038A0">
        <w:rPr>
          <w:lang w:val="ru-RU"/>
        </w:rPr>
        <w:t xml:space="preserve"> </w:t>
      </w:r>
    </w:p>
    <w:p w:rsidR="006961E3" w:rsidRPr="005038A0" w:rsidRDefault="0040226C" w:rsidP="00A37D3D">
      <w:pPr>
        <w:jc w:val="both"/>
        <w:rPr>
          <w:lang w:val="sr-Cyrl-CS"/>
        </w:rPr>
      </w:pPr>
      <w:r w:rsidRPr="005038A0">
        <w:rPr>
          <w:lang w:val="sr-Cyrl-CS"/>
        </w:rPr>
        <w:t xml:space="preserve"> </w:t>
      </w:r>
    </w:p>
    <w:p w:rsidR="006961E3" w:rsidRPr="005038A0" w:rsidRDefault="006961E3" w:rsidP="00A37D3D">
      <w:pPr>
        <w:ind w:firstLine="720"/>
        <w:jc w:val="both"/>
      </w:pPr>
      <w:r w:rsidRPr="005038A0">
        <w:rPr>
          <w:bCs/>
          <w:lang w:val="sr-Cyrl-CS"/>
        </w:rPr>
        <w:t xml:space="preserve"> </w:t>
      </w:r>
      <w:r w:rsidRPr="005038A0">
        <w:rPr>
          <w:bCs/>
        </w:rPr>
        <w:t>II</w:t>
      </w:r>
      <w:r w:rsidRPr="005038A0">
        <w:rPr>
          <w:bCs/>
          <w:lang w:val="sr-Cyrl-CS"/>
        </w:rPr>
        <w:t xml:space="preserve">. РАЗЛОЗИ ЗА </w:t>
      </w:r>
      <w:r w:rsidR="0069359B" w:rsidRPr="005038A0">
        <w:rPr>
          <w:bCs/>
          <w:lang w:val="sr-Cyrl-CS"/>
        </w:rPr>
        <w:t>ПОТВРЂИВАЊЕ</w:t>
      </w:r>
      <w:r w:rsidR="00E8335C" w:rsidRPr="005038A0">
        <w:rPr>
          <w:bCs/>
        </w:rPr>
        <w:t xml:space="preserve"> УГОВОРА</w:t>
      </w:r>
    </w:p>
    <w:p w:rsidR="006961E3" w:rsidRPr="005038A0" w:rsidRDefault="006961E3" w:rsidP="00A37D3D">
      <w:pPr>
        <w:rPr>
          <w:bCs/>
          <w:lang w:val="sr-Cyrl-CS"/>
        </w:rPr>
      </w:pPr>
    </w:p>
    <w:p w:rsidR="00E80D89" w:rsidRPr="005038A0" w:rsidRDefault="00E80D89" w:rsidP="00A37D3D">
      <w:pPr>
        <w:ind w:firstLine="708"/>
        <w:jc w:val="both"/>
        <w:rPr>
          <w:lang w:val="sr-Cyrl-CS"/>
        </w:rPr>
      </w:pPr>
      <w:r w:rsidRPr="005038A0">
        <w:rPr>
          <w:lang w:val="sr-Cyrl-CS"/>
        </w:rPr>
        <w:t xml:space="preserve">Разлози за </w:t>
      </w:r>
      <w:r w:rsidR="00E8335C" w:rsidRPr="005038A0">
        <w:rPr>
          <w:lang w:val="sr-Cyrl-CS"/>
        </w:rPr>
        <w:t>потврђивање</w:t>
      </w:r>
      <w:r w:rsidRPr="005038A0">
        <w:rPr>
          <w:lang w:val="sr-Cyrl-CS"/>
        </w:rPr>
        <w:t xml:space="preserve"> </w:t>
      </w:r>
      <w:r w:rsidR="007F567F">
        <w:rPr>
          <w:lang w:val="sr-Cyrl-CS"/>
        </w:rPr>
        <w:t>С</w:t>
      </w:r>
      <w:r w:rsidR="007F567F" w:rsidRPr="007F567F">
        <w:rPr>
          <w:lang w:val="sr-Cyrl-CS"/>
        </w:rPr>
        <w:t>поразума о зајму (Пројекат модернизације пореске администрације) између Републике Србије и Међународне банке за обнову и развој</w:t>
      </w:r>
      <w:r w:rsidR="001417E0" w:rsidRPr="005038A0">
        <w:rPr>
          <w:lang w:val="sr-Cyrl-CS"/>
        </w:rPr>
        <w:t xml:space="preserve"> </w:t>
      </w:r>
      <w:r w:rsidR="00824570" w:rsidRPr="005038A0">
        <w:rPr>
          <w:lang w:val="sr-Cyrl-CS"/>
        </w:rPr>
        <w:t xml:space="preserve">(у даљем тексту: </w:t>
      </w:r>
      <w:r w:rsidR="007F567F">
        <w:rPr>
          <w:lang w:val="sr-Cyrl-CS"/>
        </w:rPr>
        <w:t>Споразум о зајму</w:t>
      </w:r>
      <w:r w:rsidR="00824570" w:rsidRPr="005038A0">
        <w:rPr>
          <w:lang w:val="sr-Cyrl-CS"/>
        </w:rPr>
        <w:t>)</w:t>
      </w:r>
      <w:r w:rsidR="00356442" w:rsidRPr="005038A0">
        <w:rPr>
          <w:lang w:val="sr-Cyrl-CS"/>
        </w:rPr>
        <w:t>,</w:t>
      </w:r>
      <w:r w:rsidRPr="005038A0">
        <w:rPr>
          <w:lang w:val="sr-Cyrl-CS"/>
        </w:rPr>
        <w:t xml:space="preserve"> садржани су у одредби члана </w:t>
      </w:r>
      <w:r w:rsidRPr="005038A0">
        <w:rPr>
          <w:lang w:val="ru-RU"/>
        </w:rPr>
        <w:t>5</w:t>
      </w:r>
      <w:r w:rsidRPr="005038A0">
        <w:rPr>
          <w:lang w:val="sr-Cyrl-CS"/>
        </w:rPr>
        <w:t>. став 2. Закона о јавном дугу („Службени гласник РС”,</w:t>
      </w:r>
      <w:r w:rsidR="00356442" w:rsidRPr="005038A0">
        <w:rPr>
          <w:lang w:val="sr-Cyrl-CS"/>
        </w:rPr>
        <w:t xml:space="preserve"> </w:t>
      </w:r>
      <w:r w:rsidRPr="005038A0">
        <w:rPr>
          <w:lang w:val="sr-Cyrl-CS"/>
        </w:rPr>
        <w:t xml:space="preserve">бр. </w:t>
      </w:r>
      <w:r w:rsidR="00F56DA4" w:rsidRPr="005038A0">
        <w:rPr>
          <w:lang w:val="sr-Cyrl-CS"/>
        </w:rPr>
        <w:t>61/05, 107/09, 78/11</w:t>
      </w:r>
      <w:r w:rsidR="00783C06">
        <w:rPr>
          <w:lang w:val="sr-Cyrl-CS"/>
        </w:rPr>
        <w:t>,</w:t>
      </w:r>
      <w:r w:rsidR="00F56DA4" w:rsidRPr="005038A0">
        <w:rPr>
          <w:lang w:val="sr-Cyrl-CS"/>
        </w:rPr>
        <w:t xml:space="preserve"> 68/15</w:t>
      </w:r>
      <w:r w:rsidR="00783C06">
        <w:rPr>
          <w:lang w:val="sr-Cyrl-CS"/>
        </w:rPr>
        <w:t xml:space="preserve"> и 95/18</w:t>
      </w:r>
      <w:r w:rsidR="00F56DA4" w:rsidRPr="005038A0">
        <w:rPr>
          <w:lang w:val="sr-Cyrl-CS"/>
        </w:rPr>
        <w:t>)</w:t>
      </w:r>
      <w:r w:rsidR="00BE5DE1" w:rsidRPr="005038A0">
        <w:rPr>
          <w:lang w:val="sr-Cyrl-CS"/>
        </w:rPr>
        <w:t>,</w:t>
      </w:r>
      <w:r w:rsidRPr="005038A0">
        <w:rPr>
          <w:lang w:val="sr-Cyrl-CS"/>
        </w:rPr>
        <w:t xml:space="preserve"> према којој Народна скупштина Републике Србије одлучује о задуживању Републике Србије</w:t>
      </w:r>
      <w:r w:rsidR="0038219E" w:rsidRPr="005038A0">
        <w:rPr>
          <w:lang w:val="sr-Cyrl-CS"/>
        </w:rPr>
        <w:t xml:space="preserve"> и одредби члана 14</w:t>
      </w:r>
      <w:r w:rsidRPr="005038A0">
        <w:rPr>
          <w:lang w:val="sr-Cyrl-CS"/>
        </w:rPr>
        <w:t>.</w:t>
      </w:r>
      <w:r w:rsidR="0038219E" w:rsidRPr="005038A0">
        <w:rPr>
          <w:lang w:val="sr-Cyrl-CS"/>
        </w:rPr>
        <w:t xml:space="preserve"> став 1. Закона о закључивању и извршавању међународних уговора („Службени гласник РС</w:t>
      </w:r>
      <w:r w:rsidR="001A3B02" w:rsidRPr="005038A0">
        <w:rPr>
          <w:lang w:val="sr-Cyrl-CS"/>
        </w:rPr>
        <w:t>”</w:t>
      </w:r>
      <w:r w:rsidR="0038219E" w:rsidRPr="005038A0">
        <w:rPr>
          <w:lang w:val="sr-Cyrl-CS"/>
        </w:rPr>
        <w:t>, број 32/13)</w:t>
      </w:r>
      <w:r w:rsidR="00BE5DE1" w:rsidRPr="005038A0">
        <w:rPr>
          <w:lang w:val="sr-Cyrl-CS"/>
        </w:rPr>
        <w:t>,</w:t>
      </w:r>
      <w:r w:rsidR="0082735B" w:rsidRPr="005038A0">
        <w:rPr>
          <w:lang w:val="sr-Cyrl-CS"/>
        </w:rPr>
        <w:t xml:space="preserve"> према којој Народна скупштина, између осталог, потврђује уговоре којима се стварају финансијске обавезе за Републику Србију.</w:t>
      </w:r>
    </w:p>
    <w:p w:rsidR="00AF7D76" w:rsidRPr="0090121C" w:rsidRDefault="001417E0" w:rsidP="001417E0">
      <w:pPr>
        <w:ind w:firstLine="708"/>
        <w:jc w:val="both"/>
        <w:rPr>
          <w:lang w:val="sr-Cyrl-RS"/>
        </w:rPr>
      </w:pPr>
      <w:r w:rsidRPr="005038A0">
        <w:rPr>
          <w:lang w:val="sr-Cyrl-CS"/>
        </w:rPr>
        <w:t>Чланом 3. Закона о буџету Републике Србије за 201</w:t>
      </w:r>
      <w:r w:rsidR="00783C06">
        <w:rPr>
          <w:lang w:val="sr-Cyrl-CS"/>
        </w:rPr>
        <w:t>9</w:t>
      </w:r>
      <w:r w:rsidRPr="005038A0">
        <w:rPr>
          <w:lang w:val="sr-Cyrl-CS"/>
        </w:rPr>
        <w:t xml:space="preserve">. годину („Службени гласник РС”, број </w:t>
      </w:r>
      <w:r w:rsidR="00783C06">
        <w:rPr>
          <w:lang w:val="sr-Cyrl-CS"/>
        </w:rPr>
        <w:t>95/18</w:t>
      </w:r>
      <w:r w:rsidRPr="005038A0">
        <w:rPr>
          <w:lang w:val="sr-Cyrl-CS"/>
        </w:rPr>
        <w:t xml:space="preserve">) предвиђено је задуживање Републике Србије код </w:t>
      </w:r>
      <w:r w:rsidR="007F567F" w:rsidRPr="007F567F">
        <w:rPr>
          <w:lang w:val="sr-Cyrl-CS"/>
        </w:rPr>
        <w:t>Међународне банке за обнову и развој</w:t>
      </w:r>
      <w:r w:rsidRPr="005038A0">
        <w:rPr>
          <w:lang w:val="sr-Cyrl-CS"/>
        </w:rPr>
        <w:t xml:space="preserve"> до износа од </w:t>
      </w:r>
      <w:r w:rsidR="007F567F">
        <w:rPr>
          <w:lang w:val="sr-Cyrl-CS"/>
        </w:rPr>
        <w:t>5</w:t>
      </w:r>
      <w:r w:rsidR="00783C06">
        <w:rPr>
          <w:lang w:val="sr-Cyrl-CS"/>
        </w:rPr>
        <w:t>2</w:t>
      </w:r>
      <w:r w:rsidRPr="005038A0">
        <w:rPr>
          <w:lang w:val="sr-Cyrl-CS"/>
        </w:rPr>
        <w:t xml:space="preserve"> милиона </w:t>
      </w:r>
      <w:r w:rsidR="007F567F">
        <w:rPr>
          <w:lang w:val="sr-Cyrl-CS"/>
        </w:rPr>
        <w:t>америчких долара</w:t>
      </w:r>
      <w:r w:rsidRPr="005038A0">
        <w:rPr>
          <w:lang w:val="sr-Cyrl-CS"/>
        </w:rPr>
        <w:t xml:space="preserve"> за </w:t>
      </w:r>
      <w:r w:rsidR="00690FBF">
        <w:rPr>
          <w:lang w:val="sr-Cyrl-CS"/>
        </w:rPr>
        <w:t xml:space="preserve">финансирање </w:t>
      </w:r>
      <w:r w:rsidR="007F567F">
        <w:rPr>
          <w:lang w:val="sr-Cyrl-CS"/>
        </w:rPr>
        <w:t>Пројек</w:t>
      </w:r>
      <w:r w:rsidR="007F567F" w:rsidRPr="007F567F">
        <w:rPr>
          <w:lang w:val="sr-Cyrl-CS"/>
        </w:rPr>
        <w:t>т</w:t>
      </w:r>
      <w:r w:rsidR="007F567F">
        <w:rPr>
          <w:lang w:val="sr-Cyrl-CS"/>
        </w:rPr>
        <w:t>а</w:t>
      </w:r>
      <w:r w:rsidR="007F567F" w:rsidRPr="007F567F">
        <w:rPr>
          <w:lang w:val="sr-Cyrl-CS"/>
        </w:rPr>
        <w:t xml:space="preserve"> модернизације пореске администрације </w:t>
      </w:r>
      <w:r w:rsidR="00C60AEB" w:rsidRPr="005038A0">
        <w:t>(у даљем тексту: Пројекат)</w:t>
      </w:r>
      <w:r w:rsidR="0090121C">
        <w:rPr>
          <w:lang w:val="sr-Cyrl-RS"/>
        </w:rPr>
        <w:t xml:space="preserve">, што је био правни основ за преговоре са представницима </w:t>
      </w:r>
      <w:r w:rsidR="0090121C" w:rsidRPr="007F567F">
        <w:rPr>
          <w:lang w:val="sr-Cyrl-CS"/>
        </w:rPr>
        <w:t>Међународне банке за обнову и развој</w:t>
      </w:r>
      <w:r w:rsidR="0090121C">
        <w:rPr>
          <w:lang w:val="sr-Cyrl-CS"/>
        </w:rPr>
        <w:t xml:space="preserve">, одржане 7. фебруара 2019. године у Београду. Том приликом је утврђен коначан износ зајма у евро противвредности, тако што је примењен курс евра према америчком долару на крају месеца (31. јануар 2019. године) који је претходио месецу фебруару када су одржани преговори, што износи </w:t>
      </w:r>
      <w:r w:rsidR="0090121C" w:rsidRPr="0090121C">
        <w:rPr>
          <w:lang w:val="sr-Cyrl-CS"/>
        </w:rPr>
        <w:t xml:space="preserve">што износи </w:t>
      </w:r>
      <w:r w:rsidR="0090121C" w:rsidRPr="0090121C">
        <w:t>45</w:t>
      </w:r>
      <w:r w:rsidR="0090121C" w:rsidRPr="0090121C">
        <w:rPr>
          <w:lang w:val="sr-Cyrl-CS"/>
        </w:rPr>
        <w:t>.300.000 евра</w:t>
      </w:r>
      <w:r w:rsidR="0090121C">
        <w:rPr>
          <w:lang w:val="sr-Cyrl-CS"/>
        </w:rPr>
        <w:t>.</w:t>
      </w:r>
    </w:p>
    <w:p w:rsidR="00D572A1" w:rsidRPr="00D572A1" w:rsidRDefault="00D572A1" w:rsidP="00D572A1">
      <w:pPr>
        <w:ind w:firstLine="720"/>
        <w:jc w:val="both"/>
        <w:rPr>
          <w:lang w:val="en-GB"/>
        </w:rPr>
      </w:pPr>
      <w:r w:rsidRPr="00D572A1">
        <w:rPr>
          <w:lang w:val="sr-Cyrl-CS"/>
        </w:rPr>
        <w:t xml:space="preserve">У складу са Закључком Владе </w:t>
      </w:r>
      <w:r w:rsidRPr="00D572A1">
        <w:t>05 Број: 48-986/2019 од 31. јануара 2019. године</w:t>
      </w:r>
      <w:r w:rsidRPr="00D572A1">
        <w:rPr>
          <w:lang w:val="sr-Cyrl-CS"/>
        </w:rPr>
        <w:t>, којим је утврђена Oснова за преговоре и одређен преговарачки тим Републике Србије (представници Министарства финансија, Пореске управе и Управе за јавни дуг), стране су, путем аудио и видео комуникације са канцеларијом Банке у Загребу, Хрватска</w:t>
      </w:r>
      <w:r w:rsidRPr="00D572A1">
        <w:t xml:space="preserve"> и канцеларијом Банке у </w:t>
      </w:r>
      <w:r w:rsidRPr="00D572A1">
        <w:rPr>
          <w:lang w:val="sr-Cyrl-RS"/>
        </w:rPr>
        <w:t>Лондону</w:t>
      </w:r>
      <w:r w:rsidRPr="00D572A1">
        <w:t xml:space="preserve">, Велика Британија, </w:t>
      </w:r>
      <w:r w:rsidRPr="00D572A1">
        <w:rPr>
          <w:lang w:val="sr-Cyrl-CS"/>
        </w:rPr>
        <w:t xml:space="preserve">договориле финансијске услове и начин коришћења зајма, као и активности </w:t>
      </w:r>
      <w:r w:rsidRPr="00D572A1">
        <w:t xml:space="preserve">у оквиру компоненти Пројекта </w:t>
      </w:r>
      <w:r w:rsidRPr="00D572A1">
        <w:rPr>
          <w:lang w:val="sr-Cyrl-CS"/>
        </w:rPr>
        <w:t>које ће бити спроведене кроз реализацију зајма.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  <w:lang w:val="sr-Cyrl-RS"/>
        </w:rPr>
      </w:pPr>
      <w:r w:rsidRPr="00D572A1">
        <w:rPr>
          <w:bCs/>
          <w:color w:val="000000"/>
        </w:rPr>
        <w:t>Пројекат модернизације пореске администрације</w:t>
      </w:r>
      <w:r w:rsidRPr="00D572A1">
        <w:rPr>
          <w:bCs/>
          <w:color w:val="000000"/>
          <w:lang w:val="sr-Cyrl-RS"/>
        </w:rPr>
        <w:t xml:space="preserve"> (у даљем тескту: Пројекат)</w:t>
      </w:r>
      <w:r w:rsidRPr="00D572A1">
        <w:rPr>
          <w:bCs/>
          <w:color w:val="000000"/>
        </w:rPr>
        <w:t xml:space="preserve"> усаглашен је са Стратешким оквиром за партнерство (Country Partnership Framework - CPF), за период од 2016. до 2020. године у спровођењу програма за Републику Србију, у складу са којим се Србији пружа подршка за стварање конкурентне и инклузивне привреде и европске интеграције. Унапређење пореске администрације спровешће се у складу са правним тековинама ЕУ, односно поглављем 16 о опорезивању.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  <w:lang w:val="sr-Cyrl-RS"/>
        </w:rPr>
      </w:pPr>
      <w:r w:rsidRPr="00D572A1">
        <w:rPr>
          <w:bCs/>
          <w:color w:val="000000"/>
          <w:lang w:val="sr-Cyrl-RS"/>
        </w:rPr>
        <w:t xml:space="preserve">Оперативни циљ Пројекта је </w:t>
      </w:r>
      <w:r w:rsidRPr="00D572A1">
        <w:rPr>
          <w:bCs/>
          <w:color w:val="000000"/>
        </w:rPr>
        <w:t>унапређење делотворности наплате пореза и смањење трошкова у испуњивању пореских обавезе</w:t>
      </w:r>
      <w:r w:rsidRPr="00D572A1">
        <w:rPr>
          <w:bCs/>
          <w:color w:val="000000"/>
          <w:lang w:val="sr-Cyrl-RS"/>
        </w:rPr>
        <w:t>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  <w:lang w:val="sr-Cyrl-RS"/>
        </w:rPr>
      </w:pPr>
      <w:r w:rsidRPr="00D572A1">
        <w:rPr>
          <w:bCs/>
          <w:color w:val="000000"/>
          <w:lang w:val="sr-Cyrl-RS"/>
        </w:rPr>
        <w:t xml:space="preserve">И поред унaпрeђeњa пoрeскe пoлитикe и aдминистрaциje у циљу постизања eфикaснoг и дeлoтвoрнoг упрaвљaња пoрeским прихoдимa, кључни изазови у области управљања јавним финансијама су пореска евазија као последица </w:t>
      </w:r>
      <w:r w:rsidRPr="00D572A1">
        <w:rPr>
          <w:bCs/>
          <w:color w:val="000000"/>
          <w:lang w:val="sr-Cyrl-RS"/>
        </w:rPr>
        <w:lastRenderedPageBreak/>
        <w:t>неефикасног механизма контроле, као и утврђивање и наплате пореза и других јавних прихода.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  <w:lang w:val="sr-Cyrl-RS"/>
        </w:rPr>
      </w:pPr>
      <w:r w:rsidRPr="00D572A1">
        <w:rPr>
          <w:bCs/>
          <w:color w:val="000000"/>
          <w:lang w:val="sr-Cyrl-RS"/>
        </w:rPr>
        <w:t>Влада је идентификовала пореску администрацију као кључну реформску област у Програму економских реформи за период од 2017. до 2019. године и Програму реформе управљања јавним финансијама за период од 2016. до 2020. године.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  <w:lang w:val="sr-Cyrl-RS"/>
        </w:rPr>
      </w:pPr>
      <w:r w:rsidRPr="00D572A1">
        <w:rPr>
          <w:bCs/>
          <w:color w:val="000000"/>
          <w:lang w:val="sr-Cyrl-RS"/>
        </w:rPr>
        <w:t>Реформа пореске администрације је такође истакнута у извештајима Европске комисије о напретку Србије у погледу спремности за приступање Европској унији.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  <w:lang w:val="sr-Cyrl-RS"/>
        </w:rPr>
      </w:pPr>
      <w:r w:rsidRPr="00D572A1">
        <w:rPr>
          <w:bCs/>
          <w:color w:val="000000"/>
          <w:lang w:val="sr-Cyrl-RS"/>
        </w:rPr>
        <w:t>Пореска управа Републике Србије (у даљем тексту: Пореска управа) је 2015. године, уз одобрење Владе, отпочела реформу администратирања пореског система. Оквир за ову трансформацију постављен је Програмом трансформациј</w:t>
      </w:r>
      <w:r w:rsidR="008C1250">
        <w:rPr>
          <w:bCs/>
          <w:color w:val="000000"/>
          <w:lang w:val="sr-Cyrl-RS"/>
        </w:rPr>
        <w:t>е Пореске управе за период 2015</w:t>
      </w:r>
      <w:r w:rsidRPr="00D572A1">
        <w:rPr>
          <w:bCs/>
          <w:color w:val="000000"/>
          <w:lang w:val="sr-Cyrl-RS"/>
        </w:rPr>
        <w:t>-2020. године (у даљем тексту: ПТПУ).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  <w:lang w:val="sr-Cyrl-RS"/>
        </w:rPr>
      </w:pPr>
      <w:r w:rsidRPr="00D572A1">
        <w:rPr>
          <w:bCs/>
          <w:color w:val="000000"/>
          <w:lang w:val="sr-Cyrl-RS"/>
        </w:rPr>
        <w:t>ПТПУ је у току двогодишњег спровођења допринео видљивом напретку у ефикасности функционисања Пореске управе. Резултати су највидљивији у делу реализоване наплате, што је констатовано као најважнији допринос успеху фискалне консолидације Републике Србије.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Влада је 5. децембра 2017. године усвојила Акциони план Програма трансформациј</w:t>
      </w:r>
      <w:r w:rsidR="008C1250">
        <w:rPr>
          <w:bCs/>
          <w:color w:val="000000"/>
        </w:rPr>
        <w:t>е Пореске управе за период 2018</w:t>
      </w:r>
      <w:r w:rsidRPr="00D572A1">
        <w:rPr>
          <w:bCs/>
          <w:color w:val="000000"/>
        </w:rPr>
        <w:t xml:space="preserve">-2023. године, који допуњује ПТПУ. 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Како би се испунио Програм трансформације Пореске управе у складу са роковима предвиђеним Акционим планом непоходно је покренути набавке за услуге ангажовања запослених у оквиру Jединице за имплементацију Пројекта, консултантских услуга за анализу управљања документацијом и архивирањем и консултантских услуга за анализу опција Е-фискализације пре ратификације споразума о зајму.</w:t>
      </w:r>
      <w:r w:rsidRPr="00D572A1">
        <w:t xml:space="preserve"> 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 xml:space="preserve">За напред наведене набавке ће се искористити механизам ретроактивног финансирања које подразумева рефундацију </w:t>
      </w:r>
      <w:r w:rsidRPr="00D572A1">
        <w:rPr>
          <w:bCs/>
          <w:color w:val="000000"/>
          <w:lang w:val="sr-Cyrl-RS"/>
        </w:rPr>
        <w:t xml:space="preserve">трошкова </w:t>
      </w:r>
      <w:r w:rsidRPr="00D572A1">
        <w:rPr>
          <w:bCs/>
          <w:color w:val="000000"/>
        </w:rPr>
        <w:t>из средстава зајма Светске банке.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Пројекат обухвата четири компоненте: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 xml:space="preserve">I компонента: Правни оквир 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 xml:space="preserve">Ова компонента за циљ има отклањање великог броја ограничења у погледу ширег правног оквира и окружења јавних пореских политика у којима послује Пореска управа, што ће допринети да се затворе „рупе у закону“, домаће законодавство усклади са стандардима ЕУ, омогући свеобухватни приступ управљању заснованом на процени могућег ризика и унапреди испуњавање пореских обавеза. 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У оквиру ове компоненте ће се финансирати саветодавна подршка намењена отклањању препрека у правном оквиру како би се обезбедила делотворност у раду Пореске управе, а која ће бити усмерена на пореске законе и прописе, као и на управљање информацијама и њихову размену. Из средстава ове компоненте ће се финансирати и свеобухватна анализа правног оквира, укључујући и измене потребне за усклађивање домаћих закона са стандардима ЕУ; могућности за унапређење прописа и управне праксе у циљу спречавања ризика „ерозије пореске базе“ и „измештања профита“ у Србији; и израда препорука за отклањање недостатака у пореским законима и прописима и унапређење позитивних прописа.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II компонента: Организација и рад Пореске управе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 xml:space="preserve">Активности које ће бити спроведене у оквиру ове компоненте довешће до унапређења различитих функционалних области, у којима су у оквиру Дијагностичке процене пореске администрације (у даљем тексту: ТАДАТ) утврђени </w:t>
      </w:r>
      <w:r w:rsidRPr="00D572A1">
        <w:rPr>
          <w:bCs/>
          <w:color w:val="000000"/>
        </w:rPr>
        <w:lastRenderedPageBreak/>
        <w:t>недостаци, а односе се на: регистрацију пореских обвезника; управљање ризиком; добровољно испуњавање пореских обавеза; пореску контролу; одлучивање по жалбама у пореском поступку; и делотворност рада Пореске управе у ширем смислу.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III компонента: Модернизација ИКТ</w:t>
      </w:r>
      <w:r w:rsidRPr="00D572A1">
        <w:rPr>
          <w:bCs/>
          <w:color w:val="000000"/>
          <w:lang w:val="sr-Cyrl-RS"/>
        </w:rPr>
        <w:t xml:space="preserve"> (информационо комуникационе технологије)</w:t>
      </w:r>
      <w:r w:rsidRPr="00D572A1">
        <w:rPr>
          <w:bCs/>
          <w:color w:val="000000"/>
        </w:rPr>
        <w:t xml:space="preserve"> система и управљања евиденцијама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 xml:space="preserve">Активности у оквиру ове компоненте </w:t>
      </w:r>
      <w:r w:rsidRPr="00D572A1">
        <w:rPr>
          <w:bCs/>
          <w:color w:val="000000"/>
          <w:lang w:val="sr-Cyrl-RS"/>
        </w:rPr>
        <w:t>допринеће</w:t>
      </w:r>
      <w:r w:rsidRPr="00D572A1">
        <w:rPr>
          <w:bCs/>
          <w:color w:val="000000"/>
        </w:rPr>
        <w:t xml:space="preserve"> унапређењу квалитета и повећању обухвата услуга које пружа ИКТ систем, и решавању значајних изазова са којима се Пореска управа суочава на пољу управљања евиденцијама, укључујући и решавање значајног броја акумулираних папирних докумената о пореским обвезницима.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IV компонента: Управљање Пројектом и управљање променама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Главни циљ ове компоненте је обезбеђење три вида хоризонталне подршке активностима из Компоненти I, II и III кроз: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- формирање функционалне Јединице за имплементацију пројекта (у даљем тексту: ЈУП);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 xml:space="preserve">- комуникацију са интерним и екстерним актерима; и 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 xml:space="preserve">- подршку тимовима за имплементацију за управљање променама. 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Под екстерним актерима подразумевају се грађани, државни органи и Саветодавни одбор. Међу интерним циљним групама су ЈУП унутар Пореске управе и њени тимови за имплементацију.</w:t>
      </w:r>
    </w:p>
    <w:p w:rsidR="00D572A1" w:rsidRDefault="00D572A1" w:rsidP="00D572A1">
      <w:pPr>
        <w:ind w:firstLine="720"/>
        <w:jc w:val="both"/>
        <w:rPr>
          <w:bCs/>
          <w:color w:val="000000"/>
          <w:lang w:val="sr-Cyrl-RS"/>
        </w:rPr>
      </w:pPr>
      <w:r w:rsidRPr="00D572A1">
        <w:rPr>
          <w:bCs/>
          <w:color w:val="000000"/>
        </w:rPr>
        <w:t>Резултати који буду постигнути у оквиру ове четири компоненте Пројекта допринеће остварењу визије Пореске управе за будућност: да постане организација коју карактерише електронско пословање и орган управе окренут потребама пореских обвезника који пружа најквалитетније услуге и опремљен је ефикасним механизмима за обезбеђење поштовања прописа заснованим на процени могућег ризика, уз примену ИКТ решења, којима се омогућава да Пореска управа своје ограничене ресурсе искористи на делотворан начин у циљу оптимизације наплате јавних прихода у корист Републике Србије.</w:t>
      </w:r>
    </w:p>
    <w:p w:rsidR="00D572A1" w:rsidRPr="00D572A1" w:rsidRDefault="00D572A1" w:rsidP="00D572A1">
      <w:pPr>
        <w:keepNext/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Договорено је да ће</w:t>
      </w:r>
      <w:r w:rsidRPr="00D572A1">
        <w:rPr>
          <w:bCs/>
          <w:color w:val="000000"/>
          <w:lang w:val="sr-Cyrl-RS"/>
        </w:rPr>
        <w:t xml:space="preserve"> г</w:t>
      </w:r>
      <w:r w:rsidRPr="00D572A1">
        <w:rPr>
          <w:bCs/>
          <w:color w:val="000000"/>
        </w:rPr>
        <w:t xml:space="preserve">лавни носилац Пројекта бити Министарство финансија - Пореска управа, у оквиру које ће бити формирана Јединица за имплементацију пројекта, у чијој надлежности ће бити управљање Пројектом, координација и имплементација, а подршку у области финансијског управљања и набавки ће пружити Централна фидуцијарна јединица, која је основана у Министарству финансија. 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>Надзорни одбор пројекта обезбедиће усклађеност са стратешким усмерењем и координацију између државних и других органа и пратити напредак у реализацији Пројекта у целини. Одбор ће чинити највиши представници главних државних институција, укључујући Министарство финансија, Пореску управу и представнике Кабинета председника Републике и Кабинета председнице Владе. Надзорним одбором ће председавати министар финансија, а његовим радом ће руководити Секретаријат на челу са директором Пореске управе. Поред наведених чланова Одбора који ће разматрати напредак реализације и давати стратешке смернице пројектном тиму, Надзорни одбор пројекта имаће могућност да позива представнике других државних и недржавних институција (попут Управе царина, Министарства привреде, Привредне коморе и других) и развојне партнере да учествују у његовом раду у својству посматрача.</w:t>
      </w:r>
    </w:p>
    <w:p w:rsidR="00D572A1" w:rsidRPr="00D572A1" w:rsidRDefault="00D572A1" w:rsidP="00D572A1">
      <w:pPr>
        <w:keepNext/>
        <w:ind w:firstLine="720"/>
        <w:jc w:val="both"/>
        <w:rPr>
          <w:lang w:val="sr-Cyrl-CS"/>
        </w:rPr>
      </w:pPr>
      <w:r w:rsidRPr="00D572A1">
        <w:rPr>
          <w:lang w:val="sr-Cyrl-CS"/>
        </w:rPr>
        <w:t>На преговорима, стране су потврдиле да</w:t>
      </w:r>
      <w:r w:rsidRPr="00D572A1">
        <w:rPr>
          <w:bCs/>
          <w:color w:val="000000"/>
        </w:rPr>
        <w:t xml:space="preserve"> средства зајма могу бити доступна након проглашавања ефективности зајма, односно након</w:t>
      </w:r>
      <w:r w:rsidRPr="00D572A1">
        <w:rPr>
          <w:bCs/>
          <w:color w:val="000000"/>
          <w:lang w:val="sr-Cyrl-CS"/>
        </w:rPr>
        <w:t xml:space="preserve"> доношења Закона о потврђивању </w:t>
      </w:r>
      <w:r w:rsidRPr="00D572A1">
        <w:rPr>
          <w:lang w:val="sr-Cyrl-CS"/>
        </w:rPr>
        <w:t>Споразума о зајму (</w:t>
      </w:r>
      <w:r w:rsidRPr="00D572A1">
        <w:t xml:space="preserve">Пројекат </w:t>
      </w:r>
      <w:r w:rsidRPr="00D572A1">
        <w:rPr>
          <w:lang w:val="sr-Cyrl-RS"/>
        </w:rPr>
        <w:t>модернизације пореске администрације</w:t>
      </w:r>
      <w:r w:rsidRPr="00D572A1">
        <w:rPr>
          <w:lang w:val="sr-Cyrl-CS"/>
        </w:rPr>
        <w:t xml:space="preserve">). </w:t>
      </w:r>
      <w:r w:rsidRPr="00D572A1">
        <w:rPr>
          <w:bCs/>
          <w:color w:val="000000"/>
        </w:rPr>
        <w:t>Рок за испуњење услова за проглашење ефективности зајма износи 180 дана од датума потписивања Споразума о зајму.</w:t>
      </w:r>
    </w:p>
    <w:p w:rsidR="00D572A1" w:rsidRPr="00D572A1" w:rsidRDefault="00D572A1" w:rsidP="00D572A1">
      <w:pPr>
        <w:keepNext/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</w:rPr>
        <w:t xml:space="preserve">У складу са ревидираним Стандардним условима Банке од </w:t>
      </w:r>
      <w:r w:rsidRPr="009F5AEC">
        <w:rPr>
          <w:bCs/>
          <w:color w:val="000000"/>
        </w:rPr>
        <w:t xml:space="preserve">14. </w:t>
      </w:r>
      <w:r w:rsidR="008C1250" w:rsidRPr="009F5AEC">
        <w:rPr>
          <w:bCs/>
          <w:color w:val="000000"/>
          <w:lang w:val="sr-Cyrl-RS"/>
        </w:rPr>
        <w:t>децембра</w:t>
      </w:r>
      <w:r w:rsidR="008C1250" w:rsidRPr="009F5AEC">
        <w:rPr>
          <w:bCs/>
          <w:color w:val="000000"/>
        </w:rPr>
        <w:t xml:space="preserve"> 201</w:t>
      </w:r>
      <w:r w:rsidR="008C1250" w:rsidRPr="009F5AEC">
        <w:rPr>
          <w:bCs/>
          <w:color w:val="000000"/>
          <w:lang w:val="sr-Cyrl-RS"/>
        </w:rPr>
        <w:t>8</w:t>
      </w:r>
      <w:r w:rsidRPr="009F5AEC">
        <w:rPr>
          <w:bCs/>
          <w:color w:val="000000"/>
        </w:rPr>
        <w:t>. године,</w:t>
      </w:r>
      <w:r w:rsidRPr="00D572A1">
        <w:rPr>
          <w:bCs/>
          <w:color w:val="000000"/>
        </w:rPr>
        <w:t xml:space="preserve"> представници Банке су саопштили да за проглашење ефективности</w:t>
      </w:r>
      <w:r w:rsidRPr="00D572A1">
        <w:rPr>
          <w:bCs/>
          <w:color w:val="000000"/>
          <w:lang w:val="sr-Cyrl-RS"/>
        </w:rPr>
        <w:t xml:space="preserve"> </w:t>
      </w:r>
      <w:r w:rsidRPr="00D572A1">
        <w:rPr>
          <w:bCs/>
          <w:color w:val="000000"/>
        </w:rPr>
        <w:t>зајма, није потребно достављање Правног мишљења Министарства правде.</w:t>
      </w:r>
    </w:p>
    <w:p w:rsidR="00D572A1" w:rsidRPr="00D572A1" w:rsidRDefault="00D572A1" w:rsidP="00D572A1">
      <w:pPr>
        <w:keepNext/>
        <w:ind w:firstLine="720"/>
        <w:contextualSpacing/>
        <w:jc w:val="both"/>
        <w:rPr>
          <w:bCs/>
          <w:color w:val="000000"/>
        </w:rPr>
      </w:pPr>
      <w:r w:rsidRPr="00D572A1">
        <w:rPr>
          <w:bCs/>
          <w:color w:val="000000"/>
        </w:rPr>
        <w:t xml:space="preserve">Стране су се на преговорила сагласиле да се сви трошкови који ће бити финансирани у оквиру категорија из средстава зајма буду са укљученим порезима, док ће увоз добара и промет добара и услуга у сврхе реализације Споразума о зајму бити ослобођен плаћања царина и пореза на додату вредност. </w:t>
      </w:r>
    </w:p>
    <w:p w:rsidR="00D572A1" w:rsidRPr="00D572A1" w:rsidRDefault="00D572A1" w:rsidP="00D572A1">
      <w:pPr>
        <w:ind w:firstLine="720"/>
        <w:jc w:val="both"/>
        <w:rPr>
          <w:bCs/>
          <w:color w:val="000000"/>
        </w:rPr>
      </w:pPr>
      <w:r w:rsidRPr="00D572A1">
        <w:rPr>
          <w:bCs/>
          <w:color w:val="000000"/>
          <w:lang w:val="sr-Cyrl-RS"/>
        </w:rPr>
        <w:t xml:space="preserve"> На преговорима је дефинисано да Споразум о зајму предвиђа коришћење механизма ретроактивног финансирања, који подразумева рефундацију трошкова из средстава зајма Светске банке у максималном износу до ЕУР 500.000, за потребе </w:t>
      </w:r>
      <w:r w:rsidRPr="00D572A1">
        <w:rPr>
          <w:bCs/>
          <w:color w:val="000000"/>
        </w:rPr>
        <w:t>покретања набавке за услуге ангажовања запослених у оквиру јединице за имплементацију Пројекта, консултантских услуга за анализу управљања документацијом и архивирањем и консултантских услуга за анализу опција Е-фискализације пре ратификације споразума о зајму, односно</w:t>
      </w:r>
      <w:r w:rsidRPr="00D572A1">
        <w:rPr>
          <w:bCs/>
          <w:color w:val="000000"/>
          <w:lang w:val="sr-Cyrl-RS"/>
        </w:rPr>
        <w:t xml:space="preserve"> надокнаду за сва плаћања по напред наведеном основу извршена пре датума потписивања Споразума о зајму, а почевши од 7. фебруара 2019. године, укључујући и тај датум.</w:t>
      </w:r>
    </w:p>
    <w:p w:rsidR="0090121C" w:rsidRPr="0090121C" w:rsidRDefault="00D572A1" w:rsidP="00D572A1">
      <w:pPr>
        <w:tabs>
          <w:tab w:val="left" w:pos="426"/>
        </w:tabs>
        <w:jc w:val="both"/>
      </w:pPr>
      <w:r>
        <w:rPr>
          <w:lang w:val="sr-Cyrl-RS"/>
        </w:rPr>
        <w:tab/>
      </w:r>
      <w:r w:rsidR="0090121C" w:rsidRPr="0090121C">
        <w:rPr>
          <w:lang w:val="de-DE"/>
        </w:rPr>
        <w:t>Извештај са преговора прихваћен је Закључком  Владе 05 Број: 48-1</w:t>
      </w:r>
      <w:r w:rsidR="00635AB6">
        <w:rPr>
          <w:lang w:val="sr-Cyrl-RS"/>
        </w:rPr>
        <w:t>753</w:t>
      </w:r>
      <w:r w:rsidR="00635AB6">
        <w:rPr>
          <w:lang w:val="de-DE"/>
        </w:rPr>
        <w:t>/201</w:t>
      </w:r>
      <w:r w:rsidR="00635AB6">
        <w:rPr>
          <w:lang w:val="sr-Cyrl-RS"/>
        </w:rPr>
        <w:t>9-1</w:t>
      </w:r>
      <w:r w:rsidR="00635AB6">
        <w:rPr>
          <w:lang w:val="de-DE"/>
        </w:rPr>
        <w:t xml:space="preserve"> од 2</w:t>
      </w:r>
      <w:r w:rsidR="00635AB6">
        <w:rPr>
          <w:lang w:val="sr-Cyrl-RS"/>
        </w:rPr>
        <w:t>1</w:t>
      </w:r>
      <w:r w:rsidR="00635AB6">
        <w:rPr>
          <w:lang w:val="de-DE"/>
        </w:rPr>
        <w:t>. фебруара 201</w:t>
      </w:r>
      <w:r w:rsidR="00635AB6">
        <w:rPr>
          <w:lang w:val="sr-Cyrl-RS"/>
        </w:rPr>
        <w:t>9</w:t>
      </w:r>
      <w:r w:rsidR="0090121C" w:rsidRPr="0090121C">
        <w:rPr>
          <w:lang w:val="de-DE"/>
        </w:rPr>
        <w:t>. године, којим је истовремено усвојен Нацрт споразума о зајму (</w:t>
      </w:r>
      <w:r w:rsidR="00635AB6" w:rsidRPr="007F567F">
        <w:rPr>
          <w:lang w:val="sr-Cyrl-CS"/>
        </w:rPr>
        <w:t>Пројекат модернизације пореске администрације</w:t>
      </w:r>
      <w:r w:rsidR="0090121C" w:rsidRPr="0090121C">
        <w:rPr>
          <w:lang w:val="de-DE" w:eastAsia="de-DE"/>
        </w:rPr>
        <w:t>)</w:t>
      </w:r>
      <w:r w:rsidR="0090121C" w:rsidRPr="0090121C">
        <w:rPr>
          <w:lang w:val="de-DE"/>
        </w:rPr>
        <w:t xml:space="preserve">  између Републике Србије и Међународне банке Србије.</w:t>
      </w:r>
      <w:r w:rsidR="0090121C" w:rsidRPr="0090121C">
        <w:t xml:space="preserve"> </w:t>
      </w:r>
    </w:p>
    <w:p w:rsidR="0090121C" w:rsidRPr="0090121C" w:rsidRDefault="0090121C" w:rsidP="0090121C">
      <w:pPr>
        <w:tabs>
          <w:tab w:val="left" w:pos="709"/>
        </w:tabs>
        <w:ind w:firstLine="720"/>
        <w:jc w:val="both"/>
        <w:rPr>
          <w:lang w:val="sr-Cyrl-CS" w:eastAsia="de-DE"/>
        </w:rPr>
      </w:pPr>
      <w:r w:rsidRPr="0090121C">
        <w:rPr>
          <w:lang w:val="de-DE"/>
        </w:rPr>
        <w:t>Након што је</w:t>
      </w:r>
      <w:r w:rsidRPr="0090121C">
        <w:rPr>
          <w:lang w:val="de-DE" w:eastAsia="de-DE"/>
        </w:rPr>
        <w:t xml:space="preserve"> Међународна банка за обнову и развој спровела своју процедуру одобрења од стране Одбора извршних директора, Споразум о зајму је потписан</w:t>
      </w:r>
      <w:r w:rsidR="00635AB6">
        <w:rPr>
          <w:lang w:val="sr-Cyrl-CS" w:eastAsia="de-DE"/>
        </w:rPr>
        <w:t xml:space="preserve"> 7. маја 2019</w:t>
      </w:r>
      <w:r w:rsidRPr="0090121C">
        <w:rPr>
          <w:lang w:val="sr-Cyrl-CS" w:eastAsia="de-DE"/>
        </w:rPr>
        <w:t xml:space="preserve">. године у Београду (потписник споразума у име Владе, као заступника Републике Србије, је </w:t>
      </w:r>
      <w:r w:rsidR="00635AB6">
        <w:rPr>
          <w:lang w:val="sr-Cyrl-CS" w:eastAsia="de-DE"/>
        </w:rPr>
        <w:t>Синиша Мали</w:t>
      </w:r>
      <w:r w:rsidRPr="0090121C">
        <w:rPr>
          <w:lang w:val="sr-Cyrl-CS" w:eastAsia="de-DE"/>
        </w:rPr>
        <w:t>, министар финансија).</w:t>
      </w:r>
    </w:p>
    <w:p w:rsidR="0090121C" w:rsidRPr="0090121C" w:rsidRDefault="0090121C" w:rsidP="0090121C">
      <w:pPr>
        <w:tabs>
          <w:tab w:val="left" w:pos="709"/>
        </w:tabs>
        <w:ind w:firstLine="720"/>
        <w:jc w:val="both"/>
        <w:rPr>
          <w:bCs/>
          <w:lang w:val="de-DE"/>
        </w:rPr>
      </w:pPr>
      <w:r w:rsidRPr="0090121C">
        <w:rPr>
          <w:bCs/>
          <w:lang w:val="de-DE"/>
        </w:rPr>
        <w:t>Договорени финансијски услови зајма су:</w:t>
      </w:r>
    </w:p>
    <w:p w:rsidR="0090121C" w:rsidRPr="0090121C" w:rsidRDefault="0090121C" w:rsidP="0090121C">
      <w:pPr>
        <w:ind w:firstLine="720"/>
        <w:jc w:val="both"/>
        <w:rPr>
          <w:bCs/>
          <w:lang w:val="sr-Cyrl-CS" w:eastAsia="de-DE"/>
        </w:rPr>
      </w:pPr>
      <w:r w:rsidRPr="0090121C">
        <w:rPr>
          <w:bCs/>
          <w:lang w:val="de-DE"/>
        </w:rPr>
        <w:t xml:space="preserve">- </w:t>
      </w:r>
      <w:r w:rsidRPr="0090121C">
        <w:rPr>
          <w:bCs/>
          <w:lang w:val="sr-Cyrl-CS" w:eastAsia="de-DE"/>
        </w:rPr>
        <w:t xml:space="preserve">износ задужења Републике Србије: </w:t>
      </w:r>
      <w:r w:rsidR="00635AB6" w:rsidRPr="00635AB6">
        <w:t>45</w:t>
      </w:r>
      <w:r w:rsidR="00635AB6" w:rsidRPr="00635AB6">
        <w:rPr>
          <w:lang w:val="sr-Cyrl-CS"/>
        </w:rPr>
        <w:t>.300.000 евра</w:t>
      </w:r>
      <w:r w:rsidRPr="0090121C">
        <w:rPr>
          <w:bCs/>
          <w:lang w:val="sr-Cyrl-CS" w:eastAsia="de-DE"/>
        </w:rPr>
        <w:t>;</w:t>
      </w:r>
    </w:p>
    <w:p w:rsidR="0090121C" w:rsidRPr="0090121C" w:rsidRDefault="0090121C" w:rsidP="0090121C">
      <w:pPr>
        <w:ind w:firstLine="720"/>
        <w:jc w:val="both"/>
        <w:rPr>
          <w:bCs/>
          <w:lang w:eastAsia="de-DE"/>
        </w:rPr>
      </w:pPr>
      <w:r w:rsidRPr="0090121C">
        <w:rPr>
          <w:bCs/>
          <w:lang w:val="sr-Cyrl-CS" w:eastAsia="de-DE"/>
        </w:rPr>
        <w:t xml:space="preserve">- </w:t>
      </w:r>
      <w:r w:rsidRPr="0090121C">
        <w:rPr>
          <w:bCs/>
          <w:lang w:eastAsia="de-DE"/>
        </w:rPr>
        <w:t>п</w:t>
      </w:r>
      <w:r w:rsidRPr="0090121C">
        <w:rPr>
          <w:bCs/>
          <w:lang w:val="sr-Cyrl-CS" w:eastAsia="de-DE"/>
        </w:rPr>
        <w:t>овлачење средстава зајма:</w:t>
      </w:r>
      <w:r w:rsidRPr="0090121C">
        <w:rPr>
          <w:bCs/>
          <w:lang w:eastAsia="de-DE"/>
        </w:rPr>
        <w:t xml:space="preserve"> </w:t>
      </w:r>
      <w:r w:rsidR="00B83EA4" w:rsidRPr="00B83EA4">
        <w:t>п</w:t>
      </w:r>
      <w:r w:rsidR="00B83EA4" w:rsidRPr="00B83EA4">
        <w:rPr>
          <w:lang w:val="sr-Cyrl-CS"/>
        </w:rPr>
        <w:t xml:space="preserve">овлачење зајма </w:t>
      </w:r>
      <w:r w:rsidR="00B83EA4" w:rsidRPr="00B83EA4">
        <w:t>спроводиће се у складу са одредбама Споразума о зајму</w:t>
      </w:r>
      <w:r w:rsidRPr="0090121C">
        <w:rPr>
          <w:bCs/>
          <w:lang w:eastAsia="de-DE"/>
        </w:rPr>
        <w:t>;</w:t>
      </w:r>
    </w:p>
    <w:p w:rsidR="00B83EA4" w:rsidRDefault="0090121C" w:rsidP="0090121C">
      <w:pPr>
        <w:ind w:firstLine="720"/>
        <w:jc w:val="both"/>
        <w:rPr>
          <w:lang w:val="sr-Cyrl-CS"/>
        </w:rPr>
      </w:pPr>
      <w:r w:rsidRPr="0090121C">
        <w:rPr>
          <w:bCs/>
          <w:lang w:val="sr-Cyrl-CS" w:eastAsia="de-DE"/>
        </w:rPr>
        <w:t xml:space="preserve">- рок доспећа: </w:t>
      </w:r>
      <w:r w:rsidR="00B83EA4" w:rsidRPr="00B83EA4">
        <w:rPr>
          <w:lang w:val="sr-Cyrl-CS"/>
        </w:rPr>
        <w:t xml:space="preserve">15 година са укљученим периодом почека од </w:t>
      </w:r>
      <w:r w:rsidR="00B83EA4" w:rsidRPr="00B83EA4">
        <w:t>5 г</w:t>
      </w:r>
      <w:r w:rsidR="00B83EA4" w:rsidRPr="00B83EA4">
        <w:rPr>
          <w:lang w:val="sr-Cyrl-CS"/>
        </w:rPr>
        <w:t>один</w:t>
      </w:r>
      <w:r w:rsidR="00B83EA4" w:rsidRPr="00B83EA4">
        <w:t>e</w:t>
      </w:r>
      <w:r w:rsidR="00B83EA4" w:rsidRPr="00B83EA4">
        <w:rPr>
          <w:lang w:val="sr-Cyrl-CS"/>
        </w:rPr>
        <w:t>, тако да</w:t>
      </w:r>
      <w:r w:rsidR="00B83EA4" w:rsidRPr="00B83EA4">
        <w:t xml:space="preserve"> </w:t>
      </w:r>
      <w:r w:rsidR="00B83EA4" w:rsidRPr="00B83EA4">
        <w:rPr>
          <w:lang w:val="sr-Cyrl-CS"/>
        </w:rPr>
        <w:t xml:space="preserve">је период отплате главнице зајма 10 година, а главница ће се отплаћивати у једнаким полугодишњим ратама, од којих прва доспева 15. </w:t>
      </w:r>
      <w:r w:rsidR="00B83EA4" w:rsidRPr="00B83EA4">
        <w:t>мајa</w:t>
      </w:r>
      <w:r w:rsidR="00B83EA4" w:rsidRPr="00B83EA4">
        <w:rPr>
          <w:lang w:val="sr-Cyrl-CS"/>
        </w:rPr>
        <w:t xml:space="preserve"> 2024. године, а последња 15. новемб</w:t>
      </w:r>
      <w:r w:rsidR="00B83EA4" w:rsidRPr="00B83EA4">
        <w:t>ра</w:t>
      </w:r>
      <w:r w:rsidR="00B83EA4" w:rsidRPr="00B83EA4">
        <w:rPr>
          <w:lang w:val="sr-Cyrl-CS"/>
        </w:rPr>
        <w:t xml:space="preserve"> 2033. године;</w:t>
      </w:r>
    </w:p>
    <w:p w:rsidR="0090121C" w:rsidRPr="0090121C" w:rsidRDefault="0090121C" w:rsidP="0090121C">
      <w:pPr>
        <w:ind w:firstLine="720"/>
        <w:jc w:val="both"/>
        <w:rPr>
          <w:bCs/>
          <w:lang w:val="sr-Cyrl-CS" w:eastAsia="de-DE"/>
        </w:rPr>
      </w:pPr>
      <w:r w:rsidRPr="0090121C">
        <w:rPr>
          <w:bCs/>
          <w:lang w:val="sr-Cyrl-CS" w:eastAsia="de-DE"/>
        </w:rPr>
        <w:t xml:space="preserve">- рок расположивости зајма: </w:t>
      </w:r>
      <w:r w:rsidR="00B83EA4" w:rsidRPr="00B83EA4">
        <w:rPr>
          <w:lang w:val="sr-Cyrl-CS"/>
        </w:rPr>
        <w:t>до 31. октобар 202</w:t>
      </w:r>
      <w:r w:rsidR="00B83EA4" w:rsidRPr="00B83EA4">
        <w:t>4</w:t>
      </w:r>
      <w:r w:rsidR="00B83EA4" w:rsidRPr="00B83EA4">
        <w:rPr>
          <w:lang w:val="sr-Cyrl-CS"/>
        </w:rPr>
        <w:t>. године;</w:t>
      </w:r>
    </w:p>
    <w:p w:rsidR="0090121C" w:rsidRDefault="0090121C" w:rsidP="0090121C">
      <w:pPr>
        <w:ind w:firstLine="720"/>
        <w:jc w:val="both"/>
        <w:rPr>
          <w:lang w:val="sr-Cyrl-CS"/>
        </w:rPr>
      </w:pPr>
      <w:r w:rsidRPr="0090121C">
        <w:rPr>
          <w:bCs/>
          <w:lang w:val="sr-Cyrl-CS" w:eastAsia="de-DE"/>
        </w:rPr>
        <w:t xml:space="preserve">- приступна накнада: </w:t>
      </w:r>
      <w:r w:rsidR="00B83EA4" w:rsidRPr="00B83EA4">
        <w:rPr>
          <w:lang w:val="sr-Cyrl-CS"/>
        </w:rPr>
        <w:t>: 0,</w:t>
      </w:r>
      <w:r w:rsidR="00B83EA4" w:rsidRPr="00B83EA4">
        <w:t>25</w:t>
      </w:r>
      <w:r w:rsidR="00B83EA4" w:rsidRPr="00B83EA4">
        <w:rPr>
          <w:lang w:val="sr-Cyrl-CS"/>
        </w:rPr>
        <w:t>% на укупан износ зајма (</w:t>
      </w:r>
      <w:r w:rsidR="00B83EA4" w:rsidRPr="00B83EA4">
        <w:t>113.250</w:t>
      </w:r>
      <w:r w:rsidR="00B83EA4" w:rsidRPr="00B83EA4">
        <w:rPr>
          <w:lang w:val="sr-Cyrl-CS"/>
        </w:rPr>
        <w:t xml:space="preserve"> евра), платиће се једнократно из средстава зајма. Обрачун провизије на неповучена средства почиње након истека периода од 60 дана након датум</w:t>
      </w:r>
      <w:r w:rsidR="00B83EA4">
        <w:rPr>
          <w:lang w:val="sr-Cyrl-CS"/>
        </w:rPr>
        <w:t>а потписивања Споразума о зајму;</w:t>
      </w:r>
    </w:p>
    <w:p w:rsidR="00B83EA4" w:rsidRPr="00B83EA4" w:rsidRDefault="00B83EA4" w:rsidP="00B83EA4">
      <w:pPr>
        <w:ind w:firstLine="720"/>
        <w:jc w:val="both"/>
        <w:rPr>
          <w:bCs/>
          <w:lang w:val="sr-Cyrl-CS" w:eastAsia="de-DE"/>
        </w:rPr>
      </w:pPr>
      <w:r>
        <w:rPr>
          <w:bCs/>
          <w:lang w:val="sr-Cyrl-CS" w:eastAsia="de-DE"/>
        </w:rPr>
        <w:t>-</w:t>
      </w:r>
      <w:r w:rsidRPr="00B83EA4">
        <w:rPr>
          <w:bCs/>
          <w:lang w:val="sr-Cyrl-CS" w:eastAsia="de-DE"/>
        </w:rPr>
        <w:t>накнада за неповучена средства: 0,25% на годишњем нивоу на неповучени износ главнице;</w:t>
      </w:r>
    </w:p>
    <w:p w:rsidR="00B83EA4" w:rsidRPr="00B83EA4" w:rsidRDefault="00B83EA4" w:rsidP="00B83EA4">
      <w:pPr>
        <w:ind w:firstLine="720"/>
        <w:jc w:val="both"/>
        <w:rPr>
          <w:bCs/>
          <w:lang w:val="sr-Cyrl-CS" w:eastAsia="de-DE"/>
        </w:rPr>
      </w:pPr>
      <w:r>
        <w:rPr>
          <w:bCs/>
          <w:lang w:val="sr-Cyrl-CS" w:eastAsia="de-DE"/>
        </w:rPr>
        <w:t>-</w:t>
      </w:r>
      <w:r w:rsidRPr="00B83EA4">
        <w:rPr>
          <w:bCs/>
          <w:lang w:val="sr-Cyrl-CS" w:eastAsia="de-DE"/>
        </w:rPr>
        <w:t>каматна стопа: зајмопримац плаћа камату полугодишње (15. мајa и 15. новембра сваке године), за сваки каматни пeриод по Рeфeрeнтноj стопи за валуту заjма (шестомесечни ЕУРИБОР) увeћаној за фиксну маржу од 0,70%. Предвиђена је и могућност да зајмопримац у сваком моменту може затражити конверзију каматне стопе или марже из фиксну у варијабилну и обрнуто, ако се процени да је повољније са аспекта управљања јавним дугом, у складу са одредбама Стандардних услова Банке;</w:t>
      </w:r>
    </w:p>
    <w:p w:rsidR="00B83EA4" w:rsidRPr="0090121C" w:rsidRDefault="00B83EA4" w:rsidP="0090121C">
      <w:pPr>
        <w:ind w:firstLine="720"/>
        <w:jc w:val="both"/>
        <w:rPr>
          <w:bCs/>
          <w:lang w:val="sr-Cyrl-CS" w:eastAsia="de-DE"/>
        </w:rPr>
      </w:pPr>
    </w:p>
    <w:p w:rsidR="008976A4" w:rsidRPr="00B83EA4" w:rsidRDefault="008976A4" w:rsidP="00B83EA4">
      <w:pPr>
        <w:ind w:firstLine="720"/>
        <w:jc w:val="both"/>
        <w:rPr>
          <w:bCs/>
          <w:lang w:val="sr-Cyrl-CS" w:eastAsia="de-DE"/>
        </w:rPr>
      </w:pPr>
    </w:p>
    <w:p w:rsidR="00B83EA4" w:rsidRDefault="00B83EA4" w:rsidP="008976A4">
      <w:pPr>
        <w:tabs>
          <w:tab w:val="left" w:pos="709"/>
        </w:tabs>
        <w:ind w:firstLine="720"/>
        <w:jc w:val="both"/>
        <w:rPr>
          <w:lang w:val="sr-Cyrl-CS"/>
        </w:rPr>
      </w:pPr>
    </w:p>
    <w:p w:rsidR="00773832" w:rsidRPr="005038A0" w:rsidRDefault="00773832" w:rsidP="0008372F">
      <w:pPr>
        <w:ind w:firstLine="708"/>
        <w:jc w:val="both"/>
        <w:rPr>
          <w:lang w:val="sr-Cyrl-CS"/>
        </w:rPr>
      </w:pPr>
    </w:p>
    <w:p w:rsidR="00692046" w:rsidRPr="005038A0" w:rsidRDefault="00816A77" w:rsidP="00816A77">
      <w:pPr>
        <w:tabs>
          <w:tab w:val="left" w:pos="1170"/>
        </w:tabs>
        <w:ind w:firstLine="720"/>
        <w:jc w:val="both"/>
        <w:rPr>
          <w:lang w:val="sr-Cyrl-CS"/>
        </w:rPr>
      </w:pPr>
      <w:r w:rsidRPr="005038A0">
        <w:rPr>
          <w:lang w:val="sr-Cyrl-CS"/>
        </w:rPr>
        <w:t xml:space="preserve">III. </w:t>
      </w:r>
      <w:r w:rsidR="00692046" w:rsidRPr="005038A0">
        <w:rPr>
          <w:lang w:val="sr-Cyrl-CS"/>
        </w:rPr>
        <w:t xml:space="preserve">ОБЈАШЊЕЊЕ ОСНОВНИХ ПРАВНИХ ИНСТИТУТА И ПОЈЕДИНАЧНИХ РЕШЕЊА </w:t>
      </w:r>
    </w:p>
    <w:p w:rsidR="00692046" w:rsidRPr="005038A0" w:rsidRDefault="00692046" w:rsidP="00A37D3D">
      <w:pPr>
        <w:jc w:val="both"/>
        <w:rPr>
          <w:lang w:val="sr-Cyrl-CS"/>
        </w:rPr>
      </w:pPr>
    </w:p>
    <w:p w:rsidR="00692046" w:rsidRPr="005038A0" w:rsidRDefault="00692046" w:rsidP="00A37D3D">
      <w:pPr>
        <w:ind w:firstLine="720"/>
        <w:jc w:val="both"/>
        <w:rPr>
          <w:rFonts w:eastAsia="SimSun"/>
          <w:lang w:val="sr-Cyrl-CS"/>
        </w:rPr>
      </w:pPr>
      <w:r w:rsidRPr="005038A0">
        <w:rPr>
          <w:lang w:val="ru-RU"/>
        </w:rPr>
        <w:t>О</w:t>
      </w:r>
      <w:r w:rsidRPr="005038A0">
        <w:rPr>
          <w:lang w:val="sr-Cyrl-CS"/>
        </w:rPr>
        <w:t xml:space="preserve">дредбом члана 1. </w:t>
      </w:r>
      <w:r w:rsidR="00C713DE" w:rsidRPr="005038A0">
        <w:rPr>
          <w:lang w:val="sr-Cyrl-CS"/>
        </w:rPr>
        <w:t xml:space="preserve">овог </w:t>
      </w:r>
      <w:r w:rsidR="00FA40D9" w:rsidRPr="005038A0">
        <w:rPr>
          <w:lang w:val="sr-Cyrl-CS"/>
        </w:rPr>
        <w:t xml:space="preserve">закона </w:t>
      </w:r>
      <w:r w:rsidRPr="005038A0">
        <w:rPr>
          <w:lang w:val="sr-Cyrl-CS"/>
        </w:rPr>
        <w:t>предвиђа се потврђивање</w:t>
      </w:r>
      <w:r w:rsidR="00746BDE" w:rsidRPr="005038A0">
        <w:rPr>
          <w:rFonts w:eastAsia="SimSun"/>
          <w:lang w:val="sr-Cyrl-CS"/>
        </w:rPr>
        <w:t xml:space="preserve"> </w:t>
      </w:r>
      <w:r w:rsidR="00EB3E75">
        <w:rPr>
          <w:rFonts w:eastAsia="SimSun"/>
          <w:lang w:val="sr-Cyrl-CS"/>
        </w:rPr>
        <w:t>Споразума о зајму</w:t>
      </w:r>
      <w:r w:rsidR="001417E0" w:rsidRPr="005038A0">
        <w:rPr>
          <w:rFonts w:eastAsia="SimSun"/>
          <w:lang w:val="sr-Cyrl-CS"/>
        </w:rPr>
        <w:t>, који је потписан</w:t>
      </w:r>
      <w:r w:rsidR="00343D47" w:rsidRPr="005038A0">
        <w:rPr>
          <w:rFonts w:eastAsia="SimSun"/>
          <w:lang w:val="sr-Cyrl-CS"/>
        </w:rPr>
        <w:t xml:space="preserve"> у Београду,</w:t>
      </w:r>
      <w:r w:rsidR="007F567F">
        <w:rPr>
          <w:rFonts w:eastAsia="SimSun"/>
          <w:lang w:val="sr-Cyrl-CS"/>
        </w:rPr>
        <w:t xml:space="preserve"> 7. маја</w:t>
      </w:r>
      <w:r w:rsidR="001417E0" w:rsidRPr="005038A0">
        <w:rPr>
          <w:rFonts w:eastAsia="SimSun"/>
          <w:lang w:val="sr-Cyrl-CS"/>
        </w:rPr>
        <w:t xml:space="preserve"> 201</w:t>
      </w:r>
      <w:r w:rsidR="00714928">
        <w:rPr>
          <w:rFonts w:eastAsia="SimSun"/>
          <w:lang w:val="sr-Cyrl-CS"/>
        </w:rPr>
        <w:t>9</w:t>
      </w:r>
      <w:r w:rsidR="001417E0" w:rsidRPr="005038A0">
        <w:rPr>
          <w:rFonts w:eastAsia="SimSun"/>
          <w:lang w:val="sr-Cyrl-CS"/>
        </w:rPr>
        <w:t>. године</w:t>
      </w:r>
      <w:r w:rsidRPr="005038A0">
        <w:rPr>
          <w:rFonts w:eastAsia="SimSun"/>
          <w:lang w:val="sr-Cyrl-CS"/>
        </w:rPr>
        <w:t>, у оригиналу на енглеском језику.</w:t>
      </w:r>
    </w:p>
    <w:p w:rsidR="00692046" w:rsidRPr="005038A0" w:rsidRDefault="00692046" w:rsidP="00A37D3D">
      <w:pPr>
        <w:ind w:firstLine="720"/>
        <w:jc w:val="both"/>
        <w:rPr>
          <w:lang w:val="sr-Cyrl-CS"/>
        </w:rPr>
      </w:pPr>
      <w:r w:rsidRPr="005038A0">
        <w:rPr>
          <w:lang w:val="sr-Cyrl-CS"/>
        </w:rPr>
        <w:t xml:space="preserve"> Одредба члана 2. </w:t>
      </w:r>
      <w:r w:rsidR="00C713DE" w:rsidRPr="005038A0">
        <w:rPr>
          <w:lang w:val="sr-Cyrl-CS"/>
        </w:rPr>
        <w:t xml:space="preserve">овог </w:t>
      </w:r>
      <w:r w:rsidR="00FA40D9" w:rsidRPr="005038A0">
        <w:rPr>
          <w:lang w:val="sr-Cyrl-CS"/>
        </w:rPr>
        <w:t xml:space="preserve">закона </w:t>
      </w:r>
      <w:r w:rsidRPr="005038A0">
        <w:rPr>
          <w:lang w:val="sr-Cyrl-CS"/>
        </w:rPr>
        <w:t xml:space="preserve">садржи текст </w:t>
      </w:r>
      <w:r w:rsidR="007F567F">
        <w:rPr>
          <w:rFonts w:eastAsia="SimSun"/>
          <w:lang w:val="sr-Cyrl-CS"/>
        </w:rPr>
        <w:t>Споразума о зајму</w:t>
      </w:r>
      <w:r w:rsidRPr="005038A0">
        <w:rPr>
          <w:rFonts w:eastAsia="SimSun"/>
          <w:lang w:val="sr-Cyrl-CS"/>
        </w:rPr>
        <w:t xml:space="preserve">, </w:t>
      </w:r>
      <w:r w:rsidRPr="005038A0">
        <w:rPr>
          <w:lang w:val="sr-Cyrl-CS"/>
        </w:rPr>
        <w:t>у оригиналу на енглеском језику и у преводу на српски језик.</w:t>
      </w:r>
    </w:p>
    <w:p w:rsidR="00A37D3D" w:rsidRPr="005038A0" w:rsidRDefault="00C713DE" w:rsidP="00A37D3D">
      <w:pPr>
        <w:ind w:firstLine="720"/>
        <w:jc w:val="both"/>
        <w:rPr>
          <w:lang w:val="sr-Cyrl-CS"/>
        </w:rPr>
      </w:pPr>
      <w:r w:rsidRPr="005038A0">
        <w:rPr>
          <w:lang w:val="sr-Cyrl-CS"/>
        </w:rPr>
        <w:t>Одредбом члана 3.</w:t>
      </w:r>
      <w:r w:rsidR="00FA40D9" w:rsidRPr="005038A0">
        <w:rPr>
          <w:lang w:val="sr-Cyrl-CS"/>
        </w:rPr>
        <w:t xml:space="preserve"> </w:t>
      </w:r>
      <w:r w:rsidR="00692046" w:rsidRPr="005038A0">
        <w:rPr>
          <w:lang w:val="sr-Cyrl-CS"/>
        </w:rPr>
        <w:t xml:space="preserve">уређује се ступање на снагу овог закона. </w:t>
      </w:r>
    </w:p>
    <w:p w:rsidR="001F7148" w:rsidRPr="005038A0" w:rsidRDefault="001F7148" w:rsidP="00A37D3D">
      <w:pPr>
        <w:ind w:firstLine="720"/>
        <w:jc w:val="both"/>
        <w:rPr>
          <w:lang w:val="sr-Cyrl-CS"/>
        </w:rPr>
      </w:pPr>
    </w:p>
    <w:p w:rsidR="00692046" w:rsidRPr="005038A0" w:rsidRDefault="00692046" w:rsidP="00A37D3D">
      <w:pPr>
        <w:ind w:firstLine="720"/>
        <w:jc w:val="both"/>
        <w:rPr>
          <w:bCs/>
          <w:lang w:val="sr-Cyrl-CS"/>
        </w:rPr>
      </w:pPr>
      <w:r w:rsidRPr="005038A0">
        <w:rPr>
          <w:bCs/>
        </w:rPr>
        <w:t>IV</w:t>
      </w:r>
      <w:r w:rsidRPr="005038A0">
        <w:rPr>
          <w:bCs/>
          <w:lang w:val="ru-RU"/>
        </w:rPr>
        <w:t xml:space="preserve">. </w:t>
      </w:r>
      <w:r w:rsidRPr="005038A0">
        <w:rPr>
          <w:bCs/>
          <w:lang w:val="sr-Cyrl-CS"/>
        </w:rPr>
        <w:t>ПРОЦЕНА ИЗНОСА ФИНАНСИЈСКИХ СРЕДСТАВА ПОТРЕБНИХ ЗА   СПРОВОЂЕЊЕ ЗАКОНА</w:t>
      </w:r>
    </w:p>
    <w:p w:rsidR="00692046" w:rsidRPr="005038A0" w:rsidRDefault="00692046" w:rsidP="00A37D3D">
      <w:pPr>
        <w:jc w:val="both"/>
        <w:rPr>
          <w:lang w:val="sr-Cyrl-CS"/>
        </w:rPr>
      </w:pPr>
    </w:p>
    <w:p w:rsidR="00692046" w:rsidRPr="005038A0" w:rsidRDefault="00692046" w:rsidP="00A37D3D">
      <w:pPr>
        <w:jc w:val="both"/>
        <w:rPr>
          <w:lang w:val="sr-Cyrl-CS"/>
        </w:rPr>
      </w:pPr>
      <w:r w:rsidRPr="005038A0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:rsidR="00FA40D9" w:rsidRPr="005038A0" w:rsidRDefault="00FA40D9" w:rsidP="00A37D3D">
      <w:pPr>
        <w:jc w:val="both"/>
        <w:rPr>
          <w:lang w:val="sr-Cyrl-CS"/>
        </w:rPr>
      </w:pPr>
    </w:p>
    <w:p w:rsidR="00692046" w:rsidRPr="005038A0" w:rsidRDefault="00692046" w:rsidP="00A37D3D">
      <w:pPr>
        <w:ind w:firstLine="720"/>
        <w:jc w:val="both"/>
        <w:rPr>
          <w:lang w:val="sr-Cyrl-CS"/>
        </w:rPr>
      </w:pPr>
      <w:r w:rsidRPr="005038A0">
        <w:t>V</w:t>
      </w:r>
      <w:r w:rsidRPr="005038A0">
        <w:rPr>
          <w:lang w:val="ru-RU"/>
        </w:rPr>
        <w:t xml:space="preserve">. </w:t>
      </w:r>
      <w:r w:rsidRPr="005038A0">
        <w:rPr>
          <w:lang w:val="sr-Cyrl-CS"/>
        </w:rPr>
        <w:t>РАЗЛОЗИ ЗА ДОНОШЕЊЕ ЗАКОНА ПО ХИТНОМ ПОСТУПКУ</w:t>
      </w:r>
    </w:p>
    <w:p w:rsidR="00692046" w:rsidRPr="005038A0" w:rsidRDefault="00692046" w:rsidP="00A37D3D">
      <w:pPr>
        <w:ind w:firstLine="720"/>
        <w:jc w:val="both"/>
        <w:rPr>
          <w:lang w:val="sr-Cyrl-CS"/>
        </w:rPr>
      </w:pPr>
    </w:p>
    <w:p w:rsidR="00726477" w:rsidRPr="005038A0" w:rsidRDefault="001A77EC" w:rsidP="00A37D3D">
      <w:pPr>
        <w:ind w:firstLine="720"/>
        <w:jc w:val="both"/>
        <w:rPr>
          <w:lang w:val="sr-Cyrl-CS"/>
        </w:rPr>
      </w:pPr>
      <w:r w:rsidRPr="005038A0">
        <w:rPr>
          <w:lang w:val="sr-Cyrl-CS"/>
        </w:rPr>
        <w:t>Разлози з</w:t>
      </w:r>
      <w:r w:rsidR="00692046" w:rsidRPr="005038A0">
        <w:rPr>
          <w:lang w:val="sr-Cyrl-CS"/>
        </w:rPr>
        <w:t>а доношење овог закона по хитном поступку, сагласно члану 167. Пословника Народне скупштине („Службени гласник РС”, број 20/12</w:t>
      </w:r>
      <w:r w:rsidR="00FA40D9" w:rsidRPr="005038A0">
        <w:rPr>
          <w:lang w:val="sr-Cyrl-CS"/>
        </w:rPr>
        <w:t>-</w:t>
      </w:r>
      <w:r w:rsidR="00692046" w:rsidRPr="005038A0">
        <w:rPr>
          <w:lang w:val="sr-Cyrl-CS"/>
        </w:rPr>
        <w:t xml:space="preserve">пречишћен текст) произлазе из чињенице да </w:t>
      </w:r>
      <w:r w:rsidR="00F62120" w:rsidRPr="005038A0">
        <w:rPr>
          <w:lang w:val="sr-Cyrl-CS"/>
        </w:rPr>
        <w:t>је</w:t>
      </w:r>
      <w:r w:rsidR="00692046" w:rsidRPr="005038A0">
        <w:rPr>
          <w:lang w:val="sr-Cyrl-CS"/>
        </w:rPr>
        <w:t xml:space="preserve"> </w:t>
      </w:r>
      <w:r w:rsidR="0095097B" w:rsidRPr="005038A0">
        <w:rPr>
          <w:lang w:val="sr-Cyrl-CS"/>
        </w:rPr>
        <w:t xml:space="preserve">ступање на снагу </w:t>
      </w:r>
      <w:r w:rsidR="007F567F">
        <w:rPr>
          <w:lang w:val="sr-Cyrl-RS"/>
        </w:rPr>
        <w:t>Споразума о зајму</w:t>
      </w:r>
      <w:r w:rsidR="0095097B" w:rsidRPr="005038A0">
        <w:rPr>
          <w:lang w:val="sr-Cyrl-CS"/>
        </w:rPr>
        <w:t xml:space="preserve">, </w:t>
      </w:r>
      <w:r w:rsidR="007D53F6" w:rsidRPr="005038A0">
        <w:rPr>
          <w:lang w:val="sr-Cyrl-CS"/>
        </w:rPr>
        <w:t xml:space="preserve">као </w:t>
      </w:r>
      <w:r w:rsidR="0095097B" w:rsidRPr="005038A0">
        <w:rPr>
          <w:lang w:val="sr-Cyrl-CS"/>
        </w:rPr>
        <w:t xml:space="preserve">и коришћење </w:t>
      </w:r>
      <w:r w:rsidR="00692046" w:rsidRPr="005038A0">
        <w:rPr>
          <w:lang w:val="sr-Cyrl-CS"/>
        </w:rPr>
        <w:t xml:space="preserve">средстава </w:t>
      </w:r>
      <w:r w:rsidR="0095097B" w:rsidRPr="005038A0">
        <w:rPr>
          <w:lang w:val="sr-Cyrl-CS"/>
        </w:rPr>
        <w:t>зајма</w:t>
      </w:r>
      <w:r w:rsidRPr="005038A0">
        <w:rPr>
          <w:lang w:val="sr-Cyrl-CS"/>
        </w:rPr>
        <w:t>,</w:t>
      </w:r>
      <w:r w:rsidR="00692046" w:rsidRPr="005038A0">
        <w:rPr>
          <w:lang w:val="sr-Cyrl-CS"/>
        </w:rPr>
        <w:t xml:space="preserve"> условљен</w:t>
      </w:r>
      <w:r w:rsidR="00F62120" w:rsidRPr="005038A0">
        <w:rPr>
          <w:lang w:val="sr-Cyrl-CS"/>
        </w:rPr>
        <w:t>о</w:t>
      </w:r>
      <w:r w:rsidR="00692046" w:rsidRPr="005038A0">
        <w:rPr>
          <w:lang w:val="sr-Cyrl-CS"/>
        </w:rPr>
        <w:t xml:space="preserve"> ступањем на снагу закона о потврђивању </w:t>
      </w:r>
      <w:r w:rsidR="007F567F">
        <w:rPr>
          <w:lang w:val="sr-Cyrl-CS"/>
        </w:rPr>
        <w:t>Споразума о зајму</w:t>
      </w:r>
      <w:r w:rsidR="00F56DA4" w:rsidRPr="005038A0">
        <w:rPr>
          <w:lang w:val="sr-Cyrl-CS"/>
        </w:rPr>
        <w:t>.</w:t>
      </w:r>
    </w:p>
    <w:p w:rsidR="00726477" w:rsidRPr="005038A0" w:rsidRDefault="00726477" w:rsidP="00A37D3D">
      <w:pPr>
        <w:ind w:firstLine="708"/>
        <w:jc w:val="both"/>
        <w:rPr>
          <w:lang w:val="sr-Cyrl-CS"/>
        </w:rPr>
      </w:pPr>
    </w:p>
    <w:sectPr w:rsidR="00726477" w:rsidRPr="005038A0" w:rsidSect="003C2142">
      <w:headerReference w:type="even" r:id="rId7"/>
      <w:headerReference w:type="default" r:id="rId8"/>
      <w:footerReference w:type="even" r:id="rId9"/>
      <w:pgSz w:w="11909" w:h="16834" w:code="9"/>
      <w:pgMar w:top="1276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B9F" w:rsidRDefault="002B1B9F">
      <w:r>
        <w:separator/>
      </w:r>
    </w:p>
  </w:endnote>
  <w:endnote w:type="continuationSeparator" w:id="0">
    <w:p w:rsidR="002B1B9F" w:rsidRDefault="002B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182712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B9F" w:rsidRDefault="002B1B9F">
      <w:r>
        <w:separator/>
      </w:r>
    </w:p>
  </w:footnote>
  <w:footnote w:type="continuationSeparator" w:id="0">
    <w:p w:rsidR="002B1B9F" w:rsidRDefault="002B1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182712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477" w:rsidRDefault="00182712" w:rsidP="004A33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264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061E">
      <w:rPr>
        <w:rStyle w:val="PageNumber"/>
        <w:noProof/>
      </w:rPr>
      <w:t>2</w: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960"/>
        </w:tabs>
        <w:ind w:left="96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419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851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923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9955" w:hanging="360"/>
      </w:pPr>
      <w:rPr>
        <w:rFonts w:ascii="Wingdings" w:hAnsi="Wingdings" w:hint="default"/>
      </w:rPr>
    </w:lvl>
  </w:abstractNum>
  <w:abstractNum w:abstractNumId="9" w15:restartNumberingAfterBreak="0">
    <w:nsid w:val="3FD21AC3"/>
    <w:multiLevelType w:val="hybridMultilevel"/>
    <w:tmpl w:val="A894A4F0"/>
    <w:lvl w:ilvl="0" w:tplc="DB5AB022">
      <w:start w:val="2"/>
      <w:numFmt w:val="bullet"/>
      <w:lvlText w:val="–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D707B1"/>
    <w:multiLevelType w:val="hybridMultilevel"/>
    <w:tmpl w:val="31ACEDD0"/>
    <w:lvl w:ilvl="0" w:tplc="B59CBD2E">
      <w:numFmt w:val="bullet"/>
      <w:lvlText w:val="-"/>
      <w:lvlJc w:val="left"/>
      <w:pPr>
        <w:ind w:left="99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CA760B"/>
    <w:multiLevelType w:val="hybridMultilevel"/>
    <w:tmpl w:val="27CC2F14"/>
    <w:lvl w:ilvl="0" w:tplc="E63E5ABA">
      <w:start w:val="5"/>
      <w:numFmt w:val="bullet"/>
      <w:lvlText w:val="–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D2853B0"/>
    <w:multiLevelType w:val="hybridMultilevel"/>
    <w:tmpl w:val="1B1C4D1E"/>
    <w:lvl w:ilvl="0" w:tplc="95AEDEBA">
      <w:start w:val="5"/>
      <w:numFmt w:val="bullet"/>
      <w:lvlText w:val="–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4"/>
  </w:num>
  <w:num w:numId="6">
    <w:abstractNumId w:val="2"/>
  </w:num>
  <w:num w:numId="7">
    <w:abstractNumId w:val="7"/>
  </w:num>
  <w:num w:numId="8">
    <w:abstractNumId w:val="1"/>
  </w:num>
  <w:num w:numId="9">
    <w:abstractNumId w:val="6"/>
  </w:num>
  <w:num w:numId="10">
    <w:abstractNumId w:val="10"/>
  </w:num>
  <w:num w:numId="11">
    <w:abstractNumId w:val="3"/>
  </w:num>
  <w:num w:numId="12">
    <w:abstractNumId w:val="9"/>
  </w:num>
  <w:num w:numId="13">
    <w:abstractNumId w:val="14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E17"/>
    <w:rsid w:val="0000623F"/>
    <w:rsid w:val="00020FCC"/>
    <w:rsid w:val="00032B9A"/>
    <w:rsid w:val="000437FA"/>
    <w:rsid w:val="00062F06"/>
    <w:rsid w:val="00063735"/>
    <w:rsid w:val="00064108"/>
    <w:rsid w:val="00073E3C"/>
    <w:rsid w:val="00081E8A"/>
    <w:rsid w:val="000821BE"/>
    <w:rsid w:val="000828FE"/>
    <w:rsid w:val="0008372F"/>
    <w:rsid w:val="000934C3"/>
    <w:rsid w:val="0009350A"/>
    <w:rsid w:val="000A0D8B"/>
    <w:rsid w:val="000A50DC"/>
    <w:rsid w:val="000B0459"/>
    <w:rsid w:val="000B10B4"/>
    <w:rsid w:val="000B433B"/>
    <w:rsid w:val="000B4E48"/>
    <w:rsid w:val="000B53A9"/>
    <w:rsid w:val="000B5749"/>
    <w:rsid w:val="000C1F4C"/>
    <w:rsid w:val="000C4E82"/>
    <w:rsid w:val="000C624C"/>
    <w:rsid w:val="000E05B7"/>
    <w:rsid w:val="00103B05"/>
    <w:rsid w:val="00113ACC"/>
    <w:rsid w:val="00115F04"/>
    <w:rsid w:val="00117CB4"/>
    <w:rsid w:val="00126325"/>
    <w:rsid w:val="001417E0"/>
    <w:rsid w:val="00144767"/>
    <w:rsid w:val="00147749"/>
    <w:rsid w:val="00153626"/>
    <w:rsid w:val="001667F5"/>
    <w:rsid w:val="00182712"/>
    <w:rsid w:val="001A3B02"/>
    <w:rsid w:val="001A7148"/>
    <w:rsid w:val="001A77EC"/>
    <w:rsid w:val="001B66FD"/>
    <w:rsid w:val="001C546D"/>
    <w:rsid w:val="001C5E2D"/>
    <w:rsid w:val="001E1C8B"/>
    <w:rsid w:val="001E418E"/>
    <w:rsid w:val="001E57EF"/>
    <w:rsid w:val="001E7107"/>
    <w:rsid w:val="001E7301"/>
    <w:rsid w:val="001F1228"/>
    <w:rsid w:val="001F52BB"/>
    <w:rsid w:val="001F7148"/>
    <w:rsid w:val="00204A89"/>
    <w:rsid w:val="002052E3"/>
    <w:rsid w:val="0021092B"/>
    <w:rsid w:val="00241C0E"/>
    <w:rsid w:val="00243DD8"/>
    <w:rsid w:val="002451DF"/>
    <w:rsid w:val="00253453"/>
    <w:rsid w:val="00255BA5"/>
    <w:rsid w:val="0025659C"/>
    <w:rsid w:val="0025742D"/>
    <w:rsid w:val="00272201"/>
    <w:rsid w:val="00280305"/>
    <w:rsid w:val="00284188"/>
    <w:rsid w:val="00286C70"/>
    <w:rsid w:val="00291078"/>
    <w:rsid w:val="002912F5"/>
    <w:rsid w:val="002A19F2"/>
    <w:rsid w:val="002B1B9F"/>
    <w:rsid w:val="002B468F"/>
    <w:rsid w:val="002C0EF5"/>
    <w:rsid w:val="002C140C"/>
    <w:rsid w:val="002F1750"/>
    <w:rsid w:val="0030234C"/>
    <w:rsid w:val="00316AB7"/>
    <w:rsid w:val="00336CD2"/>
    <w:rsid w:val="00343088"/>
    <w:rsid w:val="00343D47"/>
    <w:rsid w:val="00344F7E"/>
    <w:rsid w:val="00356442"/>
    <w:rsid w:val="0035699D"/>
    <w:rsid w:val="003627B1"/>
    <w:rsid w:val="0036351A"/>
    <w:rsid w:val="00375309"/>
    <w:rsid w:val="0037575B"/>
    <w:rsid w:val="0038219E"/>
    <w:rsid w:val="00382719"/>
    <w:rsid w:val="00382C30"/>
    <w:rsid w:val="00384EA3"/>
    <w:rsid w:val="00387AD2"/>
    <w:rsid w:val="003B34BB"/>
    <w:rsid w:val="003B52EA"/>
    <w:rsid w:val="003C0CD0"/>
    <w:rsid w:val="003C2142"/>
    <w:rsid w:val="003E6854"/>
    <w:rsid w:val="003E6BA6"/>
    <w:rsid w:val="003F7B23"/>
    <w:rsid w:val="0040226C"/>
    <w:rsid w:val="00423BF8"/>
    <w:rsid w:val="00452464"/>
    <w:rsid w:val="00470AE5"/>
    <w:rsid w:val="00475346"/>
    <w:rsid w:val="00475C98"/>
    <w:rsid w:val="00481EDB"/>
    <w:rsid w:val="00485D86"/>
    <w:rsid w:val="004A33F0"/>
    <w:rsid w:val="004A3461"/>
    <w:rsid w:val="004B0478"/>
    <w:rsid w:val="004B4959"/>
    <w:rsid w:val="004B74C6"/>
    <w:rsid w:val="004C5540"/>
    <w:rsid w:val="004E3B5A"/>
    <w:rsid w:val="004E689B"/>
    <w:rsid w:val="004F5575"/>
    <w:rsid w:val="005038A0"/>
    <w:rsid w:val="005038FB"/>
    <w:rsid w:val="00507384"/>
    <w:rsid w:val="00507842"/>
    <w:rsid w:val="00525E17"/>
    <w:rsid w:val="00526BD0"/>
    <w:rsid w:val="00534BAD"/>
    <w:rsid w:val="00542F03"/>
    <w:rsid w:val="00543111"/>
    <w:rsid w:val="0056231B"/>
    <w:rsid w:val="00562EF5"/>
    <w:rsid w:val="00564468"/>
    <w:rsid w:val="005667F8"/>
    <w:rsid w:val="005759C0"/>
    <w:rsid w:val="00584A3D"/>
    <w:rsid w:val="00590734"/>
    <w:rsid w:val="005937ED"/>
    <w:rsid w:val="00596B97"/>
    <w:rsid w:val="005B7034"/>
    <w:rsid w:val="005B78AF"/>
    <w:rsid w:val="005C0446"/>
    <w:rsid w:val="005C39E1"/>
    <w:rsid w:val="005C442E"/>
    <w:rsid w:val="005C62A0"/>
    <w:rsid w:val="005C6404"/>
    <w:rsid w:val="005D0A0B"/>
    <w:rsid w:val="005D4E8E"/>
    <w:rsid w:val="005F3A87"/>
    <w:rsid w:val="005F7752"/>
    <w:rsid w:val="00604F72"/>
    <w:rsid w:val="00606517"/>
    <w:rsid w:val="00612F27"/>
    <w:rsid w:val="006130E2"/>
    <w:rsid w:val="00621F25"/>
    <w:rsid w:val="00624117"/>
    <w:rsid w:val="00635AB6"/>
    <w:rsid w:val="0064720E"/>
    <w:rsid w:val="00654444"/>
    <w:rsid w:val="006610A8"/>
    <w:rsid w:val="006655D8"/>
    <w:rsid w:val="006767ED"/>
    <w:rsid w:val="0069053B"/>
    <w:rsid w:val="00690FBF"/>
    <w:rsid w:val="00692046"/>
    <w:rsid w:val="0069359B"/>
    <w:rsid w:val="006941D5"/>
    <w:rsid w:val="006961E3"/>
    <w:rsid w:val="006A45D0"/>
    <w:rsid w:val="006B2D5A"/>
    <w:rsid w:val="006B2DE0"/>
    <w:rsid w:val="006B3D26"/>
    <w:rsid w:val="006B4040"/>
    <w:rsid w:val="006B6E0D"/>
    <w:rsid w:val="006C0CB7"/>
    <w:rsid w:val="006C671B"/>
    <w:rsid w:val="006C6834"/>
    <w:rsid w:val="006D1429"/>
    <w:rsid w:val="006E2373"/>
    <w:rsid w:val="006E3BFE"/>
    <w:rsid w:val="006F005C"/>
    <w:rsid w:val="006F0436"/>
    <w:rsid w:val="006F1D87"/>
    <w:rsid w:val="006F412B"/>
    <w:rsid w:val="0070299B"/>
    <w:rsid w:val="007064E3"/>
    <w:rsid w:val="00714928"/>
    <w:rsid w:val="0071651A"/>
    <w:rsid w:val="007173D8"/>
    <w:rsid w:val="0072050A"/>
    <w:rsid w:val="00723279"/>
    <w:rsid w:val="0072640A"/>
    <w:rsid w:val="00726477"/>
    <w:rsid w:val="00740858"/>
    <w:rsid w:val="00746BDE"/>
    <w:rsid w:val="00756EEE"/>
    <w:rsid w:val="00757A2E"/>
    <w:rsid w:val="007603E0"/>
    <w:rsid w:val="00773832"/>
    <w:rsid w:val="00774BEC"/>
    <w:rsid w:val="007769D6"/>
    <w:rsid w:val="007831CB"/>
    <w:rsid w:val="00783C06"/>
    <w:rsid w:val="00790D84"/>
    <w:rsid w:val="00792FB6"/>
    <w:rsid w:val="00796DC0"/>
    <w:rsid w:val="007A1385"/>
    <w:rsid w:val="007B14FA"/>
    <w:rsid w:val="007C3802"/>
    <w:rsid w:val="007C5ECC"/>
    <w:rsid w:val="007D3CBB"/>
    <w:rsid w:val="007D53F6"/>
    <w:rsid w:val="007F45DA"/>
    <w:rsid w:val="007F567F"/>
    <w:rsid w:val="007F76C7"/>
    <w:rsid w:val="00812742"/>
    <w:rsid w:val="00816A77"/>
    <w:rsid w:val="00824570"/>
    <w:rsid w:val="0082735B"/>
    <w:rsid w:val="00836B68"/>
    <w:rsid w:val="00845874"/>
    <w:rsid w:val="00860400"/>
    <w:rsid w:val="008604C6"/>
    <w:rsid w:val="00862E50"/>
    <w:rsid w:val="00864A3D"/>
    <w:rsid w:val="008652F7"/>
    <w:rsid w:val="00866F6D"/>
    <w:rsid w:val="00874CB0"/>
    <w:rsid w:val="00887ECE"/>
    <w:rsid w:val="00890B04"/>
    <w:rsid w:val="00890DFB"/>
    <w:rsid w:val="008976A4"/>
    <w:rsid w:val="0089793E"/>
    <w:rsid w:val="008A2893"/>
    <w:rsid w:val="008A5900"/>
    <w:rsid w:val="008B4ED3"/>
    <w:rsid w:val="008B4F87"/>
    <w:rsid w:val="008C1250"/>
    <w:rsid w:val="008C220C"/>
    <w:rsid w:val="008C39C2"/>
    <w:rsid w:val="008C45A6"/>
    <w:rsid w:val="008D29F9"/>
    <w:rsid w:val="008F15A3"/>
    <w:rsid w:val="008F54A3"/>
    <w:rsid w:val="008F79A8"/>
    <w:rsid w:val="0090121C"/>
    <w:rsid w:val="00902EE5"/>
    <w:rsid w:val="009142C3"/>
    <w:rsid w:val="00923785"/>
    <w:rsid w:val="009327F0"/>
    <w:rsid w:val="009333FB"/>
    <w:rsid w:val="00933B8D"/>
    <w:rsid w:val="00934890"/>
    <w:rsid w:val="00935EEF"/>
    <w:rsid w:val="0094174E"/>
    <w:rsid w:val="00947089"/>
    <w:rsid w:val="00947F14"/>
    <w:rsid w:val="0095097B"/>
    <w:rsid w:val="0096620B"/>
    <w:rsid w:val="00966D91"/>
    <w:rsid w:val="0097521F"/>
    <w:rsid w:val="009811A0"/>
    <w:rsid w:val="0099088A"/>
    <w:rsid w:val="009A781A"/>
    <w:rsid w:val="009B3000"/>
    <w:rsid w:val="009C0011"/>
    <w:rsid w:val="009C0876"/>
    <w:rsid w:val="009C535A"/>
    <w:rsid w:val="009D1A3E"/>
    <w:rsid w:val="009E43BE"/>
    <w:rsid w:val="009E62DB"/>
    <w:rsid w:val="009E66D1"/>
    <w:rsid w:val="009E6D0B"/>
    <w:rsid w:val="009F0496"/>
    <w:rsid w:val="009F061E"/>
    <w:rsid w:val="009F310E"/>
    <w:rsid w:val="009F5AEC"/>
    <w:rsid w:val="00A037E5"/>
    <w:rsid w:val="00A054F7"/>
    <w:rsid w:val="00A1714E"/>
    <w:rsid w:val="00A218FF"/>
    <w:rsid w:val="00A24C0E"/>
    <w:rsid w:val="00A32081"/>
    <w:rsid w:val="00A36EB5"/>
    <w:rsid w:val="00A37D3D"/>
    <w:rsid w:val="00A56DC0"/>
    <w:rsid w:val="00A66499"/>
    <w:rsid w:val="00A67B90"/>
    <w:rsid w:val="00A77C1B"/>
    <w:rsid w:val="00A91491"/>
    <w:rsid w:val="00AA5172"/>
    <w:rsid w:val="00AA5E8B"/>
    <w:rsid w:val="00AA7FD3"/>
    <w:rsid w:val="00AB0889"/>
    <w:rsid w:val="00AB09A7"/>
    <w:rsid w:val="00AB1D87"/>
    <w:rsid w:val="00AC23DB"/>
    <w:rsid w:val="00AC319E"/>
    <w:rsid w:val="00AC6967"/>
    <w:rsid w:val="00AC6E28"/>
    <w:rsid w:val="00AD2A88"/>
    <w:rsid w:val="00AF05CC"/>
    <w:rsid w:val="00AF7D76"/>
    <w:rsid w:val="00B01134"/>
    <w:rsid w:val="00B0221D"/>
    <w:rsid w:val="00B11D1A"/>
    <w:rsid w:val="00B12106"/>
    <w:rsid w:val="00B15893"/>
    <w:rsid w:val="00B207D5"/>
    <w:rsid w:val="00B236F6"/>
    <w:rsid w:val="00B31EEB"/>
    <w:rsid w:val="00B41779"/>
    <w:rsid w:val="00B41E3D"/>
    <w:rsid w:val="00B50F49"/>
    <w:rsid w:val="00B6096C"/>
    <w:rsid w:val="00B66801"/>
    <w:rsid w:val="00B8231A"/>
    <w:rsid w:val="00B8286E"/>
    <w:rsid w:val="00B82F86"/>
    <w:rsid w:val="00B83EA4"/>
    <w:rsid w:val="00B92820"/>
    <w:rsid w:val="00BA558F"/>
    <w:rsid w:val="00BA5836"/>
    <w:rsid w:val="00BC462E"/>
    <w:rsid w:val="00BE4ADF"/>
    <w:rsid w:val="00BE5DE1"/>
    <w:rsid w:val="00BF1E3A"/>
    <w:rsid w:val="00BF6BB4"/>
    <w:rsid w:val="00C14179"/>
    <w:rsid w:val="00C161E1"/>
    <w:rsid w:val="00C21708"/>
    <w:rsid w:val="00C454A1"/>
    <w:rsid w:val="00C574E3"/>
    <w:rsid w:val="00C60AEB"/>
    <w:rsid w:val="00C645D8"/>
    <w:rsid w:val="00C661C9"/>
    <w:rsid w:val="00C713DE"/>
    <w:rsid w:val="00C72296"/>
    <w:rsid w:val="00C8159D"/>
    <w:rsid w:val="00C8376C"/>
    <w:rsid w:val="00C847B1"/>
    <w:rsid w:val="00C90848"/>
    <w:rsid w:val="00C92DDC"/>
    <w:rsid w:val="00C95A13"/>
    <w:rsid w:val="00CB0050"/>
    <w:rsid w:val="00CB11E2"/>
    <w:rsid w:val="00CB1589"/>
    <w:rsid w:val="00CB387A"/>
    <w:rsid w:val="00CC41C3"/>
    <w:rsid w:val="00CF1B02"/>
    <w:rsid w:val="00D016B8"/>
    <w:rsid w:val="00D01EB5"/>
    <w:rsid w:val="00D055F0"/>
    <w:rsid w:val="00D06244"/>
    <w:rsid w:val="00D07955"/>
    <w:rsid w:val="00D14908"/>
    <w:rsid w:val="00D244E6"/>
    <w:rsid w:val="00D324C9"/>
    <w:rsid w:val="00D572A1"/>
    <w:rsid w:val="00D57EE4"/>
    <w:rsid w:val="00D60D13"/>
    <w:rsid w:val="00D7163A"/>
    <w:rsid w:val="00D71C65"/>
    <w:rsid w:val="00D724E0"/>
    <w:rsid w:val="00D77EA7"/>
    <w:rsid w:val="00D809EF"/>
    <w:rsid w:val="00DA3A35"/>
    <w:rsid w:val="00DD4B60"/>
    <w:rsid w:val="00DD71DE"/>
    <w:rsid w:val="00DE046C"/>
    <w:rsid w:val="00DE11A1"/>
    <w:rsid w:val="00DE3BDE"/>
    <w:rsid w:val="00DF2E0D"/>
    <w:rsid w:val="00DF2F34"/>
    <w:rsid w:val="00DF3348"/>
    <w:rsid w:val="00E05F2F"/>
    <w:rsid w:val="00E12AB8"/>
    <w:rsid w:val="00E20F6A"/>
    <w:rsid w:val="00E219CE"/>
    <w:rsid w:val="00E3026C"/>
    <w:rsid w:val="00E40475"/>
    <w:rsid w:val="00E42F31"/>
    <w:rsid w:val="00E45A97"/>
    <w:rsid w:val="00E45C01"/>
    <w:rsid w:val="00E64495"/>
    <w:rsid w:val="00E77BF9"/>
    <w:rsid w:val="00E80D89"/>
    <w:rsid w:val="00E80F05"/>
    <w:rsid w:val="00E8335C"/>
    <w:rsid w:val="00E85949"/>
    <w:rsid w:val="00E8762A"/>
    <w:rsid w:val="00E92AE5"/>
    <w:rsid w:val="00E93238"/>
    <w:rsid w:val="00EA60E5"/>
    <w:rsid w:val="00EB11BA"/>
    <w:rsid w:val="00EB3E75"/>
    <w:rsid w:val="00EC2CAE"/>
    <w:rsid w:val="00EC61DD"/>
    <w:rsid w:val="00EE585F"/>
    <w:rsid w:val="00EE6B63"/>
    <w:rsid w:val="00EF6FF3"/>
    <w:rsid w:val="00F01185"/>
    <w:rsid w:val="00F05D4B"/>
    <w:rsid w:val="00F332F8"/>
    <w:rsid w:val="00F40184"/>
    <w:rsid w:val="00F56DA4"/>
    <w:rsid w:val="00F62120"/>
    <w:rsid w:val="00F765C6"/>
    <w:rsid w:val="00F84AFF"/>
    <w:rsid w:val="00F86715"/>
    <w:rsid w:val="00F90C89"/>
    <w:rsid w:val="00F9386E"/>
    <w:rsid w:val="00FA2F95"/>
    <w:rsid w:val="00FA40D9"/>
    <w:rsid w:val="00FC1322"/>
    <w:rsid w:val="00FC42E6"/>
    <w:rsid w:val="00FD0E68"/>
    <w:rsid w:val="00FE006C"/>
    <w:rsid w:val="00FE46FB"/>
    <w:rsid w:val="00FE755B"/>
    <w:rsid w:val="00FE7DB0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C35692-9286-4635-84CB-7D0C4FDD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link w:val="BodyTextIndent2Char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A3A35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6767ED"/>
    <w:rPr>
      <w:bCs/>
      <w:sz w:val="24"/>
      <w:szCs w:val="24"/>
      <w:lang w:val="sr-Cyrl-CS"/>
    </w:rPr>
  </w:style>
  <w:style w:type="character" w:styleId="Hyperlink">
    <w:name w:val="Hyperlink"/>
    <w:uiPriority w:val="99"/>
    <w:rsid w:val="009F310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13342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Ljubinka Stojkovic</cp:lastModifiedBy>
  <cp:revision>2</cp:revision>
  <cp:lastPrinted>2016-11-15T09:05:00Z</cp:lastPrinted>
  <dcterms:created xsi:type="dcterms:W3CDTF">2019-05-09T14:22:00Z</dcterms:created>
  <dcterms:modified xsi:type="dcterms:W3CDTF">2019-05-09T14:22:00Z</dcterms:modified>
</cp:coreProperties>
</file>