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EB1" w:rsidRPr="008967A7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  <w:r w:rsidRPr="008967A7">
        <w:rPr>
          <w:rFonts w:ascii="Times New Roman" w:hAnsi="Times New Roman"/>
          <w:szCs w:val="24"/>
          <w:lang w:val="sr-Latn-CS"/>
        </w:rPr>
        <w:t>О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Б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Р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А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З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Л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О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Ж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Е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Њ</w:t>
      </w: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Latn-CS"/>
        </w:rPr>
        <w:t>Е</w:t>
      </w:r>
    </w:p>
    <w:p w:rsidR="00CF4EB1" w:rsidRPr="008967A7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8967A7" w:rsidRDefault="00CF4EB1" w:rsidP="00CF4EB1">
      <w:pPr>
        <w:ind w:firstLine="709"/>
        <w:rPr>
          <w:rFonts w:ascii="Times New Roman" w:hAnsi="Times New Roman"/>
          <w:bCs/>
          <w:szCs w:val="24"/>
          <w:lang w:val="ru-RU"/>
        </w:rPr>
      </w:pPr>
      <w:r w:rsidRPr="008967A7">
        <w:rPr>
          <w:rFonts w:ascii="Times New Roman" w:hAnsi="Times New Roman"/>
          <w:bCs/>
          <w:szCs w:val="24"/>
          <w:lang w:val="sr-Cyrl-CS"/>
        </w:rPr>
        <w:t xml:space="preserve"> I. УСТАВНИ </w:t>
      </w:r>
      <w:r w:rsidRPr="008967A7">
        <w:rPr>
          <w:rFonts w:ascii="Times New Roman" w:hAnsi="Times New Roman"/>
          <w:bCs/>
          <w:szCs w:val="24"/>
          <w:lang w:val="ru-RU"/>
        </w:rPr>
        <w:t>ОСНОВ ЗА ДОНОШЕЊЕ ЗАКОНА</w:t>
      </w:r>
    </w:p>
    <w:p w:rsidR="00CF4EB1" w:rsidRPr="008967A7" w:rsidRDefault="00CF4EB1" w:rsidP="00CF4EB1">
      <w:pPr>
        <w:rPr>
          <w:rFonts w:ascii="Times New Roman" w:hAnsi="Times New Roman"/>
          <w:bCs/>
          <w:szCs w:val="24"/>
          <w:lang w:val="ru-RU"/>
        </w:rPr>
      </w:pPr>
    </w:p>
    <w:p w:rsidR="00CF4EB1" w:rsidRPr="008967A7" w:rsidRDefault="00CF4EB1" w:rsidP="00CF4EB1">
      <w:pPr>
        <w:jc w:val="both"/>
        <w:rPr>
          <w:rFonts w:ascii="Times New Roman" w:hAnsi="Times New Roman"/>
          <w:szCs w:val="24"/>
          <w:lang w:val="ru-RU"/>
        </w:rPr>
      </w:pPr>
      <w:r w:rsidRPr="008967A7">
        <w:rPr>
          <w:rFonts w:ascii="Times New Roman" w:hAnsi="Times New Roman"/>
          <w:szCs w:val="24"/>
          <w:lang w:val="ru-RU"/>
        </w:rPr>
        <w:t xml:space="preserve"> </w:t>
      </w:r>
      <w:r w:rsidRPr="008967A7">
        <w:rPr>
          <w:rFonts w:ascii="Times New Roman" w:hAnsi="Times New Roman"/>
          <w:szCs w:val="24"/>
          <w:lang w:val="ru-RU"/>
        </w:rPr>
        <w:tab/>
        <w:t xml:space="preserve">Уставни основ за доношење овог закона садржан је у члану 99. </w:t>
      </w:r>
      <w:r w:rsidRPr="008967A7">
        <w:rPr>
          <w:rFonts w:ascii="Times New Roman" w:hAnsi="Times New Roman"/>
          <w:szCs w:val="24"/>
          <w:lang w:val="sr-Cyrl-CS"/>
        </w:rPr>
        <w:t xml:space="preserve">став 1. </w:t>
      </w:r>
      <w:r w:rsidRPr="008967A7">
        <w:rPr>
          <w:rFonts w:ascii="Times New Roman" w:hAnsi="Times New Roman"/>
          <w:szCs w:val="24"/>
          <w:lang w:val="ru-RU"/>
        </w:rPr>
        <w:t>тачка 4.</w:t>
      </w:r>
      <w:r w:rsidRPr="008967A7">
        <w:rPr>
          <w:rFonts w:ascii="Times New Roman" w:hAnsi="Times New Roman"/>
          <w:szCs w:val="24"/>
          <w:lang w:val="sr-Latn-CS"/>
        </w:rPr>
        <w:t xml:space="preserve"> </w:t>
      </w:r>
      <w:r w:rsidRPr="008967A7">
        <w:rPr>
          <w:rFonts w:ascii="Times New Roman" w:hAnsi="Times New Roman"/>
          <w:szCs w:val="24"/>
          <w:lang w:val="ru-RU"/>
        </w:rPr>
        <w:t>Устава Републике Србије („Службени гласник РС”, брoj 98/06),</w:t>
      </w:r>
      <w:r w:rsidRPr="008967A7">
        <w:rPr>
          <w:rFonts w:ascii="Times New Roman" w:hAnsi="Times New Roman"/>
          <w:szCs w:val="24"/>
        </w:rPr>
        <w:t xml:space="preserve"> према коме</w:t>
      </w:r>
      <w:r w:rsidRPr="008967A7">
        <w:rPr>
          <w:rFonts w:ascii="Times New Roman" w:hAnsi="Times New Roman"/>
          <w:szCs w:val="24"/>
          <w:lang w:val="ru-RU"/>
        </w:rPr>
        <w:t xml:space="preserve"> Народна скупштина Републике Србије потврђује међународне уговоре када је законом предвиђена обавеза њиховог потврђивања.</w:t>
      </w:r>
    </w:p>
    <w:p w:rsidR="00CF4EB1" w:rsidRPr="008967A7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8967A7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:rsidR="00187CCB" w:rsidRPr="008967A7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bCs/>
          <w:szCs w:val="24"/>
          <w:lang w:val="en-US" w:eastAsia="en-US"/>
        </w:rPr>
        <w:t>II</w:t>
      </w:r>
      <w:r w:rsidRPr="008967A7">
        <w:rPr>
          <w:rFonts w:ascii="Times New Roman" w:hAnsi="Times New Roman"/>
          <w:bCs/>
          <w:szCs w:val="24"/>
          <w:lang w:val="sr-Cyrl-CS" w:eastAsia="en-US"/>
        </w:rPr>
        <w:t>. РАЗЛОЗИ ЗА ПОТВРЂИВАЊЕ</w:t>
      </w:r>
    </w:p>
    <w:p w:rsidR="00CF4EB1" w:rsidRPr="008967A7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Latn-CS"/>
        </w:rPr>
      </w:pPr>
    </w:p>
    <w:p w:rsidR="00187CCB" w:rsidRPr="008967A7" w:rsidRDefault="00CF4EB1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Latn-RS"/>
        </w:rPr>
      </w:pPr>
      <w:r w:rsidRPr="008967A7">
        <w:rPr>
          <w:rFonts w:ascii="Times New Roman" w:hAnsi="Times New Roman"/>
          <w:szCs w:val="24"/>
          <w:lang w:val="sr-Cyrl-CS"/>
        </w:rPr>
        <w:t xml:space="preserve">Разлози за </w:t>
      </w:r>
      <w:r w:rsidR="00187CCB" w:rsidRPr="008967A7">
        <w:rPr>
          <w:rFonts w:ascii="Times New Roman" w:hAnsi="Times New Roman"/>
          <w:szCs w:val="24"/>
          <w:lang w:val="sr-Cyrl-CS"/>
        </w:rPr>
        <w:t>потврђивање</w:t>
      </w:r>
      <w:r w:rsidRPr="008967A7">
        <w:rPr>
          <w:rFonts w:ascii="Times New Roman" w:hAnsi="Times New Roman"/>
          <w:szCs w:val="24"/>
          <w:lang w:val="sr-Cyrl-CS"/>
        </w:rPr>
        <w:t xml:space="preserve"> Споразума о зајму </w:t>
      </w:r>
      <w:r w:rsidRPr="008967A7">
        <w:rPr>
          <w:rFonts w:ascii="Times New Roman" w:hAnsi="Times New Roman"/>
          <w:szCs w:val="24"/>
          <w:lang w:val="en-US"/>
        </w:rPr>
        <w:t>(</w:t>
      </w:r>
      <w:r w:rsidR="00537F21" w:rsidRPr="008967A7">
        <w:rPr>
          <w:rFonts w:ascii="Times New Roman" w:hAnsi="Times New Roman"/>
          <w:szCs w:val="24"/>
        </w:rPr>
        <w:t>Пројекат унапређења трговине и саобраћаја Западног Балкана уз примену вишефазног програмског приступа)</w:t>
      </w:r>
      <w:r w:rsidRPr="008967A7">
        <w:rPr>
          <w:rFonts w:ascii="Times New Roman" w:hAnsi="Times New Roman"/>
          <w:szCs w:val="24"/>
          <w:lang w:val="en-US"/>
        </w:rPr>
        <w:t xml:space="preserve"> </w:t>
      </w:r>
      <w:r w:rsidRPr="008967A7">
        <w:rPr>
          <w:rFonts w:ascii="Times New Roman" w:hAnsi="Times New Roman"/>
          <w:szCs w:val="24"/>
          <w:lang w:val="sr-Cyrl-CS"/>
        </w:rPr>
        <w:t xml:space="preserve">између Републике Србије и Међународне банке за обнову и развој, који је потписан </w:t>
      </w:r>
      <w:r w:rsidR="00A75CCC" w:rsidRPr="008967A7">
        <w:rPr>
          <w:rFonts w:ascii="Times New Roman" w:hAnsi="Times New Roman"/>
          <w:szCs w:val="24"/>
        </w:rPr>
        <w:t>7</w:t>
      </w:r>
      <w:r w:rsidRPr="008967A7">
        <w:rPr>
          <w:rFonts w:ascii="Times New Roman" w:hAnsi="Times New Roman"/>
          <w:szCs w:val="24"/>
          <w:lang w:val="sr-Cyrl-CS"/>
        </w:rPr>
        <w:t xml:space="preserve">. </w:t>
      </w:r>
      <w:r w:rsidR="005540D5" w:rsidRPr="008967A7">
        <w:rPr>
          <w:rFonts w:ascii="Times New Roman" w:hAnsi="Times New Roman"/>
          <w:szCs w:val="24"/>
          <w:lang w:val="sr-Cyrl-RS"/>
        </w:rPr>
        <w:t>маја</w:t>
      </w:r>
      <w:r w:rsidRPr="008967A7">
        <w:rPr>
          <w:rFonts w:ascii="Times New Roman" w:hAnsi="Times New Roman"/>
          <w:szCs w:val="24"/>
          <w:lang w:val="sr-Cyrl-CS"/>
        </w:rPr>
        <w:t xml:space="preserve"> 201</w:t>
      </w:r>
      <w:r w:rsidR="005540D5" w:rsidRPr="008967A7">
        <w:rPr>
          <w:rFonts w:ascii="Times New Roman" w:hAnsi="Times New Roman"/>
          <w:szCs w:val="24"/>
          <w:lang w:val="sr-Cyrl-CS"/>
        </w:rPr>
        <w:t>9</w:t>
      </w:r>
      <w:r w:rsidRPr="008967A7">
        <w:rPr>
          <w:rFonts w:ascii="Times New Roman" w:hAnsi="Times New Roman"/>
          <w:szCs w:val="24"/>
          <w:lang w:val="sr-Cyrl-CS"/>
        </w:rPr>
        <w:t xml:space="preserve">. године у Београду, </w:t>
      </w:r>
      <w:r w:rsidR="00187CCB" w:rsidRPr="008967A7">
        <w:rPr>
          <w:rFonts w:ascii="Times New Roman" w:hAnsi="Times New Roman"/>
          <w:szCs w:val="24"/>
          <w:lang w:val="sr-Cyrl-CS"/>
        </w:rPr>
        <w:t xml:space="preserve">садржани су у одредби члана </w:t>
      </w:r>
      <w:r w:rsidR="00187CCB" w:rsidRPr="008967A7">
        <w:rPr>
          <w:rFonts w:ascii="Times New Roman" w:hAnsi="Times New Roman"/>
          <w:szCs w:val="24"/>
          <w:lang w:val="ru-RU"/>
        </w:rPr>
        <w:t>5</w:t>
      </w:r>
      <w:r w:rsidR="00187CCB" w:rsidRPr="008967A7">
        <w:rPr>
          <w:rFonts w:ascii="Times New Roman" w:hAnsi="Times New Roman"/>
          <w:szCs w:val="24"/>
          <w:lang w:val="sr-Cyrl-CS"/>
        </w:rPr>
        <w:t xml:space="preserve">. став 2. Закона о јавном дугу </w:t>
      </w:r>
      <w:r w:rsidR="00311F46" w:rsidRPr="008967A7">
        <w:rPr>
          <w:rFonts w:ascii="Times New Roman" w:hAnsi="Times New Roman"/>
          <w:szCs w:val="24"/>
          <w:lang w:val="sr-Cyrl-CS"/>
        </w:rPr>
        <w:t>(„Службени гласник РС”, бр. 61/05, 107/09, 78/11, 68/15 и 95/18</w:t>
      </w:r>
      <w:r w:rsidR="00187CCB" w:rsidRPr="008967A7">
        <w:rPr>
          <w:rFonts w:ascii="Times New Roman" w:hAnsi="Times New Roman"/>
          <w:szCs w:val="24"/>
          <w:lang w:val="sr-Cyrl-CS"/>
        </w:rPr>
        <w:t xml:space="preserve">) према којој Народна скупштина Републике Србије одлучује о задуживању Републике Србије и одредби члана 14. став 1. </w:t>
      </w:r>
      <w:r w:rsidR="00187CCB" w:rsidRPr="008967A7">
        <w:rPr>
          <w:rFonts w:ascii="Times New Roman" w:hAnsi="Times New Roman"/>
          <w:szCs w:val="24"/>
        </w:rPr>
        <w:t xml:space="preserve">Закона о закључивању и извршавању међународних уговора </w:t>
      </w:r>
      <w:r w:rsidR="00311F46" w:rsidRPr="008967A7">
        <w:rPr>
          <w:rFonts w:ascii="Times New Roman" w:hAnsi="Times New Roman"/>
          <w:szCs w:val="24"/>
        </w:rPr>
        <w:t>(„Службени гласник РС”, број 32/13</w:t>
      </w:r>
      <w:r w:rsidR="00187CCB" w:rsidRPr="008967A7">
        <w:rPr>
          <w:rFonts w:ascii="Times New Roman" w:hAnsi="Times New Roman"/>
          <w:szCs w:val="24"/>
        </w:rPr>
        <w:t xml:space="preserve">) према којој </w:t>
      </w:r>
      <w:r w:rsidR="00187CCB" w:rsidRPr="008967A7">
        <w:rPr>
          <w:rFonts w:ascii="Times New Roman" w:hAnsi="Times New Roman"/>
          <w:szCs w:val="24"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  <w:r w:rsidR="005540D5" w:rsidRPr="008967A7">
        <w:rPr>
          <w:rFonts w:ascii="Times New Roman" w:hAnsi="Times New Roman"/>
          <w:szCs w:val="24"/>
          <w:lang w:val="sr-Latn-RS"/>
        </w:rPr>
        <w:t xml:space="preserve"> </w:t>
      </w:r>
    </w:p>
    <w:p w:rsidR="00537F21" w:rsidRPr="008967A7" w:rsidRDefault="005540D5" w:rsidP="00105078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 xml:space="preserve">Законом о буџету Републике Србије за 2019. годину („Службени гласник РС”, број 95/18) у члану 3.Б. </w:t>
      </w:r>
      <w:r w:rsidR="00537F21" w:rsidRPr="008967A7">
        <w:rPr>
          <w:rFonts w:ascii="Times New Roman" w:hAnsi="Times New Roman"/>
          <w:szCs w:val="24"/>
          <w:lang w:val="sr-Cyrl-CS" w:eastAsia="en-US"/>
        </w:rPr>
        <w:t>предвиђено је задуживање код Међународне банке за обнову и развој – Пројекат регионалне трговине и транспортних олакшица до 40.000.000 УСД</w:t>
      </w:r>
      <w:r w:rsidRPr="008967A7">
        <w:rPr>
          <w:rFonts w:ascii="Times New Roman" w:hAnsi="Times New Roman"/>
          <w:szCs w:val="24"/>
          <w:lang w:val="sr-Cyrl-CS" w:eastAsia="en-US"/>
        </w:rPr>
        <w:t xml:space="preserve">, што се односи на зајам који је био предмет преговора одржаних </w:t>
      </w:r>
      <w:r w:rsidR="00537F21" w:rsidRPr="008967A7">
        <w:rPr>
          <w:rFonts w:ascii="Times New Roman" w:hAnsi="Times New Roman"/>
          <w:szCs w:val="24"/>
          <w:lang w:val="sr-Cyrl-CS" w:eastAsia="en-US"/>
        </w:rPr>
        <w:t xml:space="preserve">21. и 22. јануара 2019. године, </w:t>
      </w:r>
      <w:r w:rsidR="00E934B0" w:rsidRPr="008967A7">
        <w:rPr>
          <w:rFonts w:ascii="Times New Roman" w:hAnsi="Times New Roman"/>
          <w:szCs w:val="24"/>
          <w:lang w:val="sr-Cyrl-CS" w:eastAsia="en-US"/>
        </w:rPr>
        <w:t xml:space="preserve">као </w:t>
      </w:r>
      <w:r w:rsidR="00537F21" w:rsidRPr="008967A7">
        <w:rPr>
          <w:rFonts w:ascii="Times New Roman" w:hAnsi="Times New Roman"/>
          <w:szCs w:val="24"/>
          <w:lang w:val="sr-Cyrl-CS" w:eastAsia="en-US"/>
        </w:rPr>
        <w:t>и 14. марта 2019. године</w:t>
      </w:r>
      <w:r w:rsidRPr="008967A7">
        <w:rPr>
          <w:rFonts w:ascii="Times New Roman" w:hAnsi="Times New Roman"/>
          <w:szCs w:val="24"/>
          <w:lang w:val="sr-Cyrl-CS" w:eastAsia="en-US"/>
        </w:rPr>
        <w:t>, у Канцеларији Светске банке у Београду</w:t>
      </w:r>
      <w:r w:rsidR="00537F21" w:rsidRPr="008967A7">
        <w:rPr>
          <w:rFonts w:ascii="Times New Roman" w:hAnsi="Times New Roman"/>
          <w:szCs w:val="24"/>
          <w:lang w:val="sr-Cyrl-CS" w:eastAsia="en-US"/>
        </w:rPr>
        <w:t>.</w:t>
      </w:r>
      <w:r w:rsidRPr="008967A7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E934B0" w:rsidRPr="008967A7" w:rsidRDefault="00E934B0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Том приликом је утврђен коначан износ зајма изражен у евро противвредности, тако што је примењен курс евра према америчком долару (УСД 1,145:ЕУР 1) на дан 31. децембар 2018. године, односно на крају месеца који претходи месецу јануару 2019. године, у којем су преговори одржани, што износи 35.000.000 евра.</w:t>
      </w:r>
    </w:p>
    <w:p w:rsidR="00824A02" w:rsidRPr="008967A7" w:rsidRDefault="00824A02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Зајам у износу од 35.000.000 евра који је Међународна банка за обнову и развој одобрила Републици Србији за Пројекат унапређења трговине и саобраћаја Западног Балкана уз примену вишефазног програмског приступа (у даљем тексу: Пројекат) има за циљ успостављање регионалне економске интеграције на територији Западног Балкана.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 xml:space="preserve">Оперативни циљ овакве врсте зајма за инвестиционо пројектно финансирање (Investment Project Financing-IPF) јесте продубљивање трговинских интеграција за Западни Балкан 6, као део стратегије раста засноване на повећању продуктивности (у даљм тексту: Програм). Овај циљ биће спроведен кроз вишефазни програмски приступ (Multiphase Programmatic Approach - MPA). Вишефазни програмски приступ је нови модалитет финансирања Банке који одговара дугорочним, великим или комплексаним ангажманима, као скуп мањих повезаних операција или фаза, у оквиру једног програма. 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Програм се спроводи у две фазе, кoje ће бити имплементиране у периоду од 5 година по свакој фази. Земље обухваћене првом фазом Програма су Албанија, Северна Македонија и Србија.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 xml:space="preserve">Овај пројекат за Републику Србију представља, пре свега, регионални пројекат са циљем смањења трошкова трговине и повећањем ефикасности транспорта на Западном Балкану. 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Пројекат обухвата четири компоненте:</w:t>
      </w:r>
    </w:p>
    <w:p w:rsidR="00824A02" w:rsidRPr="008967A7" w:rsidRDefault="00824A02" w:rsidP="005540D5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I компонента: Олакшице за прекогранично кретања роба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Ова Компонента подразумева низ активности које имају за циљ олакшице за прекогранично кретање робе, и биће реализована кроз две поткомпоненте: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1. Усвајање и имплементацију система националног јединственог шалтера (National Single Window-NSW)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 xml:space="preserve">Пројекат ће </w:t>
      </w:r>
      <w:r w:rsidRPr="008967A7">
        <w:rPr>
          <w:rFonts w:ascii="Times New Roman" w:hAnsi="Times New Roman"/>
          <w:bCs/>
          <w:color w:val="000000"/>
          <w:szCs w:val="24"/>
          <w:lang w:val="sr-Cyrl-RS"/>
        </w:rPr>
        <w:t xml:space="preserve">пружити </w:t>
      </w:r>
      <w:r w:rsidRPr="008967A7">
        <w:rPr>
          <w:rFonts w:ascii="Times New Roman" w:hAnsi="Times New Roman"/>
          <w:bCs/>
          <w:color w:val="000000"/>
          <w:szCs w:val="24"/>
        </w:rPr>
        <w:t xml:space="preserve">подршку за креирање, развој и спровођење решења „Националног једношалтерског система“ (NSW) и са тим повезане реформе и модернизацију царинских служби и других органа </w:t>
      </w:r>
      <w:r w:rsidRPr="008967A7">
        <w:rPr>
          <w:rFonts w:ascii="Times New Roman" w:hAnsi="Times New Roman"/>
          <w:bCs/>
          <w:szCs w:val="24"/>
        </w:rPr>
        <w:t>који управљају границом у циљу унапређења транспарентности и интегритета, смањења трансакционих трошкова трговине, унапређења координације између државних органа и смањења</w:t>
      </w:r>
      <w:r w:rsidRPr="008967A7">
        <w:rPr>
          <w:rFonts w:ascii="Times New Roman" w:hAnsi="Times New Roman"/>
          <w:bCs/>
          <w:color w:val="000000"/>
          <w:szCs w:val="24"/>
        </w:rPr>
        <w:t xml:space="preserve"> времена потребног за царињење робе.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2. Развој система за електронску размену података (Electronic Data Interchange - EDI) на 7 кључних железничких граничних прелаза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II компонента: Јачање ефикасности и предвидљивости саобраћаја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Ова компонента се односи на јачање ефикасности и предвидљивости саобраћаја кроз пружање подршке за израду паметног саобраћајног система путем набавке и инсталације опреме попут: (а) система за прикупљање података о току саобраћаја посредством индукционих калема уграђених у коловоз; (б) система за вагање у покрету; (ц) елемената за контролу висине возила која користе аутопутеве; (д) система за прикупљање података о временским условима дуж аутопутева и (е) система за откривање превоза опасног терета.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Такође, обухвата и пружање подршке за унапређење одређених пружних прелаза на железничкој мрежи у циљу побољшања безбедности и ефикасности сигнализације и интероперабилности као и развој система за обезбеђење поузданости, доступности, одрживости и безбедности (у даљем тексту: „РАМС“) ради квалитетнијег одржавања и веће безбедности железничке инфраструктуре.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</w:p>
    <w:p w:rsidR="00824A02" w:rsidRPr="008967A7" w:rsidRDefault="00824A02" w:rsidP="00824A0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>III компонента:</w:t>
      </w:r>
      <w:r w:rsidRPr="008967A7">
        <w:rPr>
          <w:rFonts w:ascii="Times New Roman" w:eastAsia="Calibri" w:hAnsi="Times New Roman"/>
          <w:color w:val="000000"/>
          <w:szCs w:val="24"/>
        </w:rPr>
        <w:t xml:space="preserve"> Унапређење приступа тржишту за трговину услугама и инвестиције</w:t>
      </w:r>
    </w:p>
    <w:p w:rsidR="00824A02" w:rsidRPr="008967A7" w:rsidRDefault="00824A02" w:rsidP="00824A0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Cs w:val="24"/>
        </w:rPr>
      </w:pPr>
      <w:r w:rsidRPr="008967A7">
        <w:rPr>
          <w:rFonts w:ascii="Times New Roman" w:eastAsia="Calibri" w:hAnsi="Times New Roman"/>
          <w:szCs w:val="24"/>
        </w:rPr>
        <w:t xml:space="preserve">Ова компонента односи се на пружање подршке кроз техничку помоћ за имплементацију регулаторних и институционалних реформи ради усклађивања са обавезама специфичним за </w:t>
      </w:r>
      <w:r w:rsidRPr="008967A7">
        <w:rPr>
          <w:rFonts w:ascii="Times New Roman" w:eastAsia="Calibri" w:hAnsi="Times New Roman"/>
          <w:szCs w:val="24"/>
          <w:lang w:val="sr-Cyrl-RS"/>
        </w:rPr>
        <w:t>уговорне стране</w:t>
      </w:r>
      <w:r w:rsidRPr="008967A7">
        <w:rPr>
          <w:rFonts w:ascii="Times New Roman" w:eastAsia="Calibri" w:hAnsi="Times New Roman"/>
          <w:color w:val="FF0000"/>
          <w:szCs w:val="24"/>
        </w:rPr>
        <w:t xml:space="preserve"> </w:t>
      </w:r>
      <w:r w:rsidRPr="008967A7">
        <w:rPr>
          <w:rFonts w:ascii="Times New Roman" w:eastAsia="Calibri" w:hAnsi="Times New Roman"/>
          <w:szCs w:val="24"/>
        </w:rPr>
        <w:t>у складу са: (а) Додатним протоколом ЦЕФТА 6 и (б) Вишегодишњим Акционим планом за регионални економски простор на Западном Балкану (МАП). Средства за финансирање ове компоненте обезбеђена су из средстава Европске уније.</w:t>
      </w:r>
    </w:p>
    <w:p w:rsidR="00824A02" w:rsidRPr="008967A7" w:rsidRDefault="00824A02" w:rsidP="00824A0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Cs w:val="24"/>
        </w:rPr>
      </w:pP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eastAsia="Calibri" w:hAnsi="Times New Roman"/>
          <w:color w:val="000000"/>
          <w:szCs w:val="24"/>
        </w:rPr>
        <w:t>IV компонента:</w:t>
      </w:r>
      <w:r w:rsidRPr="008967A7">
        <w:rPr>
          <w:rFonts w:ascii="Times New Roman" w:eastAsia="Calibri" w:hAnsi="Times New Roman"/>
          <w:b/>
          <w:bCs/>
          <w:szCs w:val="24"/>
        </w:rPr>
        <w:t xml:space="preserve"> </w:t>
      </w:r>
      <w:r w:rsidRPr="008967A7">
        <w:rPr>
          <w:rFonts w:ascii="Times New Roman" w:hAnsi="Times New Roman"/>
          <w:bCs/>
          <w:color w:val="000000"/>
          <w:szCs w:val="24"/>
        </w:rPr>
        <w:t xml:space="preserve">Подршка пројектној имплементацији </w:t>
      </w:r>
    </w:p>
    <w:p w:rsidR="00824A02" w:rsidRPr="008967A7" w:rsidRDefault="00824A02" w:rsidP="00824A02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 xml:space="preserve">Ова компонента пружиће подршку јединицима за имплементацију и обезбедиће додатну техничку подршку, укључујући и подршку за координацију политика, оперативне трошкове и програм праћења и евалуације Пројекта. Такође, обухвата и неколико механизама за укључивање јавности, укључујући ту и: (а) </w:t>
      </w:r>
      <w:r w:rsidRPr="008967A7">
        <w:rPr>
          <w:rFonts w:ascii="Times New Roman" w:hAnsi="Times New Roman"/>
          <w:bCs/>
          <w:color w:val="000000"/>
          <w:szCs w:val="24"/>
        </w:rPr>
        <w:lastRenderedPageBreak/>
        <w:t xml:space="preserve">партиципаторно планирање и доношење политика по питању структуре и имплементације националног јединственог шалтера; (б) годишњи дијалог интересних страна; и (в) </w:t>
      </w:r>
      <w:r w:rsidRPr="008967A7">
        <w:rPr>
          <w:rFonts w:ascii="Times New Roman" w:hAnsi="Times New Roman"/>
          <w:bCs/>
          <w:i/>
          <w:color w:val="000000"/>
          <w:szCs w:val="24"/>
        </w:rPr>
        <w:t>online</w:t>
      </w:r>
      <w:r w:rsidRPr="008967A7">
        <w:rPr>
          <w:rFonts w:ascii="Times New Roman" w:hAnsi="Times New Roman"/>
          <w:bCs/>
          <w:color w:val="000000"/>
          <w:szCs w:val="24"/>
        </w:rPr>
        <w:t xml:space="preserve"> жалбени механизам у оквиру платформе јединственог шалтера.</w:t>
      </w:r>
    </w:p>
    <w:p w:rsidR="002458EF" w:rsidRPr="008967A7" w:rsidRDefault="00824A02" w:rsidP="00A67625">
      <w:pPr>
        <w:ind w:firstLine="720"/>
        <w:jc w:val="both"/>
        <w:rPr>
          <w:rFonts w:ascii="Times New Roman" w:hAnsi="Times New Roman"/>
          <w:bCs/>
          <w:color w:val="000000"/>
          <w:szCs w:val="24"/>
        </w:rPr>
      </w:pPr>
      <w:r w:rsidRPr="008967A7">
        <w:rPr>
          <w:rFonts w:ascii="Times New Roman" w:hAnsi="Times New Roman"/>
          <w:bCs/>
          <w:color w:val="000000"/>
          <w:szCs w:val="24"/>
        </w:rPr>
        <w:t xml:space="preserve">Резултати који буду постигнути у оквиру ове четири компоненте Пројекта допринеће унапређењу токова трговине робом, услугама и инвестицијама </w:t>
      </w:r>
      <w:r w:rsidRPr="008967A7">
        <w:rPr>
          <w:rFonts w:ascii="Times New Roman" w:hAnsi="Times New Roman"/>
          <w:bCs/>
          <w:szCs w:val="24"/>
        </w:rPr>
        <w:t xml:space="preserve">унутар </w:t>
      </w:r>
      <w:r w:rsidRPr="008967A7">
        <w:rPr>
          <w:rFonts w:ascii="Times New Roman" w:hAnsi="Times New Roman"/>
          <w:bCs/>
          <w:szCs w:val="24"/>
          <w:lang w:val="sr-Cyrl-RS"/>
        </w:rPr>
        <w:t>Западног Балкана 6</w:t>
      </w:r>
      <w:r w:rsidRPr="008967A7">
        <w:rPr>
          <w:rFonts w:ascii="Times New Roman" w:hAnsi="Times New Roman"/>
          <w:bCs/>
          <w:szCs w:val="24"/>
        </w:rPr>
        <w:t xml:space="preserve"> и са ЕУ, а последично и повећању интеграције и ек</w:t>
      </w:r>
      <w:r w:rsidRPr="008967A7">
        <w:rPr>
          <w:rFonts w:ascii="Times New Roman" w:hAnsi="Times New Roman"/>
          <w:bCs/>
          <w:color w:val="000000"/>
          <w:szCs w:val="24"/>
        </w:rPr>
        <w:t>ономског раста.</w:t>
      </w:r>
    </w:p>
    <w:p w:rsidR="002458EF" w:rsidRPr="008967A7" w:rsidRDefault="002458EF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8967A7">
        <w:rPr>
          <w:rFonts w:ascii="Times New Roman" w:hAnsi="Times New Roman"/>
          <w:bCs/>
          <w:szCs w:val="24"/>
          <w:lang w:val="sr-Cyrl-CS" w:eastAsia="en-US"/>
        </w:rPr>
        <w:t xml:space="preserve">У складу са Закључком Владе </w:t>
      </w:r>
      <w:r w:rsidR="00A67625" w:rsidRPr="008967A7">
        <w:rPr>
          <w:rFonts w:ascii="Times New Roman" w:hAnsi="Times New Roman"/>
          <w:bCs/>
          <w:szCs w:val="24"/>
          <w:lang w:val="sr-Cyrl-CS" w:eastAsia="en-US"/>
        </w:rPr>
        <w:t>05 Број: 48-313/2019 од 18. јануара 2019. године</w:t>
      </w:r>
      <w:r w:rsidRPr="008967A7">
        <w:rPr>
          <w:rFonts w:ascii="Times New Roman" w:hAnsi="Times New Roman"/>
          <w:bCs/>
          <w:szCs w:val="24"/>
          <w:lang w:val="sr-Cyrl-CS" w:eastAsia="en-US"/>
        </w:rPr>
        <w:t xml:space="preserve">, којим је утврђена Oснова за преговоре и одређен  састав преговарачког тима </w:t>
      </w:r>
      <w:r w:rsidR="00A67625" w:rsidRPr="008967A7">
        <w:rPr>
          <w:rFonts w:ascii="Times New Roman" w:hAnsi="Times New Roman"/>
          <w:bCs/>
          <w:szCs w:val="24"/>
          <w:lang w:val="sr-Cyrl-CS" w:eastAsia="en-US"/>
        </w:rPr>
        <w:t>(представници Министарства финансија, Управе царина, Министарства туризма, трговине и телекомуникација, Министарства привреде, Министарства пољопривреде, шумарства и водопривреде и Министарства грађевинарства, саобраћаја и инфраструктуре, као и представници акционарског друштва „Инфраструктура железнице Србије” и привредног друштва „Коридори Србије” д.о.о..)</w:t>
      </w:r>
      <w:r w:rsidRPr="008967A7">
        <w:rPr>
          <w:rFonts w:ascii="Times New Roman" w:hAnsi="Times New Roman"/>
          <w:bCs/>
          <w:szCs w:val="24"/>
          <w:lang w:val="sr-Cyrl-CS" w:eastAsia="en-US"/>
        </w:rPr>
        <w:t xml:space="preserve">, на преговорима вођеним </w:t>
      </w:r>
      <w:r w:rsidR="00A67625" w:rsidRPr="008967A7">
        <w:rPr>
          <w:rFonts w:ascii="Times New Roman" w:hAnsi="Times New Roman"/>
          <w:bCs/>
          <w:szCs w:val="24"/>
          <w:lang w:val="sr-Cyrl-CS" w:eastAsia="en-US"/>
        </w:rPr>
        <w:t xml:space="preserve">21. и 22. јануара 2019. године, као и 14. марта 2019. године, </w:t>
      </w:r>
      <w:r w:rsidRPr="008967A7">
        <w:rPr>
          <w:rFonts w:ascii="Times New Roman" w:hAnsi="Times New Roman"/>
          <w:bCs/>
          <w:szCs w:val="24"/>
          <w:lang w:val="sr-Cyrl-CS" w:eastAsia="en-US"/>
        </w:rPr>
        <w:t>договорени су услови и начин коришћења зајма, план отплате, као и мере и активности које надлежне институције треба да предузму и спроведу ради испуњења циљева Пројекта.</w:t>
      </w:r>
    </w:p>
    <w:p w:rsidR="00AA6051" w:rsidRPr="008967A7" w:rsidRDefault="00AA6051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en-US" w:eastAsia="en-US"/>
        </w:rPr>
      </w:pPr>
      <w:r w:rsidRPr="008967A7">
        <w:rPr>
          <w:rFonts w:ascii="Times New Roman" w:hAnsi="Times New Roman"/>
          <w:szCs w:val="24"/>
          <w:lang w:eastAsia="en-US"/>
        </w:rPr>
        <w:t>Извештај са преговора прихваћен је Закључком  Владе 05 Број: 48-</w:t>
      </w:r>
      <w:r w:rsidR="007068CE" w:rsidRPr="008967A7">
        <w:rPr>
          <w:rFonts w:ascii="Times New Roman" w:hAnsi="Times New Roman"/>
          <w:szCs w:val="24"/>
          <w:lang w:val="sr-Cyrl-RS" w:eastAsia="en-US"/>
        </w:rPr>
        <w:t>2749</w:t>
      </w:r>
      <w:r w:rsidR="00C64833" w:rsidRPr="008967A7">
        <w:rPr>
          <w:rFonts w:ascii="Times New Roman" w:hAnsi="Times New Roman"/>
          <w:szCs w:val="24"/>
          <w:lang w:eastAsia="en-US"/>
        </w:rPr>
        <w:t>/</w:t>
      </w:r>
      <w:r w:rsidRPr="008967A7">
        <w:rPr>
          <w:rFonts w:ascii="Times New Roman" w:hAnsi="Times New Roman"/>
          <w:szCs w:val="24"/>
          <w:lang w:eastAsia="en-US"/>
        </w:rPr>
        <w:t>201</w:t>
      </w:r>
      <w:r w:rsidR="00A75CCC" w:rsidRPr="008967A7">
        <w:rPr>
          <w:rFonts w:ascii="Times New Roman" w:hAnsi="Times New Roman"/>
          <w:szCs w:val="24"/>
          <w:lang w:val="sr-Cyrl-RS" w:eastAsia="en-US"/>
        </w:rPr>
        <w:t>9</w:t>
      </w:r>
      <w:r w:rsidR="007068CE" w:rsidRPr="008967A7">
        <w:rPr>
          <w:rFonts w:ascii="Times New Roman" w:hAnsi="Times New Roman"/>
          <w:szCs w:val="24"/>
          <w:lang w:val="sr-Cyrl-RS" w:eastAsia="en-US"/>
        </w:rPr>
        <w:t>-1</w:t>
      </w:r>
      <w:r w:rsidR="00C64833" w:rsidRPr="008967A7">
        <w:rPr>
          <w:rFonts w:ascii="Times New Roman" w:hAnsi="Times New Roman"/>
          <w:szCs w:val="24"/>
          <w:lang w:eastAsia="en-US"/>
        </w:rPr>
        <w:t xml:space="preserve"> од </w:t>
      </w:r>
      <w:r w:rsidR="00A75CCC" w:rsidRPr="008967A7">
        <w:rPr>
          <w:rFonts w:ascii="Times New Roman" w:hAnsi="Times New Roman"/>
          <w:szCs w:val="24"/>
          <w:lang w:val="sr-Cyrl-RS" w:eastAsia="en-US"/>
        </w:rPr>
        <w:t>2</w:t>
      </w:r>
      <w:r w:rsidR="007068CE" w:rsidRPr="008967A7">
        <w:rPr>
          <w:rFonts w:ascii="Times New Roman" w:hAnsi="Times New Roman"/>
          <w:szCs w:val="24"/>
          <w:lang w:val="sr-Cyrl-RS" w:eastAsia="en-US"/>
        </w:rPr>
        <w:t>1</w:t>
      </w:r>
      <w:r w:rsidR="00C64833" w:rsidRPr="008967A7">
        <w:rPr>
          <w:rFonts w:ascii="Times New Roman" w:hAnsi="Times New Roman"/>
          <w:szCs w:val="24"/>
          <w:lang w:eastAsia="en-US"/>
        </w:rPr>
        <w:t xml:space="preserve">. </w:t>
      </w:r>
      <w:r w:rsidR="00A75CCC" w:rsidRPr="008967A7">
        <w:rPr>
          <w:rFonts w:ascii="Times New Roman" w:hAnsi="Times New Roman"/>
          <w:szCs w:val="24"/>
          <w:lang w:val="sr-Cyrl-RS" w:eastAsia="en-US"/>
        </w:rPr>
        <w:t>марта</w:t>
      </w:r>
      <w:r w:rsidR="00A75CCC" w:rsidRPr="008967A7">
        <w:rPr>
          <w:rFonts w:ascii="Times New Roman" w:hAnsi="Times New Roman"/>
          <w:szCs w:val="24"/>
          <w:lang w:eastAsia="en-US"/>
        </w:rPr>
        <w:t xml:space="preserve"> 2019</w:t>
      </w:r>
      <w:r w:rsidRPr="008967A7">
        <w:rPr>
          <w:rFonts w:ascii="Times New Roman" w:hAnsi="Times New Roman"/>
          <w:szCs w:val="24"/>
          <w:lang w:eastAsia="en-US"/>
        </w:rPr>
        <w:t>. године, којим је истовремено усвојен Нацрт споразума о зајму (</w:t>
      </w:r>
      <w:r w:rsidR="007068CE" w:rsidRPr="008967A7">
        <w:rPr>
          <w:rFonts w:ascii="Times New Roman" w:hAnsi="Times New Roman"/>
          <w:szCs w:val="24"/>
        </w:rPr>
        <w:t>Пројекат унапређења трговине и саобраћаја Западног Балкана уз примену вишефазног програмског приступа</w:t>
      </w:r>
      <w:r w:rsidRPr="008967A7">
        <w:rPr>
          <w:rFonts w:ascii="Times New Roman" w:hAnsi="Times New Roman"/>
          <w:szCs w:val="24"/>
        </w:rPr>
        <w:t>)</w:t>
      </w:r>
      <w:r w:rsidRPr="008967A7">
        <w:rPr>
          <w:rFonts w:ascii="Times New Roman" w:hAnsi="Times New Roman"/>
          <w:szCs w:val="24"/>
          <w:lang w:eastAsia="en-US"/>
        </w:rPr>
        <w:t xml:space="preserve">  између Републике Србије и Међународне банке Србије, </w:t>
      </w:r>
      <w:r w:rsidRPr="008967A7">
        <w:rPr>
          <w:rFonts w:ascii="Times New Roman" w:hAnsi="Times New Roman"/>
          <w:szCs w:val="24"/>
          <w:lang w:val="en-US" w:eastAsia="en-US"/>
        </w:rPr>
        <w:t xml:space="preserve">који је </w:t>
      </w:r>
      <w:r w:rsidRPr="008967A7">
        <w:rPr>
          <w:rFonts w:ascii="Times New Roman" w:hAnsi="Times New Roman"/>
          <w:szCs w:val="24"/>
          <w:lang w:val="sr-Cyrl-CS"/>
        </w:rPr>
        <w:t xml:space="preserve">потписан </w:t>
      </w:r>
      <w:r w:rsidR="00A75CCC" w:rsidRPr="008967A7">
        <w:rPr>
          <w:rFonts w:ascii="Times New Roman" w:hAnsi="Times New Roman"/>
          <w:szCs w:val="24"/>
          <w:lang w:val="sr-Cyrl-CS"/>
        </w:rPr>
        <w:t>7</w:t>
      </w:r>
      <w:r w:rsidRPr="008967A7">
        <w:rPr>
          <w:rFonts w:ascii="Times New Roman" w:hAnsi="Times New Roman"/>
          <w:szCs w:val="24"/>
          <w:lang w:val="sr-Cyrl-CS"/>
        </w:rPr>
        <w:t xml:space="preserve">. </w:t>
      </w:r>
      <w:r w:rsidR="00A75CCC" w:rsidRPr="008967A7">
        <w:rPr>
          <w:rFonts w:ascii="Times New Roman" w:hAnsi="Times New Roman"/>
          <w:szCs w:val="24"/>
          <w:lang w:val="sr-Cyrl-CS"/>
        </w:rPr>
        <w:t>маја</w:t>
      </w:r>
      <w:r w:rsidRPr="008967A7">
        <w:rPr>
          <w:rFonts w:ascii="Times New Roman" w:hAnsi="Times New Roman"/>
          <w:szCs w:val="24"/>
          <w:lang w:val="sr-Cyrl-CS"/>
        </w:rPr>
        <w:t xml:space="preserve"> 201</w:t>
      </w:r>
      <w:r w:rsidR="00A75CCC" w:rsidRPr="008967A7">
        <w:rPr>
          <w:rFonts w:ascii="Times New Roman" w:hAnsi="Times New Roman"/>
          <w:szCs w:val="24"/>
          <w:lang w:val="sr-Cyrl-CS"/>
        </w:rPr>
        <w:t>9</w:t>
      </w:r>
      <w:r w:rsidRPr="008967A7">
        <w:rPr>
          <w:rFonts w:ascii="Times New Roman" w:hAnsi="Times New Roman"/>
          <w:szCs w:val="24"/>
          <w:lang w:val="sr-Cyrl-CS"/>
        </w:rPr>
        <w:t xml:space="preserve">. године у Београду (потписник споразума у име Владе, као заступника Републике Србије, је </w:t>
      </w:r>
      <w:r w:rsidR="00A75CCC" w:rsidRPr="008967A7">
        <w:rPr>
          <w:rFonts w:ascii="Times New Roman" w:hAnsi="Times New Roman"/>
          <w:szCs w:val="24"/>
          <w:lang w:val="sr-Cyrl-CS"/>
        </w:rPr>
        <w:t>Синиша Мали</w:t>
      </w:r>
      <w:r w:rsidRPr="008967A7">
        <w:rPr>
          <w:rFonts w:ascii="Times New Roman" w:hAnsi="Times New Roman"/>
          <w:szCs w:val="24"/>
          <w:lang w:val="sr-Cyrl-CS"/>
        </w:rPr>
        <w:t>, министар финансија).</w:t>
      </w:r>
      <w:r w:rsidRPr="008967A7">
        <w:rPr>
          <w:rFonts w:ascii="Times New Roman" w:hAnsi="Times New Roman"/>
          <w:szCs w:val="24"/>
          <w:lang w:val="en-US" w:eastAsia="en-US"/>
        </w:rPr>
        <w:t xml:space="preserve"> </w:t>
      </w:r>
    </w:p>
    <w:p w:rsidR="007068CE" w:rsidRPr="008967A7" w:rsidRDefault="007068CE" w:rsidP="004C67E8">
      <w:pPr>
        <w:ind w:firstLine="630"/>
        <w:jc w:val="both"/>
        <w:rPr>
          <w:rFonts w:ascii="Times New Roman" w:hAnsi="Times New Roman"/>
          <w:bCs/>
          <w:szCs w:val="24"/>
          <w:lang w:val="sr-Cyrl-CS" w:eastAsia="en-US"/>
        </w:rPr>
      </w:pPr>
      <w:r w:rsidRPr="008967A7">
        <w:rPr>
          <w:rFonts w:ascii="Times New Roman" w:hAnsi="Times New Roman"/>
          <w:bCs/>
          <w:szCs w:val="24"/>
          <w:lang w:val="sr-Cyrl-CS" w:eastAsia="en-US"/>
        </w:rPr>
        <w:t>Резултати који буду постигнути у оквиру ове четири компоненте Пројекта допринеће унапређењу токова трговине робом, услугама и инвестицијама унутар Западног Балкана 6 и са ЕУ, а последично и повећању интеграције и економског раста.</w:t>
      </w:r>
    </w:p>
    <w:p w:rsidR="007068CE" w:rsidRPr="007068CE" w:rsidRDefault="007068CE" w:rsidP="007068CE">
      <w:pPr>
        <w:spacing w:line="240" w:lineRule="auto"/>
        <w:ind w:firstLine="720"/>
        <w:jc w:val="both"/>
        <w:rPr>
          <w:rFonts w:ascii="Times New Roman" w:hAnsi="Times New Roman"/>
          <w:bCs/>
          <w:color w:val="000000"/>
          <w:szCs w:val="24"/>
          <w:lang w:val="en-US" w:eastAsia="en-US"/>
        </w:rPr>
      </w:pPr>
      <w:r w:rsidRPr="007068CE">
        <w:rPr>
          <w:rFonts w:ascii="Times New Roman" w:hAnsi="Times New Roman"/>
          <w:bCs/>
          <w:color w:val="000000"/>
          <w:szCs w:val="24"/>
          <w:lang w:val="en-US" w:eastAsia="en-US"/>
        </w:rPr>
        <w:t xml:space="preserve">Главни носилац Пројекта ће бити Министарство грађевинарства, саобраћа и инфраструктуре, које ће основати Јединицу за </w:t>
      </w:r>
      <w:r w:rsidRPr="007068CE">
        <w:rPr>
          <w:rFonts w:ascii="Times New Roman" w:hAnsi="Times New Roman"/>
          <w:bCs/>
          <w:color w:val="000000"/>
          <w:szCs w:val="24"/>
          <w:lang w:val="sr-Cyrl-RS" w:eastAsia="en-US"/>
        </w:rPr>
        <w:t>управљање пројектом</w:t>
      </w:r>
      <w:r w:rsidRPr="007068CE">
        <w:rPr>
          <w:rFonts w:ascii="Times New Roman" w:hAnsi="Times New Roman"/>
          <w:bCs/>
          <w:color w:val="000000"/>
          <w:szCs w:val="24"/>
          <w:lang w:val="en-US" w:eastAsia="en-US"/>
        </w:rPr>
        <w:t xml:space="preserve">, у чијој надлежности ће бити управљање пројектом, координација и имплементација, а подршку у области финансијског управљања и набавки ће пружити Централна фидуцијарна јединица (ЦФЈ), која је основана у Министарству финансија. </w:t>
      </w:r>
    </w:p>
    <w:p w:rsidR="00254CC1" w:rsidRPr="008967A7" w:rsidRDefault="00254CC1" w:rsidP="008967A7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У складу са Општим условима Међународне банке за обнову и развој</w:t>
      </w:r>
      <w:r w:rsidR="00963621" w:rsidRPr="008967A7">
        <w:rPr>
          <w:rFonts w:ascii="Times New Roman" w:hAnsi="Times New Roman"/>
          <w:szCs w:val="24"/>
        </w:rPr>
        <w:t xml:space="preserve"> </w:t>
      </w:r>
      <w:r w:rsidR="00963621" w:rsidRPr="008967A7">
        <w:rPr>
          <w:rFonts w:ascii="Times New Roman" w:hAnsi="Times New Roman"/>
          <w:szCs w:val="24"/>
          <w:lang w:val="sr-Cyrl-CS" w:eastAsia="en-US"/>
        </w:rPr>
        <w:t>од 14. децембра 2018. године</w:t>
      </w:r>
      <w:r w:rsidRPr="008967A7">
        <w:rPr>
          <w:rFonts w:ascii="Times New Roman" w:hAnsi="Times New Roman"/>
          <w:szCs w:val="24"/>
          <w:lang w:val="sr-Cyrl-CS" w:eastAsia="en-US"/>
        </w:rPr>
        <w:t xml:space="preserve">, </w:t>
      </w:r>
      <w:r w:rsidR="0092470E" w:rsidRPr="008967A7">
        <w:rPr>
          <w:rFonts w:ascii="Times New Roman" w:hAnsi="Times New Roman"/>
          <w:szCs w:val="24"/>
          <w:lang w:val="sr-Cyrl-CS" w:eastAsia="en-US"/>
        </w:rPr>
        <w:t>договорени су</w:t>
      </w:r>
      <w:r w:rsidRPr="008967A7">
        <w:rPr>
          <w:rFonts w:ascii="Times New Roman" w:hAnsi="Times New Roman"/>
          <w:szCs w:val="24"/>
          <w:lang w:val="sr-Cyrl-CS" w:eastAsia="en-US"/>
        </w:rPr>
        <w:t xml:space="preserve"> следећи финансијски услови: </w:t>
      </w:r>
    </w:p>
    <w:p w:rsidR="007068CE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- износ задужења: 35.000.000 евра;</w:t>
      </w:r>
    </w:p>
    <w:p w:rsidR="007068CE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- повлачење зајма спроводиће се у складу са одредбама Споразума о зајму;</w:t>
      </w:r>
    </w:p>
    <w:p w:rsidR="007068CE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- рок доспећа: 12 година са укљученим периодом почека од 3 годинe, тако да је период отплате главнице зајма 9 година, а главница ће се отплаћивати у једнаким полугодишњим ратама, од којих прва доспева 15. мајa 2022. године, а последња 15. новембрa 2030. године;</w:t>
      </w:r>
    </w:p>
    <w:p w:rsidR="007068CE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- рок расположивости зајма: до 15. децембра 2025. године;</w:t>
      </w:r>
    </w:p>
    <w:p w:rsidR="007068CE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- приступна накнада: 0,25% на укупан износ зајма (87.500 евра), платиће се једнократно из средстава зајма. Обрачун провизије на неповучена средства почиње након истека периода од 60 дана након датума потписивања Споразума о зајму.</w:t>
      </w:r>
    </w:p>
    <w:p w:rsidR="007068CE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>-</w:t>
      </w:r>
      <w:r w:rsidRPr="008967A7">
        <w:rPr>
          <w:rFonts w:ascii="Times New Roman" w:hAnsi="Times New Roman"/>
          <w:szCs w:val="24"/>
          <w:lang w:val="sr-Cyrl-CS" w:eastAsia="en-US"/>
        </w:rPr>
        <w:tab/>
        <w:t xml:space="preserve"> накнада за неповучена средства: 0,25% на годишњем нивоу на неповучени износ главнице;</w:t>
      </w:r>
    </w:p>
    <w:p w:rsidR="00254CC1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8967A7">
        <w:rPr>
          <w:rFonts w:ascii="Times New Roman" w:hAnsi="Times New Roman"/>
          <w:szCs w:val="24"/>
          <w:lang w:val="sr-Cyrl-CS" w:eastAsia="en-US"/>
        </w:rPr>
        <w:tab/>
        <w:t>- каматна стопа: зајмопримац плаћа камату полугодишње (15. мајa и 15. новембра сваке године), за сваки каматни пeриод по Рeфeрeнтноj стопи за валуту заjма (шестомесечни ЕУРИБОР) увeћаној за фиксну маржу од 0,50%. Предвиђена је и могућност да зајмопримац у сваком моменту може затражити конверзију каматне стопе или марже из фиксну у варијабилну и обрнуто, ако се процени да је повољније са аспекта управљања јавним дугом.</w:t>
      </w:r>
    </w:p>
    <w:p w:rsidR="007068CE" w:rsidRPr="008967A7" w:rsidRDefault="007068CE" w:rsidP="007068CE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</w:p>
    <w:p w:rsidR="00CF4EB1" w:rsidRPr="008967A7" w:rsidRDefault="00CF4EB1" w:rsidP="00254CC1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8967A7">
        <w:rPr>
          <w:rFonts w:ascii="Times New Roman" w:hAnsi="Times New Roman"/>
          <w:bCs/>
          <w:szCs w:val="24"/>
        </w:rPr>
        <w:t>III</w:t>
      </w:r>
      <w:r w:rsidRPr="008967A7">
        <w:rPr>
          <w:rFonts w:ascii="Times New Roman" w:hAnsi="Times New Roman"/>
          <w:bCs/>
          <w:szCs w:val="24"/>
          <w:lang w:val="sr-Cyrl-CS"/>
        </w:rPr>
        <w:t>.</w:t>
      </w:r>
      <w:r w:rsidRPr="008967A7">
        <w:rPr>
          <w:rFonts w:ascii="Times New Roman" w:hAnsi="Times New Roman"/>
          <w:bCs/>
          <w:szCs w:val="24"/>
          <w:lang w:val="ru-RU"/>
        </w:rPr>
        <w:t xml:space="preserve"> </w:t>
      </w:r>
      <w:r w:rsidRPr="008967A7">
        <w:rPr>
          <w:rFonts w:ascii="Times New Roman" w:hAnsi="Times New Roman"/>
          <w:bCs/>
          <w:szCs w:val="24"/>
          <w:lang w:val="sr-Cyrl-CS"/>
        </w:rPr>
        <w:t>ОБЈАШЊЕЊЕ ОСНОВНИХ ПРАВНИХ ИНСТИТУТА И ПОЈЕДИНАЧНИХ РЕШЕЊА</w:t>
      </w:r>
    </w:p>
    <w:p w:rsidR="00CF4EB1" w:rsidRPr="008967A7" w:rsidRDefault="00CF4EB1" w:rsidP="00CF4EB1">
      <w:pPr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CF4EB1" w:rsidRPr="008967A7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8967A7">
        <w:rPr>
          <w:rFonts w:ascii="Times New Roman" w:hAnsi="Times New Roman"/>
          <w:szCs w:val="24"/>
          <w:lang w:val="sr-Cyrl-CS"/>
        </w:rPr>
        <w:t xml:space="preserve">Одредбом члана 1. Предлога закона предвиђа се потврђивање Споразума о зајму </w:t>
      </w:r>
      <w:r w:rsidRPr="008967A7">
        <w:rPr>
          <w:rFonts w:ascii="Times New Roman" w:hAnsi="Times New Roman"/>
          <w:szCs w:val="24"/>
          <w:lang w:val="en-US"/>
        </w:rPr>
        <w:t>(</w:t>
      </w:r>
      <w:r w:rsidR="008967A7" w:rsidRPr="008967A7">
        <w:rPr>
          <w:rFonts w:ascii="Times New Roman" w:hAnsi="Times New Roman"/>
          <w:szCs w:val="24"/>
        </w:rPr>
        <w:t>Пројекат унапређења трговине и саобраћаја Западног Балкана уз примену вишефазног програмског приступа</w:t>
      </w:r>
      <w:r w:rsidRPr="008967A7">
        <w:rPr>
          <w:rFonts w:ascii="Times New Roman" w:hAnsi="Times New Roman"/>
          <w:szCs w:val="24"/>
          <w:lang w:val="en-US"/>
        </w:rPr>
        <w:t>)</w:t>
      </w:r>
      <w:r w:rsidRPr="008967A7">
        <w:rPr>
          <w:rFonts w:ascii="Times New Roman" w:hAnsi="Times New Roman"/>
          <w:szCs w:val="24"/>
          <w:lang w:val="sr-Cyrl-CS"/>
        </w:rPr>
        <w:t xml:space="preserve"> између Републике Србије и Међународне банке за обнову и развој, који је потписан </w:t>
      </w:r>
      <w:r w:rsidR="005B62C6" w:rsidRPr="008967A7">
        <w:rPr>
          <w:rFonts w:ascii="Times New Roman" w:hAnsi="Times New Roman"/>
          <w:szCs w:val="24"/>
          <w:lang w:val="sr-Cyrl-CS"/>
        </w:rPr>
        <w:t>7</w:t>
      </w:r>
      <w:r w:rsidR="00525C0E" w:rsidRPr="008967A7">
        <w:rPr>
          <w:rFonts w:ascii="Times New Roman" w:hAnsi="Times New Roman"/>
          <w:szCs w:val="24"/>
          <w:lang w:val="sr-Cyrl-CS"/>
        </w:rPr>
        <w:t xml:space="preserve">. </w:t>
      </w:r>
      <w:r w:rsidR="005B62C6" w:rsidRPr="008967A7">
        <w:rPr>
          <w:rFonts w:ascii="Times New Roman" w:hAnsi="Times New Roman"/>
          <w:szCs w:val="24"/>
          <w:lang w:val="sr-Cyrl-CS"/>
        </w:rPr>
        <w:t>маја 2019</w:t>
      </w:r>
      <w:r w:rsidR="00525C0E" w:rsidRPr="008967A7">
        <w:rPr>
          <w:rFonts w:ascii="Times New Roman" w:hAnsi="Times New Roman"/>
          <w:szCs w:val="24"/>
          <w:lang w:val="sr-Cyrl-CS"/>
        </w:rPr>
        <w:t>. године у Београду</w:t>
      </w:r>
      <w:r w:rsidRPr="008967A7">
        <w:rPr>
          <w:rFonts w:ascii="Times New Roman" w:hAnsi="Times New Roman"/>
          <w:szCs w:val="24"/>
          <w:lang w:val="sr-Cyrl-CS"/>
        </w:rPr>
        <w:t xml:space="preserve">, Република Србија (у даљем тексту: Споразум о зајму). </w:t>
      </w:r>
      <w:r w:rsidR="005B62C6" w:rsidRPr="008967A7"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8967A7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967A7">
        <w:rPr>
          <w:rFonts w:ascii="Times New Roman" w:hAnsi="Times New Roman"/>
          <w:szCs w:val="24"/>
          <w:lang w:val="sr-Cyrl-CS"/>
        </w:rPr>
        <w:t xml:space="preserve">Одредба члана 2. Предлога закона садржи текст Споразума о зајму у оригиналу на енглеском језику и у преводу на српски језик. </w:t>
      </w:r>
    </w:p>
    <w:p w:rsidR="00CF4EB1" w:rsidRPr="008967A7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8967A7">
        <w:rPr>
          <w:rFonts w:ascii="Times New Roman" w:hAnsi="Times New Roman"/>
          <w:szCs w:val="24"/>
          <w:lang w:val="sr-Cyrl-CS"/>
        </w:rPr>
        <w:t xml:space="preserve">Одредбом члана 3. Предлога закона уређује се ступање на снагу овог закона.  </w:t>
      </w:r>
    </w:p>
    <w:p w:rsidR="00CF4EB1" w:rsidRPr="008967A7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CF4EB1" w:rsidRPr="008967A7" w:rsidRDefault="00CF4EB1" w:rsidP="00CF4EB1">
      <w:pPr>
        <w:pStyle w:val="BodyText"/>
        <w:tabs>
          <w:tab w:val="left" w:pos="0"/>
        </w:tabs>
        <w:rPr>
          <w:rFonts w:ascii="Times New Roman" w:hAnsi="Times New Roman"/>
          <w:color w:val="auto"/>
          <w:szCs w:val="24"/>
          <w:lang w:val="ru-RU"/>
        </w:rPr>
      </w:pPr>
      <w:r w:rsidRPr="008967A7">
        <w:rPr>
          <w:rFonts w:ascii="Times New Roman" w:hAnsi="Times New Roman"/>
          <w:bCs/>
          <w:color w:val="auto"/>
          <w:szCs w:val="24"/>
        </w:rPr>
        <w:tab/>
        <w:t>IV</w:t>
      </w:r>
      <w:r w:rsidRPr="008967A7">
        <w:rPr>
          <w:rFonts w:ascii="Times New Roman" w:hAnsi="Times New Roman"/>
          <w:bCs/>
          <w:color w:val="auto"/>
          <w:szCs w:val="24"/>
          <w:lang w:val="ru-RU"/>
        </w:rPr>
        <w:t xml:space="preserve">. </w:t>
      </w:r>
      <w:r w:rsidRPr="008967A7">
        <w:rPr>
          <w:rFonts w:ascii="Times New Roman" w:hAnsi="Times New Roman"/>
          <w:color w:val="auto"/>
          <w:szCs w:val="24"/>
          <w:lang w:val="ru-RU"/>
        </w:rPr>
        <w:t xml:space="preserve">ФИНАНСИЈСКЕ ОБАВЕЗЕ И ПРОЦЕНА ФИНАНСИЈСКИХ СРЕДСТАВА КОЈА НАСТАЈУ ИЗВРШАВАЊЕМ ЗАКОНА    </w:t>
      </w:r>
      <w:r w:rsidRPr="008967A7">
        <w:rPr>
          <w:rFonts w:ascii="Times New Roman" w:hAnsi="Times New Roman"/>
          <w:color w:val="auto"/>
          <w:szCs w:val="24"/>
          <w:lang w:val="ru-RU"/>
        </w:rPr>
        <w:tab/>
        <w:t xml:space="preserve"> </w:t>
      </w:r>
    </w:p>
    <w:p w:rsidR="00CF4EB1" w:rsidRPr="008967A7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:rsidR="00CF4EB1" w:rsidRPr="008967A7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8967A7">
        <w:rPr>
          <w:rFonts w:ascii="Times New Roman" w:hAnsi="Times New Roman"/>
          <w:szCs w:val="24"/>
          <w:lang w:val="sr-Cyrl-CS"/>
        </w:rPr>
        <w:t xml:space="preserve"> </w:t>
      </w:r>
      <w:r w:rsidRPr="008967A7">
        <w:rPr>
          <w:rFonts w:ascii="Times New Roman" w:hAnsi="Times New Roman"/>
          <w:szCs w:val="24"/>
          <w:lang w:val="sr-Cyrl-CS"/>
        </w:rPr>
        <w:tab/>
        <w:t xml:space="preserve">За спровођење овог закона обезбеђиваће се средства у буџету Републике Србије. </w:t>
      </w:r>
    </w:p>
    <w:p w:rsidR="0014452F" w:rsidRPr="008967A7" w:rsidRDefault="0014452F" w:rsidP="0014452F">
      <w:pPr>
        <w:ind w:firstLine="720"/>
        <w:jc w:val="both"/>
        <w:rPr>
          <w:rFonts w:ascii="Times New Roman" w:hAnsi="Times New Roman"/>
          <w:szCs w:val="24"/>
        </w:rPr>
      </w:pPr>
    </w:p>
    <w:p w:rsidR="00CF4EB1" w:rsidRPr="008967A7" w:rsidRDefault="00CF4EB1" w:rsidP="00CF4EB1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8967A7">
        <w:rPr>
          <w:rFonts w:ascii="Times New Roman" w:hAnsi="Times New Roman"/>
          <w:szCs w:val="24"/>
        </w:rPr>
        <w:t>V</w:t>
      </w:r>
      <w:r w:rsidRPr="008967A7">
        <w:rPr>
          <w:rFonts w:ascii="Times New Roman" w:hAnsi="Times New Roman"/>
          <w:szCs w:val="24"/>
          <w:lang w:val="ru-RU"/>
        </w:rPr>
        <w:t>. РАЗЛОЗИ ЗА ДОНОШЕЊЕ ЗАКОНА ПО ХИТНОМ ПОСТУПКУ</w:t>
      </w:r>
    </w:p>
    <w:p w:rsidR="00CF4EB1" w:rsidRPr="008967A7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</w:p>
    <w:p w:rsidR="00740D5F" w:rsidRPr="008967A7" w:rsidRDefault="00187CCB" w:rsidP="003612D3">
      <w:pPr>
        <w:ind w:firstLine="720"/>
        <w:jc w:val="both"/>
        <w:rPr>
          <w:rFonts w:ascii="Times New Roman" w:hAnsi="Times New Roman"/>
          <w:szCs w:val="24"/>
        </w:rPr>
      </w:pPr>
      <w:r w:rsidRPr="008967A7">
        <w:rPr>
          <w:rFonts w:ascii="Times New Roman" w:hAnsi="Times New Roman"/>
          <w:szCs w:val="24"/>
          <w:lang w:val="sr-Cyrl-CS"/>
        </w:rPr>
        <w:t xml:space="preserve">Разлози за доношење овог закона по хитном поступку, сагласно члану 167. Пословника Народне скупштине („Службени гласник РС”, број 20/12-пречишћен текст) </w:t>
      </w:r>
      <w:r w:rsidR="00CF4EB1" w:rsidRPr="008967A7">
        <w:rPr>
          <w:rFonts w:ascii="Times New Roman" w:hAnsi="Times New Roman"/>
          <w:szCs w:val="24"/>
          <w:lang w:val="sr-Cyrl-CS"/>
        </w:rPr>
        <w:t xml:space="preserve">произлазе из чињенице да је повлачење средстава по </w:t>
      </w:r>
      <w:r w:rsidR="00CF4EB1" w:rsidRPr="008967A7">
        <w:rPr>
          <w:rFonts w:ascii="Times New Roman" w:hAnsi="Times New Roman"/>
          <w:szCs w:val="24"/>
          <w:lang w:val="ru-RU"/>
        </w:rPr>
        <w:t>Споразуму о зајму</w:t>
      </w:r>
      <w:r w:rsidR="00CF4EB1" w:rsidRPr="008967A7">
        <w:rPr>
          <w:rFonts w:ascii="Times New Roman" w:hAnsi="Times New Roman"/>
          <w:szCs w:val="24"/>
          <w:lang w:val="sr-Cyrl-CS"/>
        </w:rPr>
        <w:t>, услов</w:t>
      </w:r>
      <w:r w:rsidR="00CF4EB1" w:rsidRPr="008967A7">
        <w:rPr>
          <w:rFonts w:ascii="Times New Roman" w:hAnsi="Times New Roman"/>
          <w:szCs w:val="24"/>
          <w:lang w:val="ru-RU"/>
        </w:rPr>
        <w:t>љено ступањем на снагу закона о потврђивању Споразума о зајму.</w:t>
      </w:r>
    </w:p>
    <w:sectPr w:rsidR="00740D5F" w:rsidRPr="008967A7" w:rsidSect="00187CCB">
      <w:headerReference w:type="default" r:id="rId7"/>
      <w:headerReference w:type="first" r:id="rId8"/>
      <w:footerReference w:type="first" r:id="rId9"/>
      <w:footnotePr>
        <w:numRestart w:val="eachSect"/>
      </w:footnotePr>
      <w:pgSz w:w="11913" w:h="16834" w:code="9"/>
      <w:pgMar w:top="993" w:right="1411" w:bottom="1260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1EE" w:rsidRDefault="00FA01EE" w:rsidP="00E65142">
      <w:pPr>
        <w:spacing w:line="240" w:lineRule="auto"/>
      </w:pPr>
      <w:r>
        <w:separator/>
      </w:r>
    </w:p>
  </w:endnote>
  <w:endnote w:type="continuationSeparator" w:id="0">
    <w:p w:rsidR="00FA01EE" w:rsidRDefault="00FA01EE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3" w:rsidRDefault="00FA01EE">
    <w:pPr>
      <w:pStyle w:val="Footer"/>
      <w:jc w:val="center"/>
    </w:pPr>
  </w:p>
  <w:p w:rsidR="00384EC3" w:rsidRDefault="00FA01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1EE" w:rsidRDefault="00FA01EE" w:rsidP="00E65142">
      <w:pPr>
        <w:spacing w:line="240" w:lineRule="auto"/>
      </w:pPr>
      <w:r>
        <w:separator/>
      </w:r>
    </w:p>
  </w:footnote>
  <w:footnote w:type="continuationSeparator" w:id="0">
    <w:p w:rsidR="00FA01EE" w:rsidRDefault="00FA01EE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1654"/>
      <w:docPartObj>
        <w:docPartGallery w:val="Page Numbers (Top of Page)"/>
        <w:docPartUnique/>
      </w:docPartObj>
    </w:sdtPr>
    <w:sdtEndPr/>
    <w:sdtContent>
      <w:p w:rsidR="00133D2F" w:rsidRDefault="00AA4A42">
        <w:pPr>
          <w:pStyle w:val="Header"/>
          <w:jc w:val="center"/>
        </w:pPr>
        <w:r>
          <w:fldChar w:fldCharType="begin"/>
        </w:r>
        <w:r w:rsidR="002258F5">
          <w:instrText xml:space="preserve"> PAGE   \* MERGEFORMAT </w:instrText>
        </w:r>
        <w:r>
          <w:fldChar w:fldCharType="separate"/>
        </w:r>
        <w:r w:rsidR="00CB6B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EC3" w:rsidRPr="00E12214" w:rsidRDefault="00FA01EE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EC3" w:rsidRDefault="00FA01EE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B1"/>
    <w:rsid w:val="00004F42"/>
    <w:rsid w:val="000B5708"/>
    <w:rsid w:val="000F5A42"/>
    <w:rsid w:val="000F6DD4"/>
    <w:rsid w:val="00105078"/>
    <w:rsid w:val="00114E85"/>
    <w:rsid w:val="00133D2F"/>
    <w:rsid w:val="0014452F"/>
    <w:rsid w:val="00187CCB"/>
    <w:rsid w:val="002258F5"/>
    <w:rsid w:val="002458EF"/>
    <w:rsid w:val="00254CC1"/>
    <w:rsid w:val="002F4319"/>
    <w:rsid w:val="00311F46"/>
    <w:rsid w:val="003451B8"/>
    <w:rsid w:val="003612D3"/>
    <w:rsid w:val="003625EB"/>
    <w:rsid w:val="003C234D"/>
    <w:rsid w:val="003E1349"/>
    <w:rsid w:val="003E1D94"/>
    <w:rsid w:val="004140B1"/>
    <w:rsid w:val="004562F9"/>
    <w:rsid w:val="004673B9"/>
    <w:rsid w:val="004734D9"/>
    <w:rsid w:val="004C67E8"/>
    <w:rsid w:val="00525C0E"/>
    <w:rsid w:val="00537F21"/>
    <w:rsid w:val="0054220E"/>
    <w:rsid w:val="005540D5"/>
    <w:rsid w:val="005B62C6"/>
    <w:rsid w:val="005C022D"/>
    <w:rsid w:val="00600C7B"/>
    <w:rsid w:val="006C197E"/>
    <w:rsid w:val="006C6514"/>
    <w:rsid w:val="007016DD"/>
    <w:rsid w:val="007068CE"/>
    <w:rsid w:val="0072685A"/>
    <w:rsid w:val="00740D5F"/>
    <w:rsid w:val="0074774E"/>
    <w:rsid w:val="00824A02"/>
    <w:rsid w:val="00877F65"/>
    <w:rsid w:val="00886370"/>
    <w:rsid w:val="008967A7"/>
    <w:rsid w:val="008C534B"/>
    <w:rsid w:val="008D499B"/>
    <w:rsid w:val="008F5D1A"/>
    <w:rsid w:val="0090120A"/>
    <w:rsid w:val="009056A1"/>
    <w:rsid w:val="0092470E"/>
    <w:rsid w:val="00945C29"/>
    <w:rsid w:val="009544E6"/>
    <w:rsid w:val="00963621"/>
    <w:rsid w:val="00A112BA"/>
    <w:rsid w:val="00A67625"/>
    <w:rsid w:val="00A75CCC"/>
    <w:rsid w:val="00AA4A42"/>
    <w:rsid w:val="00AA6051"/>
    <w:rsid w:val="00B06225"/>
    <w:rsid w:val="00B17E1A"/>
    <w:rsid w:val="00B91557"/>
    <w:rsid w:val="00C26BE4"/>
    <w:rsid w:val="00C64833"/>
    <w:rsid w:val="00C72384"/>
    <w:rsid w:val="00C938F9"/>
    <w:rsid w:val="00CA038F"/>
    <w:rsid w:val="00CA1E6B"/>
    <w:rsid w:val="00CB6B2A"/>
    <w:rsid w:val="00CF4EB1"/>
    <w:rsid w:val="00D243BD"/>
    <w:rsid w:val="00D613BE"/>
    <w:rsid w:val="00D955B4"/>
    <w:rsid w:val="00DB2C5A"/>
    <w:rsid w:val="00DE1C18"/>
    <w:rsid w:val="00DF3578"/>
    <w:rsid w:val="00E65142"/>
    <w:rsid w:val="00E739DA"/>
    <w:rsid w:val="00E934B0"/>
    <w:rsid w:val="00E93A79"/>
    <w:rsid w:val="00EC02EF"/>
    <w:rsid w:val="00F228BF"/>
    <w:rsid w:val="00F347E6"/>
    <w:rsid w:val="00F7544C"/>
    <w:rsid w:val="00FA01EE"/>
    <w:rsid w:val="00FD154F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2CE6E2-8044-45FA-A5F4-8F52B14F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Ljubinka Stojkovic</cp:lastModifiedBy>
  <cp:revision>2</cp:revision>
  <cp:lastPrinted>2016-09-19T08:35:00Z</cp:lastPrinted>
  <dcterms:created xsi:type="dcterms:W3CDTF">2019-05-09T11:02:00Z</dcterms:created>
  <dcterms:modified xsi:type="dcterms:W3CDTF">2019-05-09T11:02:00Z</dcterms:modified>
</cp:coreProperties>
</file>