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19" w:rsidRPr="00866719" w:rsidRDefault="00866719" w:rsidP="008667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6719">
        <w:rPr>
          <w:rFonts w:ascii="Times New Roman" w:eastAsia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866719" w:rsidRPr="00866719" w:rsidRDefault="00866719" w:rsidP="008667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6719" w:rsidRPr="00866719" w:rsidRDefault="00866719" w:rsidP="008667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66719" w:rsidRPr="004D3589" w:rsidRDefault="00866719" w:rsidP="004D358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D3589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УСТАВНИ ОСНОВ ЗА ДОНОШЕЊЕ ЗАКОНА</w:t>
      </w:r>
    </w:p>
    <w:p w:rsidR="00866719" w:rsidRPr="00866719" w:rsidRDefault="00866719" w:rsidP="008667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66719" w:rsidRPr="00866719" w:rsidRDefault="00866719" w:rsidP="008667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6719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одредбама члана 97. став 1. тач. 11, 15, 16. и 17. Устава Републике Србије, којим је, између осталог, утврђено да Република Србија уређује и обезбеђује финансирање остваривања права и дужности Републике Србије утврђених Уставом и законом, финансијску ревизију јавних средстава, надлежност и рад републичких органа, као и друге односе од интереса за Републику, у складу са Уставом.</w:t>
      </w:r>
    </w:p>
    <w:p w:rsidR="00866719" w:rsidRPr="00866719" w:rsidRDefault="00866719" w:rsidP="00866719">
      <w:pPr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</w:pPr>
    </w:p>
    <w:p w:rsidR="00866719" w:rsidRPr="004D3589" w:rsidRDefault="00866719" w:rsidP="004D358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D35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РАЗЛОЗИ ЗА ДОНОШЕЊЕ ЗАКОНА</w:t>
      </w:r>
    </w:p>
    <w:p w:rsidR="00866719" w:rsidRPr="00887BA7" w:rsidRDefault="00866719" w:rsidP="00866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CS"/>
        </w:rPr>
      </w:pPr>
    </w:p>
    <w:p w:rsidR="00866719" w:rsidRDefault="00866719" w:rsidP="00866719">
      <w:pPr>
        <w:tabs>
          <w:tab w:val="left" w:pos="720"/>
          <w:tab w:val="left" w:pos="3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Разлог за доношење овог закона је изједначавање висине плата запослених у предшколским установама са платама запослених у установама основног образовања.</w:t>
      </w:r>
    </w:p>
    <w:p w:rsidR="00866719" w:rsidRDefault="00866719" w:rsidP="00866719">
      <w:pPr>
        <w:tabs>
          <w:tab w:val="left" w:pos="720"/>
          <w:tab w:val="left" w:pos="3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На овај начин извршиће се усклађивање члана 27е Закона о буџетском систему</w:t>
      </w:r>
      <w:r w:rsidR="008803D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803D1">
        <w:rPr>
          <w:rFonts w:ascii="Times New Roman" w:hAnsi="Times New Roman"/>
          <w:sz w:val="24"/>
          <w:szCs w:val="24"/>
          <w:lang w:val="sr-Cyrl-CS"/>
        </w:rPr>
        <w:t>(„Службени гласник РС”, бр. 54/09, 73/10, 101/10, 101/11, 93/12, 62/13, 63/13-исправка, 108/13, 142/14, 68/15-др. закон</w:t>
      </w:r>
      <w:r w:rsidR="008803D1">
        <w:rPr>
          <w:rFonts w:ascii="Times New Roman" w:hAnsi="Times New Roman"/>
          <w:sz w:val="24"/>
          <w:szCs w:val="24"/>
        </w:rPr>
        <w:t xml:space="preserve">, </w:t>
      </w:r>
      <w:r w:rsidR="008803D1">
        <w:rPr>
          <w:rFonts w:ascii="Times New Roman" w:hAnsi="Times New Roman"/>
          <w:sz w:val="24"/>
          <w:szCs w:val="24"/>
          <w:lang w:val="sr-Cyrl-CS"/>
        </w:rPr>
        <w:t>103/15</w:t>
      </w:r>
      <w:r w:rsidR="008803D1">
        <w:rPr>
          <w:rFonts w:ascii="Times New Roman" w:hAnsi="Times New Roman"/>
          <w:sz w:val="24"/>
          <w:szCs w:val="24"/>
          <w:lang w:val="sr-Cyrl-RS"/>
        </w:rPr>
        <w:t>, 99/16, 113/17 и 95/18</w:t>
      </w:r>
      <w:r w:rsidR="008803D1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са чланом 52. Закона о предшколском васпитању и образовању</w:t>
      </w:r>
      <w:r w:rsidR="008808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808CE">
        <w:rPr>
          <w:rFonts w:ascii="Times New Roman" w:hAnsi="Times New Roman"/>
          <w:sz w:val="24"/>
          <w:szCs w:val="24"/>
          <w:lang w:val="sr-Cyrl-CS"/>
        </w:rPr>
        <w:t>(„Службени гласник РС”, бр. 18/10, 10/17</w:t>
      </w:r>
      <w:r w:rsidR="00DB4084">
        <w:rPr>
          <w:rFonts w:ascii="Times New Roman" w:hAnsi="Times New Roman"/>
          <w:sz w:val="24"/>
          <w:szCs w:val="24"/>
          <w:lang w:val="sr-Cyrl-CS"/>
        </w:rPr>
        <w:t xml:space="preserve">, 113/17, </w:t>
      </w:r>
      <w:r w:rsidR="008808CE">
        <w:rPr>
          <w:rFonts w:ascii="Times New Roman" w:hAnsi="Times New Roman"/>
          <w:sz w:val="24"/>
          <w:szCs w:val="24"/>
          <w:lang w:val="sr-Cyrl-RS"/>
        </w:rPr>
        <w:t>95/18</w:t>
      </w:r>
      <w:r w:rsidR="00DB4084">
        <w:rPr>
          <w:rFonts w:ascii="Times New Roman" w:hAnsi="Times New Roman"/>
          <w:sz w:val="24"/>
          <w:szCs w:val="24"/>
          <w:lang w:val="sr-Cyrl-RS"/>
        </w:rPr>
        <w:t>-др.закон и 10/19</w:t>
      </w:r>
      <w:r w:rsidR="008808CE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 којим је прописано да основица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обрачун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исплату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плата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предшколским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установама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не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може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бити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нижа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од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основице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обрачун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исплату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основном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образовању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86671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васпитању.</w:t>
      </w:r>
    </w:p>
    <w:p w:rsidR="00866719" w:rsidRDefault="00866719" w:rsidP="00866719">
      <w:pPr>
        <w:tabs>
          <w:tab w:val="left" w:pos="720"/>
          <w:tab w:val="left" w:pos="3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866719" w:rsidRDefault="00866719" w:rsidP="00AD20B2">
      <w:pPr>
        <w:pStyle w:val="ListParagraph"/>
        <w:numPr>
          <w:ilvl w:val="0"/>
          <w:numId w:val="18"/>
        </w:numPr>
        <w:tabs>
          <w:tab w:val="left" w:pos="720"/>
          <w:tab w:val="left" w:pos="3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D35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ОБЈАШЊЕЊЕ ПОЈЕДИНАЧНИХ РЕШЕЊА</w:t>
      </w:r>
    </w:p>
    <w:p w:rsidR="00E009BF" w:rsidRDefault="00E009BF" w:rsidP="00E009BF">
      <w:pPr>
        <w:pStyle w:val="ListParagraph"/>
        <w:tabs>
          <w:tab w:val="left" w:pos="720"/>
          <w:tab w:val="left" w:pos="3560"/>
        </w:tabs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AD20B2" w:rsidRDefault="00FE51F8" w:rsidP="00AD20B2">
      <w:pPr>
        <w:pStyle w:val="ListParagraph"/>
        <w:shd w:val="clear" w:color="auto" w:fill="FFFFFF"/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1.</w:t>
      </w:r>
      <w:r w:rsidR="00C20F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FDD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BB2C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0B2" w:rsidRPr="00AD20B2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прописано је да запослени у предшколским установама остварују право на увећање плате за 9%</w:t>
      </w:r>
      <w:r w:rsidR="00AD20B2" w:rsidRPr="00AD20B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E009BF" w:rsidRPr="00AD20B2" w:rsidRDefault="00E009BF" w:rsidP="00AD20B2">
      <w:pPr>
        <w:pStyle w:val="ListParagraph"/>
        <w:shd w:val="clear" w:color="auto" w:fill="FFFFFF"/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20B2" w:rsidRDefault="00AD20B2" w:rsidP="00AD2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AD20B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Чланом 2. </w:t>
      </w:r>
      <w:r w:rsidR="00C20F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Предлога закона </w:t>
      </w:r>
      <w:r w:rsidRPr="00AD20B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дефинисано је да ће се овај закон примењивати тј. да ће се повећање плата вршити почев од плате за мај 2019. године. </w:t>
      </w:r>
    </w:p>
    <w:p w:rsidR="00E009BF" w:rsidRPr="00AD20B2" w:rsidRDefault="00E009BF" w:rsidP="00AD2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AD20B2" w:rsidRPr="00AD20B2" w:rsidRDefault="00AD20B2" w:rsidP="00AD2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D20B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</w:t>
      </w:r>
      <w:r w:rsidR="00260EB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</w:t>
      </w:r>
      <w:r w:rsidR="00BB2C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AD20B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3.</w:t>
      </w:r>
      <w:r w:rsidR="00FE51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C20F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 закона </w:t>
      </w:r>
      <w:r w:rsidRPr="00AD20B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прописује ступање на снагу овог закона.</w:t>
      </w:r>
    </w:p>
    <w:p w:rsidR="00866719" w:rsidRPr="00866719" w:rsidRDefault="00866719" w:rsidP="008667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66719" w:rsidRPr="00887BA7" w:rsidRDefault="00866719" w:rsidP="004D3589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7BA7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IV. ПРОЦЕНА</w:t>
      </w:r>
      <w:r w:rsidRPr="00887BA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ФИНАНСИЈСКИХ СРЕДСТАВА ПОТРЕБНИХ ЗА СПРОВОЂЕЊЕ ЗАКОНА</w:t>
      </w:r>
    </w:p>
    <w:p w:rsidR="00866719" w:rsidRDefault="00465AD4" w:rsidP="0086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Процењени финансијски ефек</w:t>
      </w:r>
      <w:r w:rsidR="000A058E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ат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овог закона на буџете локалне власти износ</w:t>
      </w:r>
      <w:r w:rsidR="000A058E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382.000.000 динара.</w:t>
      </w:r>
    </w:p>
    <w:p w:rsidR="00465AD4" w:rsidRPr="00866719" w:rsidRDefault="00465AD4" w:rsidP="0086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</w:p>
    <w:p w:rsidR="00866719" w:rsidRPr="004D3589" w:rsidRDefault="00866719" w:rsidP="004D358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87BA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</w:t>
      </w:r>
      <w:r w:rsidR="004D35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4D3589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4D35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РАЗЛОЗИ ЗА ДОНОШЕЊЕ ЗАКОНА ПО ХИТНОМ ПОСТУПКУ</w:t>
      </w:r>
    </w:p>
    <w:p w:rsidR="00866719" w:rsidRPr="00887BA7" w:rsidRDefault="00866719" w:rsidP="0086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sr-Cyrl-CS"/>
        </w:rPr>
      </w:pPr>
    </w:p>
    <w:p w:rsidR="00866719" w:rsidRDefault="00866719" w:rsidP="008667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671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Предлаже се доношење овог закона по хитном поступку у складу са чланом 167. Пословника Народне скупштине („Службени гласник РС”, број 20/12-</w:t>
      </w:r>
      <w:r w:rsidR="00465A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пречишћен текст), како би се </w:t>
      </w:r>
      <w:r w:rsidRPr="00866719">
        <w:rPr>
          <w:rFonts w:ascii="Times New Roman" w:eastAsia="Times New Roman" w:hAnsi="Times New Roman" w:cs="Times New Roman"/>
          <w:sz w:val="24"/>
          <w:szCs w:val="24"/>
          <w:lang w:val="sr-Cyrl-CS"/>
        </w:rPr>
        <w:t>стекли услови за примену</w:t>
      </w:r>
      <w:r w:rsidRPr="00866719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предложен</w:t>
      </w:r>
      <w:r w:rsidR="00465AD4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866719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</w:t>
      </w:r>
      <w:r w:rsidR="00465AD4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866719">
        <w:rPr>
          <w:rFonts w:ascii="Times New Roman" w:hAnsi="Times New Roman" w:cs="Times New Roman"/>
          <w:sz w:val="24"/>
          <w:szCs w:val="24"/>
          <w:lang w:val="sr-Cyrl-CS"/>
        </w:rPr>
        <w:t xml:space="preserve"> решења </w:t>
      </w:r>
      <w:r w:rsidR="00465AD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866719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одлукама о буџету локалне власти.</w:t>
      </w:r>
    </w:p>
    <w:p w:rsidR="0099011B" w:rsidRDefault="0099011B" w:rsidP="00E00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9011B" w:rsidRPr="00866719" w:rsidRDefault="0099011B" w:rsidP="008667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66719" w:rsidRPr="00866719" w:rsidRDefault="00866719" w:rsidP="0086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66719" w:rsidRPr="00887BA7" w:rsidRDefault="004D3589" w:rsidP="004D35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VI.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866719" w:rsidRPr="00887BA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РАЗЛОЗИ ЗА РАНИЈЕ СТУПАЊЕ НА СНАГУ ЗАКОНА</w:t>
      </w:r>
    </w:p>
    <w:p w:rsidR="00866719" w:rsidRPr="00887BA7" w:rsidRDefault="00866719" w:rsidP="008667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66719" w:rsidRDefault="00866719" w:rsidP="008667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7BA7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се да овај закон ступи на снагу наредног дана од дана објављивања у „Службеном гласнику Републике Србије”. Нарочито оправдани разлози за раније ступање на снагу овог закона, у смислу члана 196. став 4. Устава Републике Србије, састоје се у потреби </w:t>
      </w:r>
      <w:r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предложен</w:t>
      </w:r>
      <w:r w:rsidR="00465AD4"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решењ</w:t>
      </w:r>
      <w:r w:rsidR="00465AD4"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примен</w:t>
      </w:r>
      <w:r w:rsidR="00465AD4"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65AD4"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одлукама</w:t>
      </w:r>
      <w:r w:rsidRPr="00887BA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буџету локалне власти.</w:t>
      </w:r>
    </w:p>
    <w:p w:rsidR="0099011B" w:rsidRPr="00887BA7" w:rsidRDefault="0099011B" w:rsidP="008667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66719" w:rsidRPr="00887BA7" w:rsidRDefault="00866719" w:rsidP="0086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66719" w:rsidRPr="00887BA7" w:rsidRDefault="004D3589" w:rsidP="0086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VII.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B51AF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ПРЕГЛЕД ОДРЕД</w:t>
      </w:r>
      <w:bookmarkStart w:id="0" w:name="_GoBack"/>
      <w:bookmarkEnd w:id="0"/>
      <w:r w:rsidR="007558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 ЗАКОНА О БУЏЕТСКОМ СИСТЕМУ КОЈА СЕ ДОПУЊУЈЕ</w:t>
      </w:r>
    </w:p>
    <w:p w:rsidR="00465AD4" w:rsidRPr="00866719" w:rsidRDefault="00465AD4" w:rsidP="0086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465AD4" w:rsidRPr="00465AD4" w:rsidRDefault="00465AD4" w:rsidP="00465A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</w:p>
    <w:p w:rsidR="00465AD4" w:rsidRPr="00465AD4" w:rsidRDefault="00465AD4" w:rsidP="00465A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465AD4" w:rsidRPr="00465AD4" w:rsidRDefault="00465AD4" w:rsidP="00887B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</w:p>
    <w:p w:rsidR="00465AD4" w:rsidRPr="00465AD4" w:rsidRDefault="00465AD4" w:rsidP="00887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могу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средњорочни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максимални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циљем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обезбеди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дугорочна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одрживост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политике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Републици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Србији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кретање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начин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обухвата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инвестиција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рачунању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расхода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издатака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периоду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1)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годишњи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износиће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средњем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року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2)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укључујући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обавезе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реституције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45%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мањи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остваривати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потенцијалне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потенцијалне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остваривати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обезбедило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стварни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средњем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року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једнак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истовремено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омогући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реализација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антицикличне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политике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примениће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следећа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формула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одређивање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горње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границе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=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-1 -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-1-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*)-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*)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-1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означени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-1,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*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одређен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*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потенцијална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средњорочна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формули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изражен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процентима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изражене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процентима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Коефицијент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прилагођавања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показује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брзину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стварни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приближава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коефицијент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показује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колико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одступа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услед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одступања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потенцијалне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периоду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нумеричка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вредност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коефицијената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=0,3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=0,4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потенцијална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*=4%.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Почев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нумеричку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вредност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коефицијената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потенцијалну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одредиће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савет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важити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периоду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краћи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три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обухвата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директни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издате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гаранције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индиректни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домаћим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страним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повериоцима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Уколико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реституције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пређе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45%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дужна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скупштини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заједно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буџетом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наредну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поднесе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програм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смањење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савет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подноси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скупштини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образложено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мишљење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Владином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програму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смањења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представник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савета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образлаже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мишљење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скупштини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обавезна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уређује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питање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реституције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усклади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принципима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одговорности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савет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подноси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скупштини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образложено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мишљење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томе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одредбе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обештећење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старих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новцу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емисије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хартија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вредности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принципима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одговорности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представник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савета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образлаже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мишљење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скупштини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обезбеђују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смањење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највећим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оствари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смањења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текућих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расхода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Циљ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промени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структура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потрошње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правцу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смањења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текућих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расхода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инвестиција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Појединачне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децембру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2010.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априлу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ускладиће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потрошачких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три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месеца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октобру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ускладиће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збиром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потрошачких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шест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месеци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половине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уколико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позитиван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априлу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2012.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ускладиће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збиром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потрошачких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шест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месеци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половине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уколико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позитиван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октобру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2012.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априлу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2013.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октобру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2013.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0,5%.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априлу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0,5%.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октобру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случају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јула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донесе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пропис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уједначавање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зарада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сектору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вршити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усклађивање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Принципи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одговорног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управљања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налажу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свођење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расхода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одржив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тежити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томе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учешће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7%,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учешће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11%.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вршити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само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одговарајућих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планских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докумената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очекује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процењује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учешће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7%,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учешће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11%,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највише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пута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годишње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очекивано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учешће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усклађивања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изнад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наведених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процената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априла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могу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максимално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збира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потрошачких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шест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месеци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изнад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3%,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октобра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могу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максимално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стопе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потрошачких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шест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месеци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Уколико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испуњени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услови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усклађивање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29.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проценту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одлучује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Одредбе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28-31.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примењују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Усклађивање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примењује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обрачун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исплату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наведени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месец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Корисници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могу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заснивати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новим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попуњавања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слободних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упражњених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места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децембра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2019.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новим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засновати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сагласност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прибављено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мишљење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Укупан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време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због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ангажованих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уговору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уговору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привременим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повременим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пословима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омладинске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студентске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задруге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ангажованих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укупног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броја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време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због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ангажованих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уговору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уговору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привременим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повременим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пословима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преко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омладинске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студентске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задруге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ангажованих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укупног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броја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сагласност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претходно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прибављено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мишљење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Актом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ближе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поступак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прибављање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сагласности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35.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37.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Приликом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израчунавања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консолидоване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расходи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издаци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укључују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укупних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инвестиција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периоду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2012.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инвестиција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инвестиција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изнад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највиших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нивоа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дозвољено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дефицит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консолидоване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сме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2%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БДП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савет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сарадњи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ревизорском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институцијом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мишљење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томе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обухват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инвестиција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рачуноводственим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стандардима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Примена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може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угрози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фискална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правила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утврђена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29-31.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могу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1,25%,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унутрашњих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одбране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ученичког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стандарда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високог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вишег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студентског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стандарда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предшколским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социјалне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здравствене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заштите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29-31.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2017.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1,5 %.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29-31.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2017.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могу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унутрашњих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одбране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Безбедносно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информативној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агенцији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извршење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кривичних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санкција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само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намештенике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казнено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поправним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правосуђу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судија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тужилаца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намештеника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одредбама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сузбијању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организованог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криминала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корупције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тешких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кривичних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дела</w:t>
      </w:r>
      <w:r w:rsidR="009A623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гласник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</w:t>
      </w:r>
      <w:r w:rsidR="009A623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42/02, 27/03, 39/03, 67/03, 29/04, 58/04 -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45/05, 61/05, 72/09, 72/11 -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101/11 -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32/13),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поступку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ратне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злочине</w:t>
      </w:r>
      <w:r w:rsidR="000675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гласник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</w:t>
      </w:r>
      <w:r w:rsidR="000675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67/03, 135/04, 61/05, 107/07, 104/09, 101/11 -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6/15)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остварују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дуплом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износу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ученичког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стандарда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6%;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високог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вишег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студентског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стандарда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научно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истраживачкој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делатности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имају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заснован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факултету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помоћном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особљу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културе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социјалне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здравствене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заштите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предшколским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6%.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44.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вршиће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почев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децембар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29-31.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29-31.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буџетских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Републичког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фонда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здравствено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осигурање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1)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унутрашњих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одбране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Безбедносно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информативне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агенције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финансија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Пореске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финансија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царина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завода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извршење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кривичних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санкција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2)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судова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тужилаштава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намештеницима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10%,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судовима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тужилаштвима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основаним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одредбама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сузбијању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организованог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криминала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корупције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тешких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кривичних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дела</w:t>
      </w:r>
      <w:r w:rsidR="000675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гласник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</w:t>
      </w:r>
      <w:r w:rsidR="000675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42/02, 27/03, 39/03, 67/03, 29/04, 58/04 -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45/05, 61/05, 72/09, 72/11 -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101/11 -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32/13)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надлежности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поступку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ратне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злочине</w:t>
      </w:r>
      <w:r w:rsidR="000675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гласник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</w:t>
      </w:r>
      <w:r w:rsidR="000675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06750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67/03, 135/04, 61/05, 107/07, 104/09, 101/11 -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6/15)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намештеницима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остварују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дуплом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износу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судијама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тужиоцима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заменицима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тужилаца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3)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ученичког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студентског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стандарда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предшколских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социјалне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заштите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здравствених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културе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4)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Народне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скупштине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Републике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правобранилаштва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потпредседника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5)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Владе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осталих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укључујући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округе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наведени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тачки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 xml:space="preserve">6)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Високог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савета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судства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тужилаца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само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намештеницима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7)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нису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наведени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тач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1)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6)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само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намештеницима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8)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високошколских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научно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истраживачкој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остварују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високошколској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помоћном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особљу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научно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истраживачкој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делатности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9)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Српске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академије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наука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уметности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10)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осталих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обавезно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социјално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осигурање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11)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буџета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локалне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тачке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5%.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47.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вршиће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почев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децембар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2017.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функционерима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тачка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посебном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њихова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директно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индиректно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одређује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судија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државних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положају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имали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увећану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29-31.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2019.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неће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вршити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усклађивање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пензија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складу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30.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Изузетно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29-31.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2019.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буџетских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обавезно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социјално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осигурање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1)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унутрашњих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Безбедносно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информативне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агенције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одбране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9%;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2)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финансија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Пореске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Министарства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финансија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царина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8,5%;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3)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високошколских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као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истраживачима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научно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истраживачкој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право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остварују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високошколској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помоћном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особљу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научно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истраживачкој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делатности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9%;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4)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средњег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ученичког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студентског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стандарда, ПРЕДШКОЛСКИХ 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социјалне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заштите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9%;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5)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осталих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буџета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Републике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Србије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6)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средстава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буџета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локалне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власти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корисника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тачке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7)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обавезног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социјалног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осигурања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8)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здравствених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војноздравствених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установа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то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доктору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медицине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стоматологу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доктору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специјалисти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медицинском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техничару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стоматолошком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техничару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12%;</w:t>
      </w:r>
    </w:p>
    <w:p w:rsidR="00465AD4" w:rsidRPr="00465AD4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осталим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запосленим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7%.</w:t>
      </w:r>
    </w:p>
    <w:p w:rsidR="00866719" w:rsidRPr="00866719" w:rsidRDefault="00465AD4" w:rsidP="0046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Повећање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52.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вршиће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почев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плате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јануар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2019.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Pr="00465A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sectPr w:rsidR="00866719" w:rsidRPr="00866719" w:rsidSect="004573EE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BC3" w:rsidRDefault="00531BC3" w:rsidP="004573EE">
      <w:pPr>
        <w:spacing w:after="0" w:line="240" w:lineRule="auto"/>
      </w:pPr>
      <w:r>
        <w:separator/>
      </w:r>
    </w:p>
  </w:endnote>
  <w:endnote w:type="continuationSeparator" w:id="0">
    <w:p w:rsidR="00531BC3" w:rsidRDefault="00531BC3" w:rsidP="0045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92868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73EE" w:rsidRDefault="004573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A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573EE" w:rsidRDefault="00457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BC3" w:rsidRDefault="00531BC3" w:rsidP="004573EE">
      <w:pPr>
        <w:spacing w:after="0" w:line="240" w:lineRule="auto"/>
      </w:pPr>
      <w:r>
        <w:separator/>
      </w:r>
    </w:p>
  </w:footnote>
  <w:footnote w:type="continuationSeparator" w:id="0">
    <w:p w:rsidR="00531BC3" w:rsidRDefault="00531BC3" w:rsidP="00457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336A"/>
    <w:multiLevelType w:val="hybridMultilevel"/>
    <w:tmpl w:val="C770BFE6"/>
    <w:lvl w:ilvl="0" w:tplc="C0AE661C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0C792145"/>
    <w:multiLevelType w:val="hybridMultilevel"/>
    <w:tmpl w:val="2D4C343C"/>
    <w:lvl w:ilvl="0" w:tplc="4F085452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13537DF3"/>
    <w:multiLevelType w:val="hybridMultilevel"/>
    <w:tmpl w:val="2AA2DED8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B30ED"/>
    <w:multiLevelType w:val="hybridMultilevel"/>
    <w:tmpl w:val="892E35F0"/>
    <w:lvl w:ilvl="0" w:tplc="DB26C656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1DEC13C6"/>
    <w:multiLevelType w:val="hybridMultilevel"/>
    <w:tmpl w:val="C0FADE2E"/>
    <w:lvl w:ilvl="0" w:tplc="EFA400EC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268F7242"/>
    <w:multiLevelType w:val="hybridMultilevel"/>
    <w:tmpl w:val="6A84C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21E4F"/>
    <w:multiLevelType w:val="hybridMultilevel"/>
    <w:tmpl w:val="F0AA51FC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B33DD"/>
    <w:multiLevelType w:val="hybridMultilevel"/>
    <w:tmpl w:val="FCFACA4C"/>
    <w:lvl w:ilvl="0" w:tplc="77404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954AD"/>
    <w:multiLevelType w:val="hybridMultilevel"/>
    <w:tmpl w:val="7FA8BC26"/>
    <w:lvl w:ilvl="0" w:tplc="5C7EE80A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40FD7270"/>
    <w:multiLevelType w:val="hybridMultilevel"/>
    <w:tmpl w:val="7736E794"/>
    <w:lvl w:ilvl="0" w:tplc="0C30D43A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52CA675C"/>
    <w:multiLevelType w:val="hybridMultilevel"/>
    <w:tmpl w:val="58F421D0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7E355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65663"/>
    <w:multiLevelType w:val="hybridMultilevel"/>
    <w:tmpl w:val="A0123D28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10D65"/>
    <w:multiLevelType w:val="hybridMultilevel"/>
    <w:tmpl w:val="FBF0EFA4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A729C"/>
    <w:multiLevelType w:val="hybridMultilevel"/>
    <w:tmpl w:val="19C639DA"/>
    <w:lvl w:ilvl="0" w:tplc="51F49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82B1B"/>
    <w:multiLevelType w:val="hybridMultilevel"/>
    <w:tmpl w:val="D0FCF330"/>
    <w:lvl w:ilvl="0" w:tplc="4F085452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75B8655B"/>
    <w:multiLevelType w:val="hybridMultilevel"/>
    <w:tmpl w:val="9878DF2E"/>
    <w:lvl w:ilvl="0" w:tplc="EA544676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6" w15:restartNumberingAfterBreak="0">
    <w:nsid w:val="7A165ECE"/>
    <w:multiLevelType w:val="hybridMultilevel"/>
    <w:tmpl w:val="39A2660E"/>
    <w:lvl w:ilvl="0" w:tplc="36221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8351E"/>
    <w:multiLevelType w:val="hybridMultilevel"/>
    <w:tmpl w:val="89667A70"/>
    <w:lvl w:ilvl="0" w:tplc="CDF81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11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8"/>
  </w:num>
  <w:num w:numId="10">
    <w:abstractNumId w:val="10"/>
  </w:num>
  <w:num w:numId="11">
    <w:abstractNumId w:val="9"/>
  </w:num>
  <w:num w:numId="12">
    <w:abstractNumId w:val="14"/>
  </w:num>
  <w:num w:numId="13">
    <w:abstractNumId w:val="4"/>
  </w:num>
  <w:num w:numId="14">
    <w:abstractNumId w:val="12"/>
  </w:num>
  <w:num w:numId="15">
    <w:abstractNumId w:val="2"/>
  </w:num>
  <w:num w:numId="16">
    <w:abstractNumId w:val="1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97"/>
    <w:rsid w:val="0006750E"/>
    <w:rsid w:val="000A058E"/>
    <w:rsid w:val="001A3903"/>
    <w:rsid w:val="00260EBB"/>
    <w:rsid w:val="002F2258"/>
    <w:rsid w:val="004573EE"/>
    <w:rsid w:val="00465AD4"/>
    <w:rsid w:val="004A45FD"/>
    <w:rsid w:val="004C6EC1"/>
    <w:rsid w:val="004D3589"/>
    <w:rsid w:val="00501B8A"/>
    <w:rsid w:val="00531BC3"/>
    <w:rsid w:val="00546170"/>
    <w:rsid w:val="00604C97"/>
    <w:rsid w:val="0064487B"/>
    <w:rsid w:val="00653AFE"/>
    <w:rsid w:val="006604CC"/>
    <w:rsid w:val="0072675E"/>
    <w:rsid w:val="007558BD"/>
    <w:rsid w:val="00866719"/>
    <w:rsid w:val="008803D1"/>
    <w:rsid w:val="008805DC"/>
    <w:rsid w:val="008808CE"/>
    <w:rsid w:val="00887BA7"/>
    <w:rsid w:val="008E0D8F"/>
    <w:rsid w:val="009540EC"/>
    <w:rsid w:val="0099011B"/>
    <w:rsid w:val="009A6233"/>
    <w:rsid w:val="00A32E72"/>
    <w:rsid w:val="00AD20B2"/>
    <w:rsid w:val="00B0383A"/>
    <w:rsid w:val="00B51AF5"/>
    <w:rsid w:val="00BB2CEA"/>
    <w:rsid w:val="00C20FDD"/>
    <w:rsid w:val="00CD76EA"/>
    <w:rsid w:val="00D0556F"/>
    <w:rsid w:val="00DB4084"/>
    <w:rsid w:val="00E009BF"/>
    <w:rsid w:val="00E61A6B"/>
    <w:rsid w:val="00F359C5"/>
    <w:rsid w:val="00FE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6597D"/>
  <w15:docId w15:val="{9D06DF1B-CE2C-46B6-8D7D-8A1B1909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">
    <w:name w:val="rvts2"/>
    <w:basedOn w:val="DefaultParagraphFont"/>
    <w:rsid w:val="00866719"/>
  </w:style>
  <w:style w:type="paragraph" w:customStyle="1" w:styleId="rvps1">
    <w:name w:val="rvps1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866719"/>
  </w:style>
  <w:style w:type="paragraph" w:customStyle="1" w:styleId="rvps6">
    <w:name w:val="rvps6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66719"/>
  </w:style>
  <w:style w:type="character" w:customStyle="1" w:styleId="rvts15">
    <w:name w:val="rvts15"/>
    <w:basedOn w:val="DefaultParagraphFont"/>
    <w:rsid w:val="00866719"/>
  </w:style>
  <w:style w:type="character" w:customStyle="1" w:styleId="rvts12">
    <w:name w:val="rvts12"/>
    <w:basedOn w:val="DefaultParagraphFont"/>
    <w:rsid w:val="00866719"/>
  </w:style>
  <w:style w:type="paragraph" w:styleId="CommentText">
    <w:name w:val="annotation text"/>
    <w:basedOn w:val="Normal"/>
    <w:link w:val="CommentTextChar"/>
    <w:uiPriority w:val="99"/>
    <w:semiHidden/>
    <w:unhideWhenUsed/>
    <w:rsid w:val="00866719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719"/>
    <w:rPr>
      <w:rFonts w:ascii="Calibri" w:eastAsia="Calibri" w:hAnsi="Calibri" w:cs="Times New Roman"/>
      <w:sz w:val="20"/>
      <w:szCs w:val="20"/>
    </w:rPr>
  </w:style>
  <w:style w:type="character" w:customStyle="1" w:styleId="rvts6">
    <w:name w:val="rvts6"/>
    <w:basedOn w:val="DefaultParagraphFont"/>
    <w:rsid w:val="00866719"/>
  </w:style>
  <w:style w:type="character" w:customStyle="1" w:styleId="rvts10">
    <w:name w:val="rvts10"/>
    <w:basedOn w:val="DefaultParagraphFont"/>
    <w:rsid w:val="00866719"/>
  </w:style>
  <w:style w:type="paragraph" w:customStyle="1" w:styleId="rvps7">
    <w:name w:val="rvps7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0">
    <w:name w:val="rvts20"/>
    <w:basedOn w:val="DefaultParagraphFont"/>
    <w:rsid w:val="00866719"/>
  </w:style>
  <w:style w:type="paragraph" w:styleId="ListParagraph">
    <w:name w:val="List Paragraph"/>
    <w:basedOn w:val="Normal"/>
    <w:uiPriority w:val="34"/>
    <w:qFormat/>
    <w:rsid w:val="00866719"/>
    <w:pPr>
      <w:ind w:left="720"/>
      <w:contextualSpacing/>
    </w:pPr>
  </w:style>
  <w:style w:type="paragraph" w:customStyle="1" w:styleId="rvps8">
    <w:name w:val="rvps8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6719"/>
    <w:rPr>
      <w:color w:val="0000FF"/>
      <w:u w:val="single"/>
    </w:rPr>
  </w:style>
  <w:style w:type="paragraph" w:customStyle="1" w:styleId="rvps5">
    <w:name w:val="rvps5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3">
    <w:name w:val="auto-style3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Default">
    <w:name w:val="Default"/>
    <w:rsid w:val="008667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FS2012tekst">
    <w:name w:val="IFS 2012 tekst"/>
    <w:basedOn w:val="Normal"/>
    <w:uiPriority w:val="99"/>
    <w:qFormat/>
    <w:rsid w:val="00866719"/>
    <w:pPr>
      <w:spacing w:after="120" w:line="240" w:lineRule="auto"/>
      <w:ind w:firstLine="709"/>
      <w:jc w:val="both"/>
    </w:pPr>
    <w:rPr>
      <w:rFonts w:ascii="Cambria" w:eastAsia="Calibri" w:hAnsi="Cambria" w:cs="Times New Roman"/>
      <w:color w:val="404040"/>
      <w:sz w:val="21"/>
      <w:lang w:val="sr-Cyrl-CS"/>
    </w:rPr>
  </w:style>
  <w:style w:type="character" w:styleId="Emphasis">
    <w:name w:val="Emphasis"/>
    <w:basedOn w:val="DefaultParagraphFont"/>
    <w:uiPriority w:val="20"/>
    <w:qFormat/>
    <w:rsid w:val="00866719"/>
    <w:rPr>
      <w:i/>
      <w:iCs/>
    </w:rPr>
  </w:style>
  <w:style w:type="paragraph" w:customStyle="1" w:styleId="wyq110---naslov-clana">
    <w:name w:val="wyq110---naslov-clana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ks">
    <w:name w:val="indeks"/>
    <w:basedOn w:val="DefaultParagraphFont"/>
    <w:rsid w:val="00866719"/>
  </w:style>
  <w:style w:type="paragraph" w:customStyle="1" w:styleId="wyq060---pododeljak">
    <w:name w:val="wyq060---pododeljak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mostalni">
    <w:name w:val="samostalni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mostalni1">
    <w:name w:val="samostalni1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">
    <w:name w:val="normal_uvuceni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86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719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866719"/>
  </w:style>
  <w:style w:type="character" w:customStyle="1" w:styleId="normal10">
    <w:name w:val="normal1"/>
    <w:basedOn w:val="DefaultParagraphFont"/>
    <w:rsid w:val="00866719"/>
  </w:style>
  <w:style w:type="paragraph" w:styleId="Header">
    <w:name w:val="header"/>
    <w:basedOn w:val="Normal"/>
    <w:link w:val="HeaderChar"/>
    <w:uiPriority w:val="99"/>
    <w:unhideWhenUsed/>
    <w:rsid w:val="00457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3EE"/>
  </w:style>
  <w:style w:type="paragraph" w:styleId="Footer">
    <w:name w:val="footer"/>
    <w:basedOn w:val="Normal"/>
    <w:link w:val="FooterChar"/>
    <w:uiPriority w:val="99"/>
    <w:unhideWhenUsed/>
    <w:rsid w:val="00457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Injac</dc:creator>
  <cp:lastModifiedBy>Andjelka Opacic</cp:lastModifiedBy>
  <cp:revision>19</cp:revision>
  <cp:lastPrinted>2019-04-11T06:09:00Z</cp:lastPrinted>
  <dcterms:created xsi:type="dcterms:W3CDTF">2019-04-15T08:22:00Z</dcterms:created>
  <dcterms:modified xsi:type="dcterms:W3CDTF">2019-04-16T06:26:00Z</dcterms:modified>
</cp:coreProperties>
</file>