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907" w:rsidRPr="00374762" w:rsidRDefault="00936EF4" w:rsidP="00936EF4">
      <w:pPr>
        <w:tabs>
          <w:tab w:val="left" w:pos="1418"/>
        </w:tabs>
        <w:spacing w:after="0" w:line="240" w:lineRule="auto"/>
        <w:ind w:firstLine="720"/>
        <w:jc w:val="both"/>
        <w:rPr>
          <w:rFonts w:ascii="Times New Roman" w:hAnsi="Times New Roman" w:cs="Times New Roman"/>
          <w:color w:val="000000"/>
        </w:rPr>
      </w:pPr>
      <w:r>
        <w:rPr>
          <w:rFonts w:ascii="Times New Roman" w:hAnsi="Times New Roman" w:cs="Times New Roman"/>
          <w:color w:val="000000"/>
        </w:rPr>
        <w:tab/>
      </w:r>
      <w:r w:rsidR="00C00FF2" w:rsidRPr="00374762">
        <w:rPr>
          <w:rFonts w:ascii="Times New Roman" w:hAnsi="Times New Roman" w:cs="Times New Roman"/>
          <w:color w:val="000000"/>
        </w:rPr>
        <w:t>На основу члана 4а став 4</w:t>
      </w:r>
      <w:r w:rsidR="007F1ABF" w:rsidRPr="00374762">
        <w:rPr>
          <w:rFonts w:ascii="Times New Roman" w:hAnsi="Times New Roman" w:cs="Times New Roman"/>
          <w:color w:val="000000"/>
        </w:rPr>
        <w:t xml:space="preserve">. Закона о платама у државним органима и јавним службама („Службени гласник РС”, бр. 34/01, 62/06 – </w:t>
      </w:r>
      <w:r w:rsidR="00C00FF2" w:rsidRPr="00374762">
        <w:rPr>
          <w:rFonts w:ascii="Times New Roman" w:hAnsi="Times New Roman" w:cs="Times New Roman"/>
          <w:color w:val="000000"/>
        </w:rPr>
        <w:t xml:space="preserve">др. закон, 116/08 – др. закон, </w:t>
      </w:r>
      <w:r w:rsidR="007F1ABF" w:rsidRPr="00374762">
        <w:rPr>
          <w:rFonts w:ascii="Times New Roman" w:hAnsi="Times New Roman" w:cs="Times New Roman"/>
          <w:color w:val="000000"/>
        </w:rPr>
        <w:t>92/11</w:t>
      </w:r>
      <w:r w:rsidR="00C00FF2" w:rsidRPr="00374762">
        <w:rPr>
          <w:rFonts w:ascii="Times New Roman" w:hAnsi="Times New Roman" w:cs="Times New Roman"/>
          <w:color w:val="000000"/>
          <w:lang w:val="sr-Cyrl-RS"/>
        </w:rPr>
        <w:t>, 99/11 – др. закон, 10/13, 55/13, 99/14, 21/16 – др. закон, 113/17 – др. закон, 113/17 – др. закон и 95/18</w:t>
      </w:r>
      <w:r w:rsidR="007F1ABF" w:rsidRPr="00374762">
        <w:rPr>
          <w:rFonts w:ascii="Times New Roman" w:hAnsi="Times New Roman" w:cs="Times New Roman"/>
          <w:color w:val="000000"/>
        </w:rPr>
        <w:t>),</w:t>
      </w:r>
    </w:p>
    <w:p w:rsidR="00670355" w:rsidRPr="00374762" w:rsidRDefault="00670355" w:rsidP="00C00FF2">
      <w:pPr>
        <w:spacing w:after="0" w:line="240" w:lineRule="auto"/>
        <w:ind w:firstLine="720"/>
        <w:jc w:val="both"/>
        <w:rPr>
          <w:rFonts w:ascii="Times New Roman" w:hAnsi="Times New Roman" w:cs="Times New Roman"/>
        </w:rPr>
      </w:pPr>
    </w:p>
    <w:p w:rsidR="00355907" w:rsidRPr="00374762" w:rsidRDefault="007F1ABF" w:rsidP="00936EF4">
      <w:pPr>
        <w:spacing w:after="0" w:line="240" w:lineRule="auto"/>
        <w:ind w:left="720" w:firstLine="720"/>
        <w:jc w:val="both"/>
        <w:rPr>
          <w:rFonts w:ascii="Times New Roman" w:hAnsi="Times New Roman" w:cs="Times New Roman"/>
        </w:rPr>
      </w:pPr>
      <w:r w:rsidRPr="00374762">
        <w:rPr>
          <w:rFonts w:ascii="Times New Roman" w:hAnsi="Times New Roman" w:cs="Times New Roman"/>
          <w:color w:val="000000"/>
        </w:rPr>
        <w:t>Влада доноси</w:t>
      </w:r>
    </w:p>
    <w:p w:rsidR="00355907" w:rsidRPr="00374762" w:rsidRDefault="00C00FF2" w:rsidP="00936EF4">
      <w:pPr>
        <w:spacing w:after="0" w:line="240" w:lineRule="auto"/>
        <w:jc w:val="center"/>
        <w:rPr>
          <w:rFonts w:ascii="Times New Roman" w:hAnsi="Times New Roman" w:cs="Times New Roman"/>
          <w:lang w:val="sr-Cyrl-RS"/>
        </w:rPr>
      </w:pPr>
      <w:r w:rsidRPr="00374762">
        <w:rPr>
          <w:rFonts w:ascii="Times New Roman" w:hAnsi="Times New Roman" w:cs="Times New Roman"/>
          <w:color w:val="000000"/>
          <w:lang w:val="sr-Cyrl-RS"/>
        </w:rPr>
        <w:t>У</w:t>
      </w:r>
      <w:r w:rsidR="00282BC7">
        <w:rPr>
          <w:rFonts w:ascii="Times New Roman" w:hAnsi="Times New Roman" w:cs="Times New Roman"/>
          <w:color w:val="000000"/>
        </w:rPr>
        <w:t xml:space="preserve"> </w:t>
      </w:r>
      <w:r w:rsidRPr="00374762">
        <w:rPr>
          <w:rFonts w:ascii="Times New Roman" w:hAnsi="Times New Roman" w:cs="Times New Roman"/>
          <w:color w:val="000000"/>
          <w:lang w:val="sr-Cyrl-RS"/>
        </w:rPr>
        <w:t>Р</w:t>
      </w:r>
      <w:r w:rsidR="00282BC7">
        <w:rPr>
          <w:rFonts w:ascii="Times New Roman" w:hAnsi="Times New Roman" w:cs="Times New Roman"/>
          <w:color w:val="000000"/>
        </w:rPr>
        <w:t xml:space="preserve"> </w:t>
      </w:r>
      <w:r w:rsidRPr="00374762">
        <w:rPr>
          <w:rFonts w:ascii="Times New Roman" w:hAnsi="Times New Roman" w:cs="Times New Roman"/>
          <w:color w:val="000000"/>
          <w:lang w:val="sr-Cyrl-RS"/>
        </w:rPr>
        <w:t>Е</w:t>
      </w:r>
      <w:r w:rsidR="00282BC7">
        <w:rPr>
          <w:rFonts w:ascii="Times New Roman" w:hAnsi="Times New Roman" w:cs="Times New Roman"/>
          <w:color w:val="000000"/>
        </w:rPr>
        <w:t xml:space="preserve"> </w:t>
      </w:r>
      <w:r w:rsidRPr="00374762">
        <w:rPr>
          <w:rFonts w:ascii="Times New Roman" w:hAnsi="Times New Roman" w:cs="Times New Roman"/>
          <w:color w:val="000000"/>
          <w:lang w:val="sr-Cyrl-RS"/>
        </w:rPr>
        <w:t>Д</w:t>
      </w:r>
      <w:r w:rsidR="00282BC7">
        <w:rPr>
          <w:rFonts w:ascii="Times New Roman" w:hAnsi="Times New Roman" w:cs="Times New Roman"/>
          <w:color w:val="000000"/>
        </w:rPr>
        <w:t xml:space="preserve"> </w:t>
      </w:r>
      <w:r w:rsidRPr="00374762">
        <w:rPr>
          <w:rFonts w:ascii="Times New Roman" w:hAnsi="Times New Roman" w:cs="Times New Roman"/>
          <w:color w:val="000000"/>
          <w:lang w:val="sr-Cyrl-RS"/>
        </w:rPr>
        <w:t>Б</w:t>
      </w:r>
      <w:r w:rsidR="00282BC7">
        <w:rPr>
          <w:rFonts w:ascii="Times New Roman" w:hAnsi="Times New Roman" w:cs="Times New Roman"/>
          <w:color w:val="000000"/>
        </w:rPr>
        <w:t xml:space="preserve"> </w:t>
      </w:r>
      <w:r w:rsidRPr="00374762">
        <w:rPr>
          <w:rFonts w:ascii="Times New Roman" w:hAnsi="Times New Roman" w:cs="Times New Roman"/>
          <w:color w:val="000000"/>
          <w:lang w:val="sr-Cyrl-RS"/>
        </w:rPr>
        <w:t>У</w:t>
      </w:r>
    </w:p>
    <w:p w:rsidR="00355907" w:rsidRPr="00374762" w:rsidRDefault="00C00FF2" w:rsidP="00936EF4">
      <w:pPr>
        <w:spacing w:after="0" w:line="240" w:lineRule="auto"/>
        <w:jc w:val="center"/>
        <w:rPr>
          <w:rFonts w:ascii="Times New Roman" w:hAnsi="Times New Roman" w:cs="Times New Roman"/>
        </w:rPr>
      </w:pPr>
      <w:r w:rsidRPr="00374762">
        <w:rPr>
          <w:rFonts w:ascii="Times New Roman" w:hAnsi="Times New Roman" w:cs="Times New Roman"/>
          <w:color w:val="000000"/>
        </w:rPr>
        <w:t>О</w:t>
      </w:r>
      <w:r w:rsidRPr="00374762">
        <w:rPr>
          <w:rFonts w:ascii="Times New Roman" w:hAnsi="Times New Roman" w:cs="Times New Roman"/>
          <w:color w:val="000000"/>
          <w:lang w:val="sr-Cyrl-RS"/>
        </w:rPr>
        <w:t xml:space="preserve"> ИЗМЕНАМА И ДОПУНАМА УРЕДБЕ О</w:t>
      </w:r>
      <w:r w:rsidRPr="00374762">
        <w:rPr>
          <w:rFonts w:ascii="Times New Roman" w:hAnsi="Times New Roman" w:cs="Times New Roman"/>
          <w:color w:val="000000"/>
        </w:rPr>
        <w:t xml:space="preserve"> КОРЕКТИВНОМ КОЕФИЦИЈЕНТУ, НАЈВИШЕМ ПРОЦЕНТУАЛНОМ УВЕЋАЊУ ОСНОВНЕ ПЛАТЕ, КРИТЕРИЈУМИМА И МЕРИЛИМА ЗА ДЕО ПЛАТЕ КОЈИ СЕ ОСТВАРУЈЕ ПО ОСНОВУ РАДНОГ УЧИНКА, КАО И НАЧИНУ ОБРАЧУНА ПЛАТЕ ЗАПОСЛЕНИХ У ЗДРАВСТВЕНИМ УСТАНОВАМА</w:t>
      </w:r>
    </w:p>
    <w:p w:rsidR="009226BB" w:rsidRPr="00374762" w:rsidRDefault="009226BB" w:rsidP="00C00FF2">
      <w:pPr>
        <w:spacing w:after="0"/>
        <w:jc w:val="both"/>
        <w:rPr>
          <w:rFonts w:ascii="Times New Roman" w:hAnsi="Times New Roman" w:cs="Times New Roman"/>
        </w:rPr>
      </w:pPr>
    </w:p>
    <w:p w:rsidR="00355907" w:rsidRPr="00374762" w:rsidRDefault="007F1ABF" w:rsidP="009226BB">
      <w:pPr>
        <w:spacing w:after="0" w:line="240" w:lineRule="auto"/>
        <w:jc w:val="center"/>
        <w:rPr>
          <w:rFonts w:ascii="Times New Roman" w:hAnsi="Times New Roman" w:cs="Times New Roman"/>
        </w:rPr>
      </w:pPr>
      <w:r w:rsidRPr="00374762">
        <w:rPr>
          <w:rFonts w:ascii="Times New Roman" w:hAnsi="Times New Roman" w:cs="Times New Roman"/>
          <w:color w:val="000000"/>
        </w:rPr>
        <w:t>Члан 1.</w:t>
      </w:r>
    </w:p>
    <w:p w:rsidR="00355907" w:rsidRPr="00374762" w:rsidRDefault="00936EF4" w:rsidP="00936EF4">
      <w:pPr>
        <w:tabs>
          <w:tab w:val="left" w:pos="1418"/>
        </w:tabs>
        <w:spacing w:after="0" w:line="240" w:lineRule="auto"/>
        <w:jc w:val="both"/>
        <w:rPr>
          <w:rFonts w:ascii="Times New Roman" w:hAnsi="Times New Roman" w:cs="Times New Roman"/>
          <w:color w:val="000000"/>
          <w:lang w:val="sr-Cyrl-RS"/>
        </w:rPr>
      </w:pPr>
      <w:r>
        <w:rPr>
          <w:rFonts w:ascii="Times New Roman" w:hAnsi="Times New Roman" w:cs="Times New Roman"/>
          <w:color w:val="000000"/>
          <w:lang w:val="sr-Cyrl-RS"/>
        </w:rPr>
        <w:tab/>
      </w:r>
      <w:r w:rsidR="00C00FF2" w:rsidRPr="00374762">
        <w:rPr>
          <w:rFonts w:ascii="Times New Roman" w:hAnsi="Times New Roman" w:cs="Times New Roman"/>
          <w:color w:val="000000"/>
          <w:lang w:val="sr-Cyrl-RS"/>
        </w:rPr>
        <w:t>У Уредби о корективном коефицијенту, највишем процентуалном увећању основне плате, критеријумима и мерилима за део плате који се остварује по основу радног учинка, као и начину обрачуна плате запослених у здравственим установама („Службени гласник РС”, бр. 100/11, 63/12, 101/12, 46/13, 113/17 – др. закон, 21/18 и 95/18</w:t>
      </w:r>
      <w:r w:rsidR="00DA6EFA" w:rsidRPr="00374762">
        <w:rPr>
          <w:rFonts w:ascii="Times New Roman" w:hAnsi="Times New Roman" w:cs="Times New Roman"/>
          <w:color w:val="000000"/>
          <w:lang w:val="sr-Cyrl-RS"/>
        </w:rPr>
        <w:t xml:space="preserve"> – др. закон</w:t>
      </w:r>
      <w:r w:rsidR="00C00FF2" w:rsidRPr="00374762">
        <w:rPr>
          <w:rFonts w:ascii="Times New Roman" w:hAnsi="Times New Roman" w:cs="Times New Roman"/>
          <w:color w:val="000000"/>
          <w:lang w:val="sr-Cyrl-RS"/>
        </w:rPr>
        <w:t>) у члану 2. став 1. тачка 2) после речи: „гинекологије и” додају се речи: „</w:t>
      </w:r>
      <w:r w:rsidR="00D561FC" w:rsidRPr="00374762">
        <w:rPr>
          <w:rFonts w:ascii="Times New Roman" w:hAnsi="Times New Roman" w:cs="Times New Roman"/>
          <w:color w:val="000000"/>
          <w:lang w:val="sr-Cyrl-RS"/>
        </w:rPr>
        <w:t>деч</w:t>
      </w:r>
      <w:r w:rsidR="00C00FF2" w:rsidRPr="00374762">
        <w:rPr>
          <w:rFonts w:ascii="Times New Roman" w:hAnsi="Times New Roman" w:cs="Times New Roman"/>
          <w:color w:val="000000"/>
          <w:lang w:val="sr-Cyrl-RS"/>
        </w:rPr>
        <w:t>је и превентивне”.</w:t>
      </w:r>
    </w:p>
    <w:p w:rsidR="00C00FF2" w:rsidRPr="00374762" w:rsidRDefault="00936EF4" w:rsidP="00DA6EFA">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C00FF2" w:rsidRPr="00374762">
        <w:rPr>
          <w:rFonts w:ascii="Times New Roman" w:hAnsi="Times New Roman" w:cs="Times New Roman"/>
          <w:color w:val="000000"/>
          <w:lang w:val="sr-Cyrl-RS"/>
        </w:rPr>
        <w:t>У тачки 4) после речи: „педијатрије</w:t>
      </w:r>
      <w:r w:rsidR="00DA6EFA" w:rsidRPr="00374762">
        <w:rPr>
          <w:rFonts w:ascii="Times New Roman" w:hAnsi="Times New Roman" w:cs="Times New Roman"/>
          <w:color w:val="000000"/>
          <w:lang w:val="sr-Cyrl-RS"/>
        </w:rPr>
        <w:t xml:space="preserve"> и стоматологије</w:t>
      </w:r>
      <w:r w:rsidR="00C00FF2" w:rsidRPr="00374762">
        <w:rPr>
          <w:rFonts w:ascii="Times New Roman" w:hAnsi="Times New Roman" w:cs="Times New Roman"/>
          <w:color w:val="000000"/>
          <w:lang w:val="sr-Cyrl-RS"/>
        </w:rPr>
        <w:t xml:space="preserve">” </w:t>
      </w:r>
      <w:r w:rsidR="00DA6EFA" w:rsidRPr="00374762">
        <w:rPr>
          <w:rFonts w:ascii="Times New Roman" w:hAnsi="Times New Roman" w:cs="Times New Roman"/>
          <w:color w:val="000000"/>
          <w:lang w:val="sr-Cyrl-RS"/>
        </w:rPr>
        <w:t>замењују се речима</w:t>
      </w:r>
      <w:r w:rsidR="00C00FF2" w:rsidRPr="00374762">
        <w:rPr>
          <w:rFonts w:ascii="Times New Roman" w:hAnsi="Times New Roman" w:cs="Times New Roman"/>
          <w:color w:val="000000"/>
          <w:lang w:val="sr-Cyrl-RS"/>
        </w:rPr>
        <w:t>: „</w:t>
      </w:r>
      <w:r w:rsidR="00DA6EFA" w:rsidRPr="00374762">
        <w:rPr>
          <w:rFonts w:ascii="Times New Roman" w:hAnsi="Times New Roman" w:cs="Times New Roman"/>
          <w:color w:val="000000"/>
          <w:lang w:val="sr-Cyrl-RS"/>
        </w:rPr>
        <w:t xml:space="preserve">педијатрије, </w:t>
      </w:r>
      <w:r w:rsidR="00D561FC" w:rsidRPr="00374762">
        <w:rPr>
          <w:rFonts w:ascii="Times New Roman" w:hAnsi="Times New Roman" w:cs="Times New Roman"/>
          <w:color w:val="000000"/>
          <w:lang w:val="sr-Cyrl-RS"/>
        </w:rPr>
        <w:t>гинекологије и деч</w:t>
      </w:r>
      <w:r w:rsidR="00C00FF2" w:rsidRPr="00374762">
        <w:rPr>
          <w:rFonts w:ascii="Times New Roman" w:hAnsi="Times New Roman" w:cs="Times New Roman"/>
          <w:color w:val="000000"/>
          <w:lang w:val="sr-Cyrl-RS"/>
        </w:rPr>
        <w:t>је и превентивне</w:t>
      </w:r>
      <w:r w:rsidR="00DA6EFA" w:rsidRPr="00374762">
        <w:rPr>
          <w:rFonts w:ascii="Times New Roman" w:hAnsi="Times New Roman" w:cs="Times New Roman"/>
          <w:color w:val="000000"/>
          <w:lang w:val="sr-Cyrl-RS"/>
        </w:rPr>
        <w:t xml:space="preserve"> стоматологије</w:t>
      </w:r>
      <w:r w:rsidR="00C00FF2" w:rsidRPr="00374762">
        <w:rPr>
          <w:rFonts w:ascii="Times New Roman" w:hAnsi="Times New Roman" w:cs="Times New Roman"/>
          <w:color w:val="000000"/>
          <w:lang w:val="sr-Cyrl-RS"/>
        </w:rPr>
        <w:t>”.</w:t>
      </w:r>
    </w:p>
    <w:p w:rsidR="00DD0B05" w:rsidRPr="00374762" w:rsidRDefault="00936EF4" w:rsidP="009226B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D0B05" w:rsidRPr="00374762">
        <w:rPr>
          <w:rFonts w:ascii="Times New Roman" w:hAnsi="Times New Roman" w:cs="Times New Roman"/>
          <w:color w:val="000000"/>
          <w:lang w:val="sr-Cyrl-RS"/>
        </w:rPr>
        <w:t>Тачка 6) мења се и гласи:</w:t>
      </w:r>
    </w:p>
    <w:p w:rsidR="00DD0B05" w:rsidRPr="00374762" w:rsidRDefault="00936EF4" w:rsidP="009226B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D0B05" w:rsidRPr="00374762">
        <w:rPr>
          <w:rFonts w:ascii="Times New Roman" w:hAnsi="Times New Roman" w:cs="Times New Roman"/>
          <w:color w:val="000000"/>
          <w:lang w:val="sr-Cyrl-RS"/>
        </w:rPr>
        <w:t>„6) кор</w:t>
      </w:r>
      <w:r w:rsidR="00DA6EFA" w:rsidRPr="00374762">
        <w:rPr>
          <w:rFonts w:ascii="Times New Roman" w:hAnsi="Times New Roman" w:cs="Times New Roman"/>
          <w:color w:val="000000"/>
          <w:lang w:val="sr-Cyrl-RS"/>
        </w:rPr>
        <w:t>ективни</w:t>
      </w:r>
      <w:r w:rsidR="00DD0B05" w:rsidRPr="00374762">
        <w:rPr>
          <w:rFonts w:ascii="Times New Roman" w:hAnsi="Times New Roman" w:cs="Times New Roman"/>
          <w:color w:val="000000"/>
          <w:lang w:val="sr-Cyrl-RS"/>
        </w:rPr>
        <w:t xml:space="preserve"> фактор за густину насељености за регистрацију је прорачуната вредност која служи за кориговање, односно увећање регистрације код изабраних лекара у области опште медицине у зависности од густине насељености општине у којој се дом здравља налази;”</w:t>
      </w:r>
    </w:p>
    <w:p w:rsidR="00DD0B05" w:rsidRPr="00374762" w:rsidRDefault="00936EF4" w:rsidP="009226B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D0B05" w:rsidRPr="00374762">
        <w:rPr>
          <w:rFonts w:ascii="Times New Roman" w:hAnsi="Times New Roman" w:cs="Times New Roman"/>
          <w:color w:val="000000"/>
          <w:lang w:val="sr-Cyrl-RS"/>
        </w:rPr>
        <w:t xml:space="preserve">Тачка 8) мења се и гласи: </w:t>
      </w:r>
    </w:p>
    <w:p w:rsidR="00DD0B05" w:rsidRPr="00374762" w:rsidRDefault="00936EF4" w:rsidP="009226B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D0B05" w:rsidRPr="00374762">
        <w:rPr>
          <w:rFonts w:ascii="Times New Roman" w:hAnsi="Times New Roman" w:cs="Times New Roman"/>
          <w:color w:val="000000"/>
          <w:lang w:val="sr-Cyrl-RS"/>
        </w:rPr>
        <w:t>„8) корективни фактор за ефикасност за све области рада представља збир два корективна фактора (К1 – за степен развијености јединице локалне самоуправе на којо</w:t>
      </w:r>
      <w:r w:rsidR="00DA6EFA" w:rsidRPr="00374762">
        <w:rPr>
          <w:rFonts w:ascii="Times New Roman" w:hAnsi="Times New Roman" w:cs="Times New Roman"/>
          <w:color w:val="000000"/>
          <w:lang w:val="sr-Cyrl-RS"/>
        </w:rPr>
        <w:t>ј</w:t>
      </w:r>
      <w:r w:rsidR="00DD0B05" w:rsidRPr="00374762">
        <w:rPr>
          <w:rFonts w:ascii="Times New Roman" w:hAnsi="Times New Roman" w:cs="Times New Roman"/>
          <w:color w:val="000000"/>
          <w:lang w:val="sr-Cyrl-RS"/>
        </w:rPr>
        <w:t xml:space="preserve"> се налази дом здравља и К2 – за густину насељености јединице локалне самоуправе на којој се налази дом здравља) и односи се само на амбуланте и здравствене станице удаљене више од 15 километара од седишта дома здравља;”</w:t>
      </w:r>
    </w:p>
    <w:p w:rsidR="00DD0B05" w:rsidRPr="00374762" w:rsidRDefault="00936EF4" w:rsidP="009226B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D0B05" w:rsidRPr="00374762">
        <w:rPr>
          <w:rFonts w:ascii="Times New Roman" w:hAnsi="Times New Roman" w:cs="Times New Roman"/>
          <w:color w:val="000000"/>
          <w:lang w:val="sr-Cyrl-RS"/>
        </w:rPr>
        <w:t xml:space="preserve">Тачка 10) мења се и гласи: </w:t>
      </w:r>
    </w:p>
    <w:p w:rsidR="00DD0B05" w:rsidRPr="00374762" w:rsidRDefault="00936EF4" w:rsidP="009226B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D0B05" w:rsidRPr="00374762">
        <w:rPr>
          <w:rFonts w:ascii="Times New Roman" w:hAnsi="Times New Roman" w:cs="Times New Roman"/>
          <w:color w:val="000000"/>
          <w:lang w:val="sr-Cyrl-RS"/>
        </w:rPr>
        <w:t>„10) квалитет представља ниво испуњења сета показатеља квалитета за сваког појединачног изабраног лекара у посматраном периоду</w:t>
      </w:r>
      <w:r w:rsidR="00AA3555" w:rsidRPr="00374762">
        <w:rPr>
          <w:rFonts w:ascii="Times New Roman" w:hAnsi="Times New Roman" w:cs="Times New Roman"/>
          <w:color w:val="000000"/>
          <w:lang w:val="sr-Cyrl-RS"/>
        </w:rPr>
        <w:t>. У оквиру квалитета прати се проценат пацијената који припадају одређеним старосним групама здравих особа којима су пружене превентивне услуге (укључујући и скрининг)</w:t>
      </w:r>
      <w:r w:rsidR="00DA6EFA" w:rsidRPr="00374762">
        <w:rPr>
          <w:rFonts w:ascii="Times New Roman" w:hAnsi="Times New Roman" w:cs="Times New Roman"/>
          <w:color w:val="000000"/>
          <w:lang w:val="sr-Cyrl-RS"/>
        </w:rPr>
        <w:t>,</w:t>
      </w:r>
      <w:r w:rsidR="00AA3555" w:rsidRPr="00374762">
        <w:rPr>
          <w:rFonts w:ascii="Times New Roman" w:hAnsi="Times New Roman" w:cs="Times New Roman"/>
          <w:color w:val="000000"/>
          <w:lang w:val="sr-Cyrl-RS"/>
        </w:rPr>
        <w:t xml:space="preserve"> као и проценат хроничних пацијената којима су пружене куративне услуге</w:t>
      </w:r>
      <w:r w:rsidR="00DD0B05" w:rsidRPr="00374762">
        <w:rPr>
          <w:rFonts w:ascii="Times New Roman" w:hAnsi="Times New Roman" w:cs="Times New Roman"/>
          <w:color w:val="000000"/>
          <w:lang w:val="sr-Cyrl-RS"/>
        </w:rPr>
        <w:t>;”</w:t>
      </w:r>
    </w:p>
    <w:p w:rsidR="00DD0B05" w:rsidRPr="00374762" w:rsidRDefault="00936EF4" w:rsidP="009226B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D0B05" w:rsidRPr="00374762">
        <w:rPr>
          <w:rFonts w:ascii="Times New Roman" w:hAnsi="Times New Roman" w:cs="Times New Roman"/>
          <w:color w:val="000000"/>
          <w:lang w:val="sr-Cyrl-RS"/>
        </w:rPr>
        <w:t xml:space="preserve">После тачке 10) додаје се тачка 10а) која гласи: </w:t>
      </w:r>
    </w:p>
    <w:p w:rsidR="00DD0B05" w:rsidRPr="00374762" w:rsidRDefault="00936EF4" w:rsidP="009226B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D0B05" w:rsidRPr="00374762">
        <w:rPr>
          <w:rFonts w:ascii="Times New Roman" w:hAnsi="Times New Roman" w:cs="Times New Roman"/>
          <w:color w:val="000000"/>
          <w:lang w:val="sr-Cyrl-RS"/>
        </w:rPr>
        <w:t>„10а) дијагностичко-терапијске процедуре (у даљем тексту: ДТП) представљају услуге које се пружају само у области гинекологије. Критеријум ДТП представља број услуга у посматраном периоду за сваког појединачног изабраног лекара;”.</w:t>
      </w:r>
    </w:p>
    <w:p w:rsidR="00C00FF2" w:rsidRPr="00374762" w:rsidRDefault="00936EF4" w:rsidP="009226B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561FC" w:rsidRPr="00374762">
        <w:rPr>
          <w:rFonts w:ascii="Times New Roman" w:hAnsi="Times New Roman" w:cs="Times New Roman"/>
          <w:color w:val="000000"/>
          <w:lang w:val="sr-Cyrl-RS"/>
        </w:rPr>
        <w:t xml:space="preserve">Став 2. мења се и гласи: </w:t>
      </w:r>
    </w:p>
    <w:p w:rsidR="00D561FC" w:rsidRPr="00374762" w:rsidRDefault="00936EF4" w:rsidP="009226B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561FC" w:rsidRPr="00374762">
        <w:rPr>
          <w:rFonts w:ascii="Times New Roman" w:hAnsi="Times New Roman" w:cs="Times New Roman"/>
          <w:color w:val="000000"/>
          <w:lang w:val="sr-Cyrl-RS"/>
        </w:rPr>
        <w:t xml:space="preserve">„Корективни фактори </w:t>
      </w:r>
      <w:r w:rsidR="00206CF4" w:rsidRPr="00374762">
        <w:rPr>
          <w:rFonts w:ascii="Times New Roman" w:hAnsi="Times New Roman" w:cs="Times New Roman"/>
          <w:color w:val="000000"/>
          <w:lang w:val="sr-Cyrl-RS"/>
        </w:rPr>
        <w:t>(Прилог),</w:t>
      </w:r>
      <w:r w:rsidR="00D561FC" w:rsidRPr="00374762">
        <w:rPr>
          <w:rFonts w:ascii="Times New Roman" w:hAnsi="Times New Roman" w:cs="Times New Roman"/>
          <w:color w:val="000000"/>
          <w:lang w:val="sr-Cyrl-RS"/>
        </w:rPr>
        <w:t xml:space="preserve"> </w:t>
      </w:r>
      <w:r w:rsidR="00206CF4" w:rsidRPr="00374762">
        <w:rPr>
          <w:rFonts w:ascii="Times New Roman" w:hAnsi="Times New Roman" w:cs="Times New Roman"/>
          <w:color w:val="000000"/>
          <w:lang w:val="sr-Cyrl-RS"/>
        </w:rPr>
        <w:t>одштампани су</w:t>
      </w:r>
      <w:r w:rsidR="005C0599">
        <w:rPr>
          <w:rFonts w:ascii="Times New Roman" w:hAnsi="Times New Roman" w:cs="Times New Roman"/>
          <w:color w:val="000000"/>
          <w:lang w:val="sr-Cyrl-RS"/>
        </w:rPr>
        <w:t xml:space="preserve"> уз ову уредбу и чине</w:t>
      </w:r>
      <w:r w:rsidR="00D561FC" w:rsidRPr="00374762">
        <w:rPr>
          <w:rFonts w:ascii="Times New Roman" w:hAnsi="Times New Roman" w:cs="Times New Roman"/>
          <w:color w:val="000000"/>
          <w:lang w:val="sr-Cyrl-RS"/>
        </w:rPr>
        <w:t xml:space="preserve"> њен саставни део.”</w:t>
      </w:r>
    </w:p>
    <w:p w:rsidR="00D561FC" w:rsidRPr="00374762" w:rsidRDefault="00D561FC" w:rsidP="00D561FC">
      <w:pPr>
        <w:spacing w:after="0" w:line="240" w:lineRule="auto"/>
        <w:ind w:firstLine="720"/>
        <w:jc w:val="center"/>
        <w:rPr>
          <w:rFonts w:ascii="Times New Roman" w:hAnsi="Times New Roman" w:cs="Times New Roman"/>
          <w:color w:val="000000"/>
          <w:lang w:val="sr-Cyrl-RS"/>
        </w:rPr>
      </w:pPr>
    </w:p>
    <w:p w:rsidR="001E3953" w:rsidRPr="00374762" w:rsidRDefault="001E3953" w:rsidP="00D561FC">
      <w:pPr>
        <w:spacing w:after="0" w:line="240" w:lineRule="auto"/>
        <w:ind w:firstLine="720"/>
        <w:jc w:val="center"/>
        <w:rPr>
          <w:rFonts w:ascii="Times New Roman" w:hAnsi="Times New Roman" w:cs="Times New Roman"/>
          <w:color w:val="000000"/>
          <w:lang w:val="sr-Cyrl-RS"/>
        </w:rPr>
      </w:pPr>
    </w:p>
    <w:p w:rsidR="00D561FC" w:rsidRPr="00374762" w:rsidRDefault="009226BB" w:rsidP="009226BB">
      <w:pPr>
        <w:spacing w:after="0" w:line="240" w:lineRule="auto"/>
        <w:ind w:firstLine="720"/>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2.</w:t>
      </w:r>
    </w:p>
    <w:p w:rsidR="00D561FC" w:rsidRPr="00374762" w:rsidRDefault="00936EF4" w:rsidP="00D561FC">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561FC" w:rsidRPr="00374762">
        <w:rPr>
          <w:rFonts w:ascii="Times New Roman" w:hAnsi="Times New Roman" w:cs="Times New Roman"/>
          <w:color w:val="000000"/>
          <w:lang w:val="sr-Cyrl-RS"/>
        </w:rPr>
        <w:t>Члан 5а брише се.</w:t>
      </w:r>
    </w:p>
    <w:p w:rsidR="00D561FC" w:rsidRPr="00374762" w:rsidRDefault="00D561FC" w:rsidP="00D561FC">
      <w:pPr>
        <w:spacing w:after="0" w:line="240" w:lineRule="auto"/>
        <w:ind w:firstLine="720"/>
        <w:jc w:val="both"/>
        <w:rPr>
          <w:rFonts w:ascii="Times New Roman" w:hAnsi="Times New Roman" w:cs="Times New Roman"/>
          <w:color w:val="000000"/>
          <w:lang w:val="sr-Cyrl-RS"/>
        </w:rPr>
      </w:pPr>
    </w:p>
    <w:p w:rsidR="009226BB" w:rsidRPr="00374762" w:rsidRDefault="00D561FC" w:rsidP="009226BB">
      <w:pPr>
        <w:spacing w:after="0" w:line="240" w:lineRule="auto"/>
        <w:ind w:firstLine="720"/>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3.</w:t>
      </w:r>
    </w:p>
    <w:p w:rsidR="00D561FC" w:rsidRPr="00374762" w:rsidRDefault="00936EF4" w:rsidP="00D561FC">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561FC" w:rsidRPr="00374762">
        <w:rPr>
          <w:rFonts w:ascii="Times New Roman" w:hAnsi="Times New Roman" w:cs="Times New Roman"/>
          <w:color w:val="000000"/>
          <w:lang w:val="sr-Cyrl-RS"/>
        </w:rPr>
        <w:t xml:space="preserve">Члан 6. мења се и гласи: </w:t>
      </w:r>
    </w:p>
    <w:p w:rsidR="00C9045D" w:rsidRPr="00374762" w:rsidRDefault="00C9045D" w:rsidP="00D561FC">
      <w:pPr>
        <w:spacing w:after="0" w:line="240" w:lineRule="auto"/>
        <w:ind w:firstLine="720"/>
        <w:jc w:val="both"/>
        <w:rPr>
          <w:rFonts w:ascii="Times New Roman" w:hAnsi="Times New Roman" w:cs="Times New Roman"/>
          <w:color w:val="000000"/>
          <w:lang w:val="sr-Cyrl-RS"/>
        </w:rPr>
      </w:pPr>
    </w:p>
    <w:p w:rsidR="00C9045D" w:rsidRPr="00374762" w:rsidRDefault="00C9045D" w:rsidP="00C9045D">
      <w:pPr>
        <w:spacing w:after="0" w:line="240" w:lineRule="auto"/>
        <w:ind w:firstLine="720"/>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6.</w:t>
      </w:r>
    </w:p>
    <w:p w:rsidR="00D561FC" w:rsidRPr="00374762" w:rsidRDefault="00936EF4" w:rsidP="00D561FC">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561FC" w:rsidRPr="00374762">
        <w:rPr>
          <w:rFonts w:ascii="Times New Roman" w:hAnsi="Times New Roman" w:cs="Times New Roman"/>
          <w:color w:val="000000"/>
          <w:lang w:val="sr-Cyrl-RS"/>
        </w:rPr>
        <w:t xml:space="preserve">Критеријуми за део плате који се остварује по основу радног учинка из члана 5. ове уредбе, за здравствене раднике који на примарном нивоу здравствене заштите обављају послове изабраног лекара јесу: </w:t>
      </w:r>
    </w:p>
    <w:p w:rsidR="00D561FC" w:rsidRPr="00374762" w:rsidRDefault="00936EF4" w:rsidP="00D561FC">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lastRenderedPageBreak/>
        <w:tab/>
      </w:r>
      <w:r w:rsidR="00D561FC" w:rsidRPr="00374762">
        <w:rPr>
          <w:rFonts w:ascii="Times New Roman" w:hAnsi="Times New Roman" w:cs="Times New Roman"/>
          <w:color w:val="000000"/>
          <w:lang w:val="sr-Cyrl-RS"/>
        </w:rPr>
        <w:t xml:space="preserve">1) регистрација – што чини 30% укупне оцене за изабране лекаре из области опште медицине, педијатрије и гинекологије и 20% укупне оцене за изабране лекаре из области дечје и превентивне стоматологије; </w:t>
      </w:r>
    </w:p>
    <w:p w:rsidR="00D561FC" w:rsidRPr="00374762" w:rsidRDefault="00936EF4" w:rsidP="00D561FC">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561FC" w:rsidRPr="00374762">
        <w:rPr>
          <w:rFonts w:ascii="Times New Roman" w:hAnsi="Times New Roman" w:cs="Times New Roman"/>
          <w:color w:val="000000"/>
          <w:lang w:val="sr-Cyrl-RS"/>
        </w:rPr>
        <w:t xml:space="preserve">2) ефиканости – што чини 10% укупне оцене за изабране лекаре из области опште медицине, педијатрије и гинекологије и 20% укупне оцене за изабране лекаре из области дечје и превентивне стоматологије; </w:t>
      </w:r>
    </w:p>
    <w:p w:rsidR="00D561FC" w:rsidRPr="00374762" w:rsidRDefault="00936EF4" w:rsidP="00D561FC">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561FC" w:rsidRPr="00374762">
        <w:rPr>
          <w:rFonts w:ascii="Times New Roman" w:hAnsi="Times New Roman" w:cs="Times New Roman"/>
          <w:color w:val="000000"/>
          <w:lang w:val="sr-Cyrl-RS"/>
        </w:rPr>
        <w:t>3) дијагностичко-терапијске процедуре</w:t>
      </w:r>
      <w:r w:rsidR="00C9045D" w:rsidRPr="00374762">
        <w:rPr>
          <w:rFonts w:ascii="Times New Roman" w:hAnsi="Times New Roman" w:cs="Times New Roman"/>
          <w:color w:val="000000"/>
          <w:lang w:val="sr-Latn-RS"/>
        </w:rPr>
        <w:t xml:space="preserve"> (</w:t>
      </w:r>
      <w:r w:rsidR="00C9045D" w:rsidRPr="00374762">
        <w:rPr>
          <w:rFonts w:ascii="Times New Roman" w:hAnsi="Times New Roman" w:cs="Times New Roman"/>
          <w:color w:val="000000"/>
          <w:lang w:val="sr-Cyrl-RS"/>
        </w:rPr>
        <w:t>ДТП)</w:t>
      </w:r>
      <w:r w:rsidR="00D561FC" w:rsidRPr="00374762">
        <w:rPr>
          <w:rFonts w:ascii="Times New Roman" w:hAnsi="Times New Roman" w:cs="Times New Roman"/>
          <w:color w:val="000000"/>
          <w:lang w:val="sr-Cyrl-RS"/>
        </w:rPr>
        <w:t xml:space="preserve"> – што чини 15%</w:t>
      </w:r>
      <w:r w:rsidR="00D561FC" w:rsidRPr="00374762">
        <w:rPr>
          <w:rFonts w:ascii="Times New Roman" w:hAnsi="Times New Roman" w:cs="Times New Roman"/>
        </w:rPr>
        <w:t xml:space="preserve"> </w:t>
      </w:r>
      <w:r w:rsidR="00D561FC" w:rsidRPr="00374762">
        <w:rPr>
          <w:rFonts w:ascii="Times New Roman" w:hAnsi="Times New Roman" w:cs="Times New Roman"/>
          <w:color w:val="000000"/>
          <w:lang w:val="sr-Cyrl-RS"/>
        </w:rPr>
        <w:t xml:space="preserve">укупне оцене за изабране лекаре из области гинекологије; </w:t>
      </w:r>
    </w:p>
    <w:p w:rsidR="00D561FC" w:rsidRPr="00374762" w:rsidRDefault="00936EF4" w:rsidP="00D561FC">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D561FC" w:rsidRPr="00374762">
        <w:rPr>
          <w:rFonts w:ascii="Times New Roman" w:hAnsi="Times New Roman" w:cs="Times New Roman"/>
          <w:color w:val="000000"/>
          <w:lang w:val="sr-Cyrl-RS"/>
        </w:rPr>
        <w:t>4) квалитет здравствене заштите – што чини 60% укупне оцене за изабране лекаре из области опште медицине, педијатрије и дечје и превентивне стоматологије, а 45% укупне оцене за изабране лекаре из области гинекологије.”</w:t>
      </w:r>
    </w:p>
    <w:p w:rsidR="00D561FC" w:rsidRPr="00374762" w:rsidRDefault="00D561FC" w:rsidP="00D561FC">
      <w:pPr>
        <w:spacing w:after="0" w:line="240" w:lineRule="auto"/>
        <w:ind w:firstLine="720"/>
        <w:jc w:val="both"/>
        <w:rPr>
          <w:rFonts w:ascii="Times New Roman" w:hAnsi="Times New Roman" w:cs="Times New Roman"/>
          <w:color w:val="000000"/>
          <w:lang w:val="sr-Cyrl-RS"/>
        </w:rPr>
      </w:pPr>
    </w:p>
    <w:p w:rsidR="00D561FC" w:rsidRPr="00374762" w:rsidRDefault="009226BB" w:rsidP="009226BB">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 xml:space="preserve">Члан 4. </w:t>
      </w:r>
    </w:p>
    <w:p w:rsidR="00D561FC" w:rsidRPr="00374762" w:rsidRDefault="00D561FC" w:rsidP="00D561FC">
      <w:pPr>
        <w:spacing w:after="0" w:line="240" w:lineRule="auto"/>
        <w:jc w:val="both"/>
        <w:rPr>
          <w:rFonts w:ascii="Times New Roman" w:hAnsi="Times New Roman" w:cs="Times New Roman"/>
          <w:color w:val="000000"/>
          <w:lang w:val="sr-Cyrl-RS"/>
        </w:rPr>
      </w:pPr>
      <w:r w:rsidRPr="00374762">
        <w:rPr>
          <w:rFonts w:ascii="Times New Roman" w:hAnsi="Times New Roman" w:cs="Times New Roman"/>
          <w:color w:val="000000"/>
          <w:lang w:val="sr-Cyrl-RS"/>
        </w:rPr>
        <w:tab/>
      </w:r>
      <w:r w:rsidR="00936EF4">
        <w:rPr>
          <w:rFonts w:ascii="Times New Roman" w:hAnsi="Times New Roman" w:cs="Times New Roman"/>
          <w:color w:val="000000"/>
          <w:lang w:val="sr-Cyrl-RS"/>
        </w:rPr>
        <w:tab/>
      </w:r>
      <w:r w:rsidR="0076077F" w:rsidRPr="00374762">
        <w:rPr>
          <w:rFonts w:ascii="Times New Roman" w:hAnsi="Times New Roman" w:cs="Times New Roman"/>
          <w:color w:val="000000"/>
          <w:lang w:val="sr-Cyrl-RS"/>
        </w:rPr>
        <w:t>Назив</w:t>
      </w:r>
      <w:r w:rsidR="009226BB" w:rsidRPr="00374762">
        <w:rPr>
          <w:rFonts w:ascii="Times New Roman" w:hAnsi="Times New Roman" w:cs="Times New Roman"/>
          <w:color w:val="000000"/>
          <w:lang w:val="sr-Cyrl-RS"/>
        </w:rPr>
        <w:t xml:space="preserve"> изнад члана 7. и члан 7. бришу се.</w:t>
      </w:r>
    </w:p>
    <w:p w:rsidR="009226BB" w:rsidRPr="00374762" w:rsidRDefault="009226BB" w:rsidP="00D561FC">
      <w:pPr>
        <w:spacing w:after="0" w:line="240" w:lineRule="auto"/>
        <w:jc w:val="both"/>
        <w:rPr>
          <w:rFonts w:ascii="Times New Roman" w:hAnsi="Times New Roman" w:cs="Times New Roman"/>
          <w:color w:val="000000"/>
          <w:lang w:val="sr-Cyrl-RS"/>
        </w:rPr>
      </w:pPr>
    </w:p>
    <w:p w:rsidR="009226BB" w:rsidRPr="00374762" w:rsidRDefault="009226BB" w:rsidP="009226BB">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 xml:space="preserve">Члан 5. </w:t>
      </w:r>
    </w:p>
    <w:p w:rsidR="0076077F" w:rsidRPr="00374762" w:rsidRDefault="009226BB" w:rsidP="009226BB">
      <w:pPr>
        <w:spacing w:after="0" w:line="240" w:lineRule="auto"/>
        <w:jc w:val="both"/>
        <w:rPr>
          <w:rFonts w:ascii="Times New Roman" w:hAnsi="Times New Roman" w:cs="Times New Roman"/>
          <w:color w:val="000000"/>
          <w:lang w:val="sr-Cyrl-RS"/>
        </w:rPr>
      </w:pPr>
      <w:r w:rsidRPr="00374762">
        <w:rPr>
          <w:rFonts w:ascii="Times New Roman" w:hAnsi="Times New Roman" w:cs="Times New Roman"/>
          <w:color w:val="000000"/>
          <w:lang w:val="sr-Cyrl-RS"/>
        </w:rPr>
        <w:tab/>
      </w:r>
      <w:r w:rsidR="00936EF4">
        <w:rPr>
          <w:rFonts w:ascii="Times New Roman" w:hAnsi="Times New Roman" w:cs="Times New Roman"/>
          <w:color w:val="000000"/>
          <w:lang w:val="sr-Cyrl-RS"/>
        </w:rPr>
        <w:tab/>
      </w:r>
      <w:r w:rsidRPr="00374762">
        <w:rPr>
          <w:rFonts w:ascii="Times New Roman" w:hAnsi="Times New Roman" w:cs="Times New Roman"/>
          <w:color w:val="000000"/>
          <w:lang w:val="sr-Cyrl-RS"/>
        </w:rPr>
        <w:t>Члан 8. мења се и гласи:</w:t>
      </w:r>
    </w:p>
    <w:p w:rsidR="0076077F" w:rsidRPr="00374762" w:rsidRDefault="0076077F" w:rsidP="009226BB">
      <w:pPr>
        <w:spacing w:after="0" w:line="240" w:lineRule="auto"/>
        <w:jc w:val="both"/>
        <w:rPr>
          <w:rFonts w:ascii="Times New Roman" w:hAnsi="Times New Roman" w:cs="Times New Roman"/>
          <w:color w:val="000000"/>
          <w:lang w:val="sr-Cyrl-RS"/>
        </w:rPr>
      </w:pPr>
    </w:p>
    <w:p w:rsidR="009226BB" w:rsidRPr="00374762" w:rsidRDefault="0076077F" w:rsidP="0076077F">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8.</w:t>
      </w:r>
    </w:p>
    <w:p w:rsidR="009226BB" w:rsidRPr="00374762" w:rsidRDefault="0076077F" w:rsidP="009226BB">
      <w:pPr>
        <w:spacing w:after="0" w:line="240" w:lineRule="auto"/>
        <w:jc w:val="both"/>
        <w:rPr>
          <w:rFonts w:ascii="Times New Roman" w:hAnsi="Times New Roman" w:cs="Times New Roman"/>
          <w:color w:val="000000"/>
          <w:lang w:val="sr-Cyrl-RS"/>
        </w:rPr>
      </w:pPr>
      <w:r w:rsidRPr="00374762">
        <w:rPr>
          <w:rFonts w:ascii="Times New Roman" w:hAnsi="Times New Roman" w:cs="Times New Roman"/>
          <w:color w:val="000000"/>
          <w:lang w:val="sr-Cyrl-RS"/>
        </w:rPr>
        <w:tab/>
      </w:r>
      <w:r w:rsidR="00936EF4">
        <w:rPr>
          <w:rFonts w:ascii="Times New Roman" w:hAnsi="Times New Roman" w:cs="Times New Roman"/>
          <w:color w:val="000000"/>
          <w:lang w:val="sr-Cyrl-RS"/>
        </w:rPr>
        <w:tab/>
      </w:r>
      <w:r w:rsidR="009226BB" w:rsidRPr="00374762">
        <w:rPr>
          <w:rFonts w:ascii="Times New Roman" w:hAnsi="Times New Roman" w:cs="Times New Roman"/>
          <w:color w:val="000000"/>
          <w:lang w:val="sr-Cyrl-RS"/>
        </w:rPr>
        <w:t>Регистрација, ефикасност и квалитет оцењују се у односу на просечну вредност у Републици Србиј</w:t>
      </w:r>
      <w:r w:rsidR="00B32083">
        <w:rPr>
          <w:rFonts w:ascii="Times New Roman" w:hAnsi="Times New Roman" w:cs="Times New Roman"/>
          <w:color w:val="000000"/>
          <w:lang w:val="sr-Cyrl-RS"/>
        </w:rPr>
        <w:t>и</w:t>
      </w:r>
      <w:r w:rsidR="009226BB" w:rsidRPr="00374762">
        <w:rPr>
          <w:rFonts w:ascii="Times New Roman" w:hAnsi="Times New Roman" w:cs="Times New Roman"/>
          <w:color w:val="000000"/>
          <w:lang w:val="sr-Cyrl-RS"/>
        </w:rPr>
        <w:t xml:space="preserve"> у одговарајућој области рада. </w:t>
      </w:r>
    </w:p>
    <w:p w:rsidR="00D561FC" w:rsidRPr="00282BC7" w:rsidRDefault="009226BB" w:rsidP="00282BC7">
      <w:pPr>
        <w:spacing w:after="0" w:line="240" w:lineRule="auto"/>
        <w:jc w:val="both"/>
        <w:rPr>
          <w:rFonts w:ascii="Times New Roman" w:hAnsi="Times New Roman" w:cs="Times New Roman"/>
          <w:color w:val="000000"/>
        </w:rPr>
      </w:pPr>
      <w:r w:rsidRPr="00374762">
        <w:rPr>
          <w:rFonts w:ascii="Times New Roman" w:hAnsi="Times New Roman" w:cs="Times New Roman"/>
          <w:color w:val="000000"/>
          <w:lang w:val="sr-Cyrl-RS"/>
        </w:rPr>
        <w:tab/>
      </w:r>
      <w:r w:rsidR="00936EF4">
        <w:rPr>
          <w:rFonts w:ascii="Times New Roman" w:hAnsi="Times New Roman" w:cs="Times New Roman"/>
          <w:color w:val="000000"/>
          <w:lang w:val="sr-Cyrl-RS"/>
        </w:rPr>
        <w:tab/>
      </w:r>
      <w:r w:rsidRPr="00374762">
        <w:rPr>
          <w:rFonts w:ascii="Times New Roman" w:hAnsi="Times New Roman" w:cs="Times New Roman"/>
          <w:color w:val="000000"/>
          <w:lang w:val="sr-Cyrl-RS"/>
        </w:rPr>
        <w:t>ДТП оцењује се у односу на</w:t>
      </w:r>
      <w:r w:rsidR="00D341D5" w:rsidRPr="00374762">
        <w:rPr>
          <w:rFonts w:ascii="Times New Roman" w:hAnsi="Times New Roman" w:cs="Times New Roman"/>
          <w:color w:val="000000"/>
          <w:lang w:val="sr-Cyrl-RS"/>
        </w:rPr>
        <w:t xml:space="preserve"> аритметичку средину</w:t>
      </w:r>
      <w:r w:rsidRPr="00374762">
        <w:rPr>
          <w:rFonts w:ascii="Times New Roman" w:hAnsi="Times New Roman" w:cs="Times New Roman"/>
          <w:color w:val="000000"/>
          <w:lang w:val="sr-Cyrl-RS"/>
        </w:rPr>
        <w:t xml:space="preserve"> вредност</w:t>
      </w:r>
      <w:r w:rsidR="00D341D5" w:rsidRPr="00374762">
        <w:rPr>
          <w:rFonts w:ascii="Times New Roman" w:hAnsi="Times New Roman" w:cs="Times New Roman"/>
          <w:color w:val="000000"/>
          <w:lang w:val="sr-Cyrl-RS"/>
        </w:rPr>
        <w:t>и</w:t>
      </w:r>
      <w:r w:rsidRPr="00374762">
        <w:rPr>
          <w:rFonts w:ascii="Times New Roman" w:hAnsi="Times New Roman" w:cs="Times New Roman"/>
          <w:color w:val="000000"/>
          <w:lang w:val="sr-Cyrl-RS"/>
        </w:rPr>
        <w:t xml:space="preserve"> која се добије утврђивањем просечне вредности  у Републици Србији  у одговарајућој области рада и утврђивањем просечне вредности за појединачну здравствену устано</w:t>
      </w:r>
      <w:r w:rsidR="00D341D5" w:rsidRPr="00374762">
        <w:rPr>
          <w:rFonts w:ascii="Times New Roman" w:hAnsi="Times New Roman" w:cs="Times New Roman"/>
          <w:color w:val="000000"/>
          <w:lang w:val="sr-Cyrl-RS"/>
        </w:rPr>
        <w:t>ву у одговарајућој области рада</w:t>
      </w:r>
      <w:r w:rsidRPr="00374762">
        <w:rPr>
          <w:rFonts w:ascii="Times New Roman" w:hAnsi="Times New Roman" w:cs="Times New Roman"/>
          <w:color w:val="000000"/>
          <w:lang w:val="sr-Cyrl-RS"/>
        </w:rPr>
        <w:t>.”</w:t>
      </w:r>
    </w:p>
    <w:p w:rsidR="00C00FF2" w:rsidRPr="00374762" w:rsidRDefault="00C00FF2" w:rsidP="00D561FC">
      <w:pPr>
        <w:spacing w:after="0" w:line="240" w:lineRule="auto"/>
        <w:ind w:firstLine="720"/>
        <w:jc w:val="both"/>
        <w:rPr>
          <w:rFonts w:ascii="Times New Roman" w:hAnsi="Times New Roman" w:cs="Times New Roman"/>
          <w:color w:val="000000"/>
          <w:lang w:val="sr-Cyrl-RS"/>
        </w:rPr>
      </w:pPr>
    </w:p>
    <w:p w:rsidR="008525AB" w:rsidRPr="00374762" w:rsidRDefault="008525AB" w:rsidP="008525AB">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6.</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7205BB" w:rsidRPr="00374762">
        <w:rPr>
          <w:rFonts w:ascii="Times New Roman" w:hAnsi="Times New Roman" w:cs="Times New Roman"/>
          <w:color w:val="000000"/>
          <w:lang w:val="sr-Cyrl-RS"/>
        </w:rPr>
        <w:t>Назив</w:t>
      </w:r>
      <w:r w:rsidR="008525AB" w:rsidRPr="00374762">
        <w:rPr>
          <w:rFonts w:ascii="Times New Roman" w:hAnsi="Times New Roman" w:cs="Times New Roman"/>
          <w:color w:val="000000"/>
          <w:lang w:val="sr-Cyrl-RS"/>
        </w:rPr>
        <w:t xml:space="preserve"> изнад члана 10. и члан 10. мењају се и гласе:</w:t>
      </w:r>
    </w:p>
    <w:p w:rsidR="008525AB" w:rsidRPr="00374762" w:rsidRDefault="008525AB" w:rsidP="008525AB">
      <w:pPr>
        <w:spacing w:after="0" w:line="240" w:lineRule="auto"/>
        <w:ind w:firstLine="720"/>
        <w:jc w:val="both"/>
        <w:rPr>
          <w:rFonts w:ascii="Times New Roman" w:hAnsi="Times New Roman" w:cs="Times New Roman"/>
          <w:color w:val="000000"/>
          <w:lang w:val="sr-Cyrl-RS"/>
        </w:rPr>
      </w:pPr>
    </w:p>
    <w:p w:rsidR="008525AB" w:rsidRPr="00374762" w:rsidRDefault="008525AB" w:rsidP="008525AB">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„Оцена за квалитет</w:t>
      </w:r>
    </w:p>
    <w:p w:rsidR="008525AB" w:rsidRPr="00374762" w:rsidRDefault="008525AB" w:rsidP="008525AB">
      <w:pPr>
        <w:spacing w:after="0" w:line="240" w:lineRule="auto"/>
        <w:jc w:val="center"/>
        <w:rPr>
          <w:rFonts w:ascii="Times New Roman" w:hAnsi="Times New Roman" w:cs="Times New Roman"/>
          <w:color w:val="000000"/>
          <w:lang w:val="sr-Cyrl-RS"/>
        </w:rPr>
      </w:pPr>
    </w:p>
    <w:p w:rsidR="008525AB" w:rsidRPr="00374762" w:rsidRDefault="008525AB" w:rsidP="008525AB">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10.</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 xml:space="preserve">Изабрани лекар за остварени резултат мањи од четвртине просечне вредности за квалитет добија оцену 0. </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 xml:space="preserve">Изабрани лекар за остварен резултат 1,75 просечне вредности за квалитет и већи добија оцену 10. </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Изабрани лекар за остварен резултат између 0,25 и 1,75 просечне вредности за квалитет добија оцену која линеарно расте од 0 до 10 сразмерно оствареном резултату.”</w:t>
      </w:r>
    </w:p>
    <w:p w:rsidR="008525AB" w:rsidRPr="00374762" w:rsidRDefault="008525AB" w:rsidP="008525AB">
      <w:pPr>
        <w:spacing w:after="0" w:line="240" w:lineRule="auto"/>
        <w:ind w:firstLine="720"/>
        <w:jc w:val="both"/>
        <w:rPr>
          <w:rFonts w:ascii="Times New Roman" w:hAnsi="Times New Roman" w:cs="Times New Roman"/>
          <w:color w:val="000000"/>
          <w:lang w:val="sr-Cyrl-RS"/>
        </w:rPr>
      </w:pPr>
    </w:p>
    <w:p w:rsidR="008525AB" w:rsidRPr="00374762" w:rsidRDefault="008525AB" w:rsidP="008525AB">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7.</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45DFC" w:rsidRPr="00374762">
        <w:rPr>
          <w:rFonts w:ascii="Times New Roman" w:hAnsi="Times New Roman" w:cs="Times New Roman"/>
          <w:color w:val="000000"/>
          <w:lang w:val="sr-Cyrl-RS"/>
        </w:rPr>
        <w:t>Назив</w:t>
      </w:r>
      <w:r w:rsidR="008525AB" w:rsidRPr="00374762">
        <w:rPr>
          <w:rFonts w:ascii="Times New Roman" w:hAnsi="Times New Roman" w:cs="Times New Roman"/>
          <w:color w:val="000000"/>
          <w:lang w:val="sr-Cyrl-RS"/>
        </w:rPr>
        <w:t xml:space="preserve"> изнад члана 11. и члан 11. мењају се и гласе: </w:t>
      </w:r>
    </w:p>
    <w:p w:rsidR="008525AB" w:rsidRPr="00374762" w:rsidRDefault="008525AB" w:rsidP="008525AB">
      <w:pPr>
        <w:spacing w:after="0" w:line="240" w:lineRule="auto"/>
        <w:ind w:firstLine="720"/>
        <w:jc w:val="both"/>
        <w:rPr>
          <w:rFonts w:ascii="Times New Roman" w:hAnsi="Times New Roman" w:cs="Times New Roman"/>
          <w:color w:val="000000"/>
          <w:lang w:val="sr-Cyrl-RS"/>
        </w:rPr>
      </w:pPr>
    </w:p>
    <w:p w:rsidR="008525AB" w:rsidRPr="00374762" w:rsidRDefault="008525AB" w:rsidP="008525AB">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„Оцена за ДТП</w:t>
      </w:r>
    </w:p>
    <w:p w:rsidR="008525AB" w:rsidRPr="00374762" w:rsidRDefault="008525AB" w:rsidP="008525AB">
      <w:pPr>
        <w:spacing w:after="0" w:line="240" w:lineRule="auto"/>
        <w:jc w:val="center"/>
        <w:rPr>
          <w:rFonts w:ascii="Times New Roman" w:hAnsi="Times New Roman" w:cs="Times New Roman"/>
          <w:color w:val="000000"/>
          <w:lang w:val="sr-Cyrl-RS"/>
        </w:rPr>
      </w:pPr>
    </w:p>
    <w:p w:rsidR="008525AB" w:rsidRPr="00374762" w:rsidRDefault="008525AB" w:rsidP="008525AB">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11.</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 xml:space="preserve">Изабрани лекар за остварени резултат мањи од половине просечне вредности за ДТП добија оцену 0. </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 xml:space="preserve">Изабрани лекар за остварени резултат 1,5 просечне вредности за ДТП и већи добија оцену 10. </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Изабрани лекар за остварен резултат између 0,5 и 1,5 просечне вредности за ДТП добија оцену која линеарно расте од 0 до 10 сразмерно оствареном резултату.”</w:t>
      </w:r>
    </w:p>
    <w:p w:rsidR="008525AB" w:rsidRDefault="008525AB" w:rsidP="008525AB">
      <w:pPr>
        <w:spacing w:after="0" w:line="240" w:lineRule="auto"/>
        <w:ind w:firstLine="720"/>
        <w:jc w:val="both"/>
        <w:rPr>
          <w:rFonts w:ascii="Times New Roman" w:hAnsi="Times New Roman" w:cs="Times New Roman"/>
          <w:color w:val="000000"/>
        </w:rPr>
      </w:pPr>
    </w:p>
    <w:p w:rsidR="00282BC7" w:rsidRDefault="00282BC7" w:rsidP="008525AB">
      <w:pPr>
        <w:spacing w:after="0" w:line="240" w:lineRule="auto"/>
        <w:ind w:firstLine="720"/>
        <w:jc w:val="both"/>
        <w:rPr>
          <w:rFonts w:ascii="Times New Roman" w:hAnsi="Times New Roman" w:cs="Times New Roman"/>
          <w:color w:val="000000"/>
        </w:rPr>
      </w:pPr>
    </w:p>
    <w:p w:rsidR="00282BC7" w:rsidRDefault="00282BC7" w:rsidP="008525AB">
      <w:pPr>
        <w:spacing w:after="0" w:line="240" w:lineRule="auto"/>
        <w:ind w:firstLine="720"/>
        <w:jc w:val="both"/>
        <w:rPr>
          <w:rFonts w:ascii="Times New Roman" w:hAnsi="Times New Roman" w:cs="Times New Roman"/>
          <w:color w:val="000000"/>
        </w:rPr>
      </w:pPr>
    </w:p>
    <w:p w:rsidR="00282BC7" w:rsidRPr="00282BC7" w:rsidRDefault="00282BC7" w:rsidP="008525AB">
      <w:pPr>
        <w:spacing w:after="0" w:line="240" w:lineRule="auto"/>
        <w:ind w:firstLine="720"/>
        <w:jc w:val="both"/>
        <w:rPr>
          <w:rFonts w:ascii="Times New Roman" w:hAnsi="Times New Roman" w:cs="Times New Roman"/>
          <w:color w:val="000000"/>
        </w:rPr>
      </w:pPr>
    </w:p>
    <w:p w:rsidR="008525AB" w:rsidRPr="00374762" w:rsidRDefault="008525AB" w:rsidP="008525AB">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lastRenderedPageBreak/>
        <w:t>Члан 8.</w:t>
      </w:r>
    </w:p>
    <w:p w:rsidR="008525AB" w:rsidRPr="00374762" w:rsidRDefault="00936EF4" w:rsidP="005C39C0">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5C39C0" w:rsidRPr="00374762">
        <w:rPr>
          <w:rFonts w:ascii="Times New Roman" w:hAnsi="Times New Roman" w:cs="Times New Roman"/>
          <w:color w:val="000000"/>
          <w:lang w:val="sr-Cyrl-RS"/>
        </w:rPr>
        <w:t xml:space="preserve">Члан 13. мења се и гласи: </w:t>
      </w:r>
    </w:p>
    <w:p w:rsidR="005C39C0" w:rsidRPr="00374762" w:rsidRDefault="005C39C0" w:rsidP="005C39C0">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13.</w:t>
      </w:r>
    </w:p>
    <w:p w:rsidR="005C39C0" w:rsidRPr="00374762" w:rsidRDefault="005C39C0" w:rsidP="005C39C0">
      <w:pPr>
        <w:spacing w:after="0" w:line="240" w:lineRule="auto"/>
        <w:jc w:val="both"/>
        <w:rPr>
          <w:rFonts w:ascii="Times New Roman" w:hAnsi="Times New Roman" w:cs="Times New Roman"/>
          <w:color w:val="000000"/>
          <w:lang w:val="sr-Cyrl-RS"/>
        </w:rPr>
      </w:pPr>
      <w:r w:rsidRPr="00374762">
        <w:rPr>
          <w:rFonts w:ascii="Times New Roman" w:hAnsi="Times New Roman" w:cs="Times New Roman"/>
          <w:color w:val="000000"/>
          <w:lang w:val="sr-Cyrl-RS"/>
        </w:rPr>
        <w:tab/>
      </w:r>
    </w:p>
    <w:p w:rsidR="005C39C0" w:rsidRPr="00374762" w:rsidRDefault="00936EF4" w:rsidP="005C39C0">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5C39C0" w:rsidRPr="00374762">
        <w:rPr>
          <w:rFonts w:ascii="Times New Roman" w:hAnsi="Times New Roman" w:cs="Times New Roman"/>
          <w:color w:val="000000"/>
          <w:lang w:val="sr-Cyrl-RS"/>
        </w:rPr>
        <w:t>Ако запослени у здравственој установи обавља послове изабраног лекара у одређеној области рада, у радном времену које је краће од пуног радног времена, односно од радног времена које се сматра пуним радним временом, односно непуним радним временом, у складу са законом, део плате по основу радног учинка обрачунава се у складу са овом уредбом, према сразмерном делу плате запосленог према времену проведеном у обављању послова изабраног лекара.</w:t>
      </w:r>
    </w:p>
    <w:p w:rsidR="008525AB" w:rsidRDefault="00936EF4" w:rsidP="005C39C0">
      <w:pPr>
        <w:spacing w:after="0" w:line="240" w:lineRule="auto"/>
        <w:ind w:firstLine="720"/>
        <w:jc w:val="both"/>
        <w:rPr>
          <w:rFonts w:ascii="Times New Roman" w:hAnsi="Times New Roman" w:cs="Times New Roman"/>
          <w:color w:val="000000"/>
        </w:rPr>
      </w:pPr>
      <w:r>
        <w:rPr>
          <w:rFonts w:ascii="Times New Roman" w:hAnsi="Times New Roman" w:cs="Times New Roman"/>
          <w:color w:val="000000"/>
          <w:lang w:val="sr-Cyrl-RS"/>
        </w:rPr>
        <w:tab/>
      </w:r>
      <w:r w:rsidR="005C39C0" w:rsidRPr="00374762">
        <w:rPr>
          <w:rFonts w:ascii="Times New Roman" w:hAnsi="Times New Roman" w:cs="Times New Roman"/>
          <w:color w:val="000000"/>
          <w:lang w:val="sr-Cyrl-RS"/>
        </w:rPr>
        <w:t>Изабрани лекар чије су оцене на основу сваког критеријума 0, има коначну оцену 0.”</w:t>
      </w:r>
    </w:p>
    <w:p w:rsidR="00282BC7" w:rsidRPr="00282BC7" w:rsidRDefault="00282BC7" w:rsidP="005C39C0">
      <w:pPr>
        <w:spacing w:after="0" w:line="240" w:lineRule="auto"/>
        <w:ind w:firstLine="720"/>
        <w:jc w:val="both"/>
        <w:rPr>
          <w:rFonts w:ascii="Times New Roman" w:hAnsi="Times New Roman" w:cs="Times New Roman"/>
          <w:color w:val="000000"/>
        </w:rPr>
      </w:pPr>
    </w:p>
    <w:p w:rsidR="005C39C0" w:rsidRPr="00374762" w:rsidRDefault="008525AB" w:rsidP="005C39C0">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9.</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5C39C0" w:rsidRPr="00374762">
        <w:rPr>
          <w:rFonts w:ascii="Times New Roman" w:hAnsi="Times New Roman" w:cs="Times New Roman"/>
          <w:color w:val="000000"/>
          <w:lang w:val="sr-Cyrl-RS"/>
        </w:rPr>
        <w:t>Члан</w:t>
      </w:r>
      <w:r w:rsidR="008525AB" w:rsidRPr="00374762">
        <w:rPr>
          <w:rFonts w:ascii="Times New Roman" w:hAnsi="Times New Roman" w:cs="Times New Roman"/>
          <w:color w:val="000000"/>
          <w:lang w:val="sr-Cyrl-RS"/>
        </w:rPr>
        <w:t xml:space="preserve"> 1</w:t>
      </w:r>
      <w:r w:rsidR="005C39C0" w:rsidRPr="00374762">
        <w:rPr>
          <w:rFonts w:ascii="Times New Roman" w:hAnsi="Times New Roman" w:cs="Times New Roman"/>
          <w:color w:val="000000"/>
          <w:lang w:val="sr-Cyrl-RS"/>
        </w:rPr>
        <w:t xml:space="preserve">4. </w:t>
      </w:r>
      <w:r w:rsidR="008525AB" w:rsidRPr="00374762">
        <w:rPr>
          <w:rFonts w:ascii="Times New Roman" w:hAnsi="Times New Roman" w:cs="Times New Roman"/>
          <w:color w:val="000000"/>
          <w:lang w:val="sr-Cyrl-RS"/>
        </w:rPr>
        <w:t>мења се и гласи:</w:t>
      </w:r>
    </w:p>
    <w:p w:rsidR="005C39C0" w:rsidRPr="00374762" w:rsidRDefault="005C39C0" w:rsidP="00E644EF">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w:t>
      </w:r>
      <w:r w:rsidR="00E644EF" w:rsidRPr="00374762">
        <w:rPr>
          <w:rFonts w:ascii="Times New Roman" w:hAnsi="Times New Roman" w:cs="Times New Roman"/>
          <w:color w:val="000000"/>
          <w:lang w:val="sr-Cyrl-RS"/>
        </w:rPr>
        <w:t>Члан 14.</w:t>
      </w:r>
    </w:p>
    <w:p w:rsidR="005C39C0" w:rsidRPr="00374762" w:rsidRDefault="005C39C0" w:rsidP="005C39C0">
      <w:pPr>
        <w:spacing w:after="0" w:line="240" w:lineRule="auto"/>
        <w:jc w:val="both"/>
        <w:rPr>
          <w:rFonts w:ascii="Times New Roman" w:hAnsi="Times New Roman" w:cs="Times New Roman"/>
          <w:color w:val="000000"/>
          <w:lang w:val="sr-Cyrl-RS"/>
        </w:rPr>
      </w:pPr>
      <w:r w:rsidRPr="00374762">
        <w:rPr>
          <w:rFonts w:ascii="Times New Roman" w:hAnsi="Times New Roman" w:cs="Times New Roman"/>
          <w:color w:val="000000"/>
          <w:lang w:val="sr-Cyrl-RS"/>
        </w:rPr>
        <w:tab/>
      </w:r>
      <w:r w:rsidR="00936EF4">
        <w:rPr>
          <w:rFonts w:ascii="Times New Roman" w:hAnsi="Times New Roman" w:cs="Times New Roman"/>
          <w:color w:val="000000"/>
          <w:lang w:val="sr-Cyrl-RS"/>
        </w:rPr>
        <w:tab/>
      </w:r>
      <w:r w:rsidRPr="00374762">
        <w:rPr>
          <w:rFonts w:ascii="Times New Roman" w:hAnsi="Times New Roman" w:cs="Times New Roman"/>
          <w:color w:val="000000"/>
          <w:lang w:val="sr-Cyrl-RS"/>
        </w:rPr>
        <w:t>Изузетно од члана 6. ове уредбе, лекару на специјализацији, лекару у кућној нези, лекару специјалисти одговарајуће гране медицине, односно стоматологије, а који не обављају послове изабраног лекара, лекару повратнику са одсуства дужег од шест месеци, лекару почетнику, лекару приправнику, лекару који је засновао радни однос на новом радном месту, лекару у хитној помоћи, лекару радно ангажованом у здравственој установи у Аутономној покрајини Косово и Метохија, проценат увећања основне плате по основу радног учинка обрачунава се у висини коју представља увећана основна плата за остварени резултат рада лекара за који се добија оцена 5, у складу са овом уредбом.</w:t>
      </w:r>
    </w:p>
    <w:p w:rsidR="005C39C0" w:rsidRPr="00374762" w:rsidRDefault="00936EF4" w:rsidP="005C39C0">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5C39C0" w:rsidRPr="00374762">
        <w:rPr>
          <w:rFonts w:ascii="Times New Roman" w:hAnsi="Times New Roman" w:cs="Times New Roman"/>
          <w:color w:val="000000"/>
          <w:lang w:val="sr-Cyrl-RS"/>
        </w:rPr>
        <w:t>Лекару на специјализацији проценат увећања основне плате на основу радног учинка обрачунава се у складу са ставом 1. овог члана и исплаћује се за време трајања специјализације лекара.</w:t>
      </w:r>
    </w:p>
    <w:p w:rsidR="00E644EF" w:rsidRPr="00374762" w:rsidRDefault="00936EF4" w:rsidP="00E644EF">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E644EF" w:rsidRPr="00374762">
        <w:rPr>
          <w:rFonts w:ascii="Times New Roman" w:hAnsi="Times New Roman" w:cs="Times New Roman"/>
          <w:color w:val="000000"/>
          <w:lang w:val="sr-Cyrl-RS"/>
        </w:rPr>
        <w:t>Лекару повратнику са одсуства дужег од шест месеци, лекару почетнику, лекару који је засновао радни однос у другој здравственој установи, проценат увећања основне плате обрачунат у складу са ставом 1. овог члана исплаћује се у периоду од годину дана од дана повратка лекара са одсуства, односно од дана када је почео да ради, односно када је засновао радни однос у другој здравственој установи или при промени области рада у истој здравственој установи.</w:t>
      </w:r>
    </w:p>
    <w:p w:rsidR="008525AB" w:rsidRPr="00374762" w:rsidRDefault="00936EF4" w:rsidP="00E644EF">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5C39C0" w:rsidRPr="00374762">
        <w:rPr>
          <w:rFonts w:ascii="Times New Roman" w:hAnsi="Times New Roman" w:cs="Times New Roman"/>
          <w:color w:val="000000"/>
          <w:lang w:val="sr-Cyrl-RS"/>
        </w:rPr>
        <w:t>Лекару који део радног времена ради на пословима хитне помоћи, односно кућног лечења, проценат увећања основне плате по основу радног учинка на тим пословима обрачунава се и исплаћује процентуално времену проведеном на пословима хитне помоћи, односно кућног лечења, у складу са ставом 1. ове уредбе.</w:t>
      </w:r>
      <w:r w:rsidR="00E36989">
        <w:rPr>
          <w:rFonts w:ascii="Times New Roman" w:hAnsi="Times New Roman" w:cs="Times New Roman"/>
          <w:color w:val="000000"/>
          <w:lang w:val="sr-Cyrl-RS"/>
        </w:rPr>
        <w:t>”</w:t>
      </w:r>
    </w:p>
    <w:p w:rsidR="008525AB" w:rsidRPr="00374762" w:rsidRDefault="008525AB" w:rsidP="008525AB">
      <w:pPr>
        <w:spacing w:after="0" w:line="240" w:lineRule="auto"/>
        <w:ind w:firstLine="720"/>
        <w:jc w:val="both"/>
        <w:rPr>
          <w:rFonts w:ascii="Times New Roman" w:hAnsi="Times New Roman" w:cs="Times New Roman"/>
          <w:color w:val="000000"/>
          <w:lang w:val="sr-Cyrl-RS"/>
        </w:rPr>
      </w:pPr>
    </w:p>
    <w:p w:rsidR="008525AB" w:rsidRPr="00374762" w:rsidRDefault="008525AB" w:rsidP="008525AB">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10.</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У члану 16. у ставу 2. речи: „на нивоу просека радног учинка у здравственој установи” замењују се речима: „се у висини коју представља увећана основна плата за остварени резултат рада лекара за који се добија оцена 5, у складу са овом уредбом”.</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 xml:space="preserve">У ставу 3. речи: „просечно увећање основне плате по основу радног учинка по запосленом у тој здравственој установи” замењују се речима: „увећана основна плата за остварени резултат рада лекара за који се добија оцена 5, у складу са овом уредбом”. </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 xml:space="preserve">После става 3. додаје се став 4. који гласи: </w:t>
      </w:r>
    </w:p>
    <w:p w:rsidR="008525AB" w:rsidRDefault="00936EF4" w:rsidP="008525AB">
      <w:pPr>
        <w:spacing w:after="0" w:line="240" w:lineRule="auto"/>
        <w:ind w:firstLine="720"/>
        <w:jc w:val="both"/>
        <w:rPr>
          <w:rFonts w:ascii="Times New Roman" w:hAnsi="Times New Roman" w:cs="Times New Roman"/>
          <w:color w:val="000000"/>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„За друге запослене у здравственој установи, са подручја Аутономне покрајине Косово и Метохија, која обавља здравствену делатност на примарном нивоу здравствене заштите, увећање основне плате по основу радног учинка обрачунава се у висини коју представља увећана основна плата за остварени резултат рада лекара за који се добија оцена 5, у складу са овом уредбом.”</w:t>
      </w:r>
    </w:p>
    <w:p w:rsidR="00282BC7" w:rsidRDefault="00282BC7" w:rsidP="008525AB">
      <w:pPr>
        <w:spacing w:after="0" w:line="240" w:lineRule="auto"/>
        <w:ind w:firstLine="720"/>
        <w:jc w:val="both"/>
        <w:rPr>
          <w:rFonts w:ascii="Times New Roman" w:hAnsi="Times New Roman" w:cs="Times New Roman"/>
          <w:color w:val="000000"/>
        </w:rPr>
      </w:pPr>
    </w:p>
    <w:p w:rsidR="00282BC7" w:rsidRDefault="00282BC7" w:rsidP="008525AB">
      <w:pPr>
        <w:spacing w:after="0" w:line="240" w:lineRule="auto"/>
        <w:ind w:firstLine="720"/>
        <w:jc w:val="both"/>
        <w:rPr>
          <w:rFonts w:ascii="Times New Roman" w:hAnsi="Times New Roman" w:cs="Times New Roman"/>
          <w:color w:val="000000"/>
        </w:rPr>
      </w:pPr>
    </w:p>
    <w:p w:rsidR="00282BC7" w:rsidRDefault="00282BC7" w:rsidP="008525AB">
      <w:pPr>
        <w:spacing w:after="0" w:line="240" w:lineRule="auto"/>
        <w:ind w:firstLine="720"/>
        <w:jc w:val="both"/>
        <w:rPr>
          <w:rFonts w:ascii="Times New Roman" w:hAnsi="Times New Roman" w:cs="Times New Roman"/>
          <w:color w:val="000000"/>
        </w:rPr>
      </w:pPr>
    </w:p>
    <w:p w:rsidR="00282BC7" w:rsidRPr="00282BC7" w:rsidRDefault="00282BC7" w:rsidP="008525AB">
      <w:pPr>
        <w:spacing w:after="0" w:line="240" w:lineRule="auto"/>
        <w:ind w:firstLine="720"/>
        <w:jc w:val="both"/>
        <w:rPr>
          <w:rFonts w:ascii="Times New Roman" w:hAnsi="Times New Roman" w:cs="Times New Roman"/>
          <w:color w:val="000000"/>
        </w:rPr>
      </w:pPr>
    </w:p>
    <w:p w:rsidR="008525AB" w:rsidRPr="00374762" w:rsidRDefault="008525AB" w:rsidP="008525AB">
      <w:pPr>
        <w:spacing w:after="0" w:line="240" w:lineRule="auto"/>
        <w:ind w:firstLine="720"/>
        <w:jc w:val="both"/>
        <w:rPr>
          <w:rFonts w:ascii="Times New Roman" w:hAnsi="Times New Roman" w:cs="Times New Roman"/>
          <w:color w:val="000000"/>
          <w:lang w:val="sr-Cyrl-RS"/>
        </w:rPr>
      </w:pPr>
    </w:p>
    <w:p w:rsidR="008525AB" w:rsidRPr="00374762" w:rsidRDefault="008525AB" w:rsidP="004323D8">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11.</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 xml:space="preserve">После члана 18а додаје се нови члан 18б који гласи: </w:t>
      </w:r>
    </w:p>
    <w:p w:rsidR="008525AB" w:rsidRPr="00374762" w:rsidRDefault="008525AB" w:rsidP="008525AB">
      <w:pPr>
        <w:spacing w:after="0" w:line="240" w:lineRule="auto"/>
        <w:ind w:firstLine="720"/>
        <w:jc w:val="both"/>
        <w:rPr>
          <w:rFonts w:ascii="Times New Roman" w:hAnsi="Times New Roman" w:cs="Times New Roman"/>
          <w:color w:val="000000"/>
          <w:lang w:val="sr-Cyrl-RS"/>
        </w:rPr>
      </w:pPr>
    </w:p>
    <w:p w:rsidR="008525AB" w:rsidRPr="00374762" w:rsidRDefault="008525AB" w:rsidP="004323D8">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18б</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Део плате по основу радног учинка за за</w:t>
      </w:r>
      <w:r w:rsidR="00ED43CF" w:rsidRPr="00374762">
        <w:rPr>
          <w:rFonts w:ascii="Times New Roman" w:hAnsi="Times New Roman" w:cs="Times New Roman"/>
          <w:color w:val="000000"/>
          <w:lang w:val="sr-Cyrl-RS"/>
        </w:rPr>
        <w:t>послене у установи која обавља</w:t>
      </w:r>
      <w:r w:rsidR="008525AB" w:rsidRPr="00374762">
        <w:rPr>
          <w:rFonts w:ascii="Times New Roman" w:hAnsi="Times New Roman" w:cs="Times New Roman"/>
          <w:color w:val="000000"/>
          <w:lang w:val="sr-Cyrl-RS"/>
        </w:rPr>
        <w:t xml:space="preserve"> делатност на секундарном и терцијарн</w:t>
      </w:r>
      <w:r w:rsidR="0024342A" w:rsidRPr="00374762">
        <w:rPr>
          <w:rFonts w:ascii="Times New Roman" w:hAnsi="Times New Roman" w:cs="Times New Roman"/>
          <w:color w:val="000000"/>
          <w:lang w:val="sr-Cyrl-RS"/>
        </w:rPr>
        <w:t xml:space="preserve">ом нивоу здравствене заштите чије </w:t>
      </w:r>
      <w:r w:rsidR="008525AB" w:rsidRPr="00374762">
        <w:rPr>
          <w:rFonts w:ascii="Times New Roman" w:hAnsi="Times New Roman" w:cs="Times New Roman"/>
          <w:color w:val="000000"/>
          <w:lang w:val="sr-Cyrl-RS"/>
        </w:rPr>
        <w:t>плате</w:t>
      </w:r>
      <w:r w:rsidR="0024342A" w:rsidRPr="00374762">
        <w:rPr>
          <w:rFonts w:ascii="Times New Roman" w:hAnsi="Times New Roman" w:cs="Times New Roman"/>
          <w:color w:val="000000"/>
          <w:lang w:val="sr-Cyrl-RS"/>
        </w:rPr>
        <w:t xml:space="preserve"> се</w:t>
      </w:r>
      <w:r w:rsidR="008525AB" w:rsidRPr="00374762">
        <w:rPr>
          <w:rFonts w:ascii="Times New Roman" w:hAnsi="Times New Roman" w:cs="Times New Roman"/>
          <w:color w:val="000000"/>
          <w:lang w:val="sr-Cyrl-RS"/>
        </w:rPr>
        <w:t xml:space="preserve"> обебеђују из</w:t>
      </w:r>
      <w:r w:rsidR="0024342A" w:rsidRPr="00374762">
        <w:rPr>
          <w:rFonts w:ascii="Times New Roman" w:hAnsi="Times New Roman" w:cs="Times New Roman"/>
        </w:rPr>
        <w:t xml:space="preserve"> </w:t>
      </w:r>
      <w:r w:rsidR="0024342A" w:rsidRPr="00374762">
        <w:rPr>
          <w:rFonts w:ascii="Times New Roman" w:hAnsi="Times New Roman" w:cs="Times New Roman"/>
          <w:color w:val="000000"/>
          <w:lang w:val="sr-Cyrl-RS"/>
        </w:rPr>
        <w:t>средстава</w:t>
      </w:r>
      <w:r w:rsidR="008525AB" w:rsidRPr="00374762">
        <w:rPr>
          <w:rFonts w:ascii="Times New Roman" w:hAnsi="Times New Roman" w:cs="Times New Roman"/>
          <w:color w:val="000000"/>
          <w:lang w:val="sr-Cyrl-RS"/>
        </w:rPr>
        <w:t xml:space="preserve"> организације обавезног здравственог осигурања, а која део накнаде за услуге остварује на основу учинка по дијагностички сродним групама и показатељима квалитета</w:t>
      </w:r>
      <w:r w:rsidR="00ED43CF" w:rsidRPr="00374762">
        <w:rPr>
          <w:rFonts w:ascii="Times New Roman" w:hAnsi="Times New Roman" w:cs="Times New Roman"/>
          <w:color w:val="000000"/>
          <w:lang w:val="sr-Cyrl-RS"/>
        </w:rPr>
        <w:t>,</w:t>
      </w:r>
      <w:r w:rsidR="008525AB" w:rsidRPr="00374762">
        <w:rPr>
          <w:rFonts w:ascii="Times New Roman" w:hAnsi="Times New Roman" w:cs="Times New Roman"/>
          <w:color w:val="000000"/>
          <w:lang w:val="sr-Cyrl-RS"/>
        </w:rPr>
        <w:t xml:space="preserve"> обрачунава се на нивоу здравствене установе у целини.</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24342A" w:rsidRPr="00374762">
        <w:rPr>
          <w:rFonts w:ascii="Times New Roman" w:hAnsi="Times New Roman" w:cs="Times New Roman"/>
          <w:color w:val="000000"/>
          <w:lang w:val="sr-Cyrl-RS"/>
        </w:rPr>
        <w:t>Ак</w:t>
      </w:r>
      <w:r w:rsidR="008525AB" w:rsidRPr="00374762">
        <w:rPr>
          <w:rFonts w:ascii="Times New Roman" w:hAnsi="Times New Roman" w:cs="Times New Roman"/>
          <w:color w:val="000000"/>
          <w:lang w:val="sr-Cyrl-RS"/>
        </w:rPr>
        <w:t>о здравствена установа из става 1. овог члана оствари учинак по дијагностички сродним групама и показатељима квалитета у износу већем од номиналног износа варијабилног дела накнаде, утврђеног у складу са општим актом Републичког фонда</w:t>
      </w:r>
      <w:r w:rsidR="00ED43CF" w:rsidRPr="00374762">
        <w:rPr>
          <w:rFonts w:ascii="Times New Roman" w:hAnsi="Times New Roman" w:cs="Times New Roman"/>
          <w:color w:val="000000"/>
          <w:lang w:val="sr-Cyrl-RS"/>
        </w:rPr>
        <w:t xml:space="preserve"> </w:t>
      </w:r>
      <w:r w:rsidR="008525AB" w:rsidRPr="00374762">
        <w:rPr>
          <w:rFonts w:ascii="Times New Roman" w:hAnsi="Times New Roman" w:cs="Times New Roman"/>
          <w:color w:val="000000"/>
          <w:lang w:val="sr-Cyrl-RS"/>
        </w:rPr>
        <w:t>којим се уређује уговарање здравствене заштите, средства изнад тог износа могу се користити за увећање плата запослених које се обезбеђују из средстава организације обавезног здравственог осигурањa.</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Средства из става 2. овог члана могу се расподелити сразмерно учешћу  коефицијента запосленог у укупном з</w:t>
      </w:r>
      <w:r w:rsidR="00CA1A4C" w:rsidRPr="00374762">
        <w:rPr>
          <w:rFonts w:ascii="Times New Roman" w:hAnsi="Times New Roman" w:cs="Times New Roman"/>
          <w:color w:val="000000"/>
          <w:lang w:val="sr-Cyrl-RS"/>
        </w:rPr>
        <w:t>биру коефицијената запослених чије</w:t>
      </w:r>
      <w:r w:rsidR="008525AB" w:rsidRPr="00374762">
        <w:rPr>
          <w:rFonts w:ascii="Times New Roman" w:hAnsi="Times New Roman" w:cs="Times New Roman"/>
          <w:color w:val="000000"/>
          <w:lang w:val="sr-Cyrl-RS"/>
        </w:rPr>
        <w:t xml:space="preserve"> плате</w:t>
      </w:r>
      <w:r w:rsidR="00CA1A4C" w:rsidRPr="00374762">
        <w:rPr>
          <w:rFonts w:ascii="Times New Roman" w:hAnsi="Times New Roman" w:cs="Times New Roman"/>
          <w:color w:val="000000"/>
          <w:lang w:val="sr-Cyrl-RS"/>
        </w:rPr>
        <w:t xml:space="preserve"> се</w:t>
      </w:r>
      <w:r w:rsidR="008525AB" w:rsidRPr="00374762">
        <w:rPr>
          <w:rFonts w:ascii="Times New Roman" w:hAnsi="Times New Roman" w:cs="Times New Roman"/>
          <w:color w:val="000000"/>
          <w:lang w:val="sr-Cyrl-RS"/>
        </w:rPr>
        <w:t xml:space="preserve"> обезбеђују из</w:t>
      </w:r>
      <w:r w:rsidR="00CA1A4C" w:rsidRPr="00374762">
        <w:rPr>
          <w:rFonts w:ascii="Times New Roman" w:hAnsi="Times New Roman" w:cs="Times New Roman"/>
          <w:color w:val="000000"/>
          <w:lang w:val="sr-Cyrl-RS"/>
        </w:rPr>
        <w:t xml:space="preserve"> средстава</w:t>
      </w:r>
      <w:r w:rsidR="008525AB" w:rsidRPr="00374762">
        <w:rPr>
          <w:rFonts w:ascii="Times New Roman" w:hAnsi="Times New Roman" w:cs="Times New Roman"/>
          <w:color w:val="000000"/>
          <w:lang w:val="sr-Cyrl-RS"/>
        </w:rPr>
        <w:t xml:space="preserve"> организације обавезног здравственог осигурања.</w:t>
      </w:r>
      <w:r w:rsidR="004323D8" w:rsidRPr="00374762">
        <w:rPr>
          <w:rFonts w:ascii="Times New Roman" w:hAnsi="Times New Roman" w:cs="Times New Roman"/>
          <w:color w:val="000000"/>
          <w:lang w:val="sr-Cyrl-RS"/>
        </w:rPr>
        <w:t>”</w:t>
      </w:r>
    </w:p>
    <w:p w:rsidR="008525AB" w:rsidRPr="00374762" w:rsidRDefault="008525AB" w:rsidP="004323D8">
      <w:pPr>
        <w:spacing w:after="0" w:line="240" w:lineRule="auto"/>
        <w:jc w:val="both"/>
        <w:rPr>
          <w:rFonts w:ascii="Times New Roman" w:hAnsi="Times New Roman" w:cs="Times New Roman"/>
          <w:color w:val="000000"/>
          <w:lang w:val="sr-Cyrl-RS"/>
        </w:rPr>
      </w:pPr>
    </w:p>
    <w:p w:rsidR="008525AB" w:rsidRPr="00374762" w:rsidRDefault="008525AB" w:rsidP="004323D8">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12.</w:t>
      </w:r>
    </w:p>
    <w:p w:rsidR="008525AB" w:rsidRPr="00374762" w:rsidRDefault="00936EF4" w:rsidP="004323D8">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ED43CF" w:rsidRPr="00374762">
        <w:rPr>
          <w:rFonts w:ascii="Times New Roman" w:hAnsi="Times New Roman" w:cs="Times New Roman"/>
          <w:color w:val="000000"/>
          <w:lang w:val="sr-Cyrl-RS"/>
        </w:rPr>
        <w:t>У ч</w:t>
      </w:r>
      <w:r w:rsidR="008525AB" w:rsidRPr="00374762">
        <w:rPr>
          <w:rFonts w:ascii="Times New Roman" w:hAnsi="Times New Roman" w:cs="Times New Roman"/>
          <w:color w:val="000000"/>
          <w:lang w:val="sr-Cyrl-RS"/>
        </w:rPr>
        <w:t>л</w:t>
      </w:r>
      <w:r w:rsidR="004323D8" w:rsidRPr="00374762">
        <w:rPr>
          <w:rFonts w:ascii="Times New Roman" w:hAnsi="Times New Roman" w:cs="Times New Roman"/>
          <w:color w:val="000000"/>
          <w:lang w:val="sr-Cyrl-RS"/>
        </w:rPr>
        <w:t>ан</w:t>
      </w:r>
      <w:r w:rsidR="00ED43CF" w:rsidRPr="00374762">
        <w:rPr>
          <w:rFonts w:ascii="Times New Roman" w:hAnsi="Times New Roman" w:cs="Times New Roman"/>
          <w:color w:val="000000"/>
          <w:lang w:val="sr-Cyrl-RS"/>
        </w:rPr>
        <w:t xml:space="preserve">у 19. став 1. </w:t>
      </w:r>
      <w:r w:rsidR="004323D8" w:rsidRPr="00374762">
        <w:rPr>
          <w:rFonts w:ascii="Times New Roman" w:hAnsi="Times New Roman" w:cs="Times New Roman"/>
          <w:color w:val="000000"/>
          <w:lang w:val="sr-Cyrl-RS"/>
        </w:rPr>
        <w:t>мења</w:t>
      </w:r>
      <w:r w:rsidR="00ED43CF" w:rsidRPr="00374762">
        <w:rPr>
          <w:rFonts w:ascii="Times New Roman" w:hAnsi="Times New Roman" w:cs="Times New Roman"/>
          <w:color w:val="000000"/>
          <w:lang w:val="sr-Cyrl-RS"/>
        </w:rPr>
        <w:t xml:space="preserve"> се</w:t>
      </w:r>
      <w:r w:rsidR="004323D8" w:rsidRPr="00374762">
        <w:rPr>
          <w:rFonts w:ascii="Times New Roman" w:hAnsi="Times New Roman" w:cs="Times New Roman"/>
          <w:color w:val="000000"/>
          <w:lang w:val="sr-Cyrl-RS"/>
        </w:rPr>
        <w:t xml:space="preserve"> и гласи:</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„Директору здравствене установе на примарном нивоу здравствене заштите где се обављају послови изабраног лекара, проценат увећања основне плате по основу радног учинка обрачунава се у висини коју представља увећана основна плата за остварени резултат рада лекара за који се добија оцена 5, у складу са овом уредбом.</w:t>
      </w:r>
      <w:r w:rsidR="004323D8" w:rsidRPr="00374762">
        <w:rPr>
          <w:rFonts w:ascii="Times New Roman" w:hAnsi="Times New Roman" w:cs="Times New Roman"/>
          <w:color w:val="000000"/>
          <w:lang w:val="sr-Cyrl-RS"/>
        </w:rPr>
        <w:t>”</w:t>
      </w:r>
    </w:p>
    <w:p w:rsidR="008525AB" w:rsidRPr="00374762" w:rsidRDefault="008525AB" w:rsidP="008525AB">
      <w:pPr>
        <w:spacing w:after="0" w:line="240" w:lineRule="auto"/>
        <w:ind w:firstLine="720"/>
        <w:jc w:val="both"/>
        <w:rPr>
          <w:rFonts w:ascii="Times New Roman" w:hAnsi="Times New Roman" w:cs="Times New Roman"/>
          <w:color w:val="000000"/>
          <w:lang w:val="sr-Cyrl-RS"/>
        </w:rPr>
      </w:pPr>
    </w:p>
    <w:p w:rsidR="008525AB" w:rsidRPr="00374762" w:rsidRDefault="008525AB" w:rsidP="004323D8">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13.</w:t>
      </w:r>
    </w:p>
    <w:p w:rsidR="008525AB" w:rsidRPr="0037476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У члану 20. став 2. после речи: „лекара</w:t>
      </w:r>
      <w:r w:rsidR="004323D8" w:rsidRPr="00374762">
        <w:rPr>
          <w:rFonts w:ascii="Times New Roman" w:hAnsi="Times New Roman" w:cs="Times New Roman"/>
          <w:color w:val="000000"/>
          <w:lang w:val="sr-Cyrl-RS"/>
        </w:rPr>
        <w:t>”</w:t>
      </w:r>
      <w:r w:rsidR="008525AB" w:rsidRPr="00374762">
        <w:rPr>
          <w:rFonts w:ascii="Times New Roman" w:hAnsi="Times New Roman" w:cs="Times New Roman"/>
          <w:color w:val="000000"/>
          <w:lang w:val="sr-Cyrl-RS"/>
        </w:rPr>
        <w:t xml:space="preserve"> додају се речи: „у здравственим установама примарног нивоа здравствене заштите, као и податке који се односе на учинак здравствених установа секундарног и терциј</w:t>
      </w:r>
      <w:r w:rsidR="004323D8" w:rsidRPr="00374762">
        <w:rPr>
          <w:rFonts w:ascii="Times New Roman" w:hAnsi="Times New Roman" w:cs="Times New Roman"/>
          <w:color w:val="000000"/>
          <w:lang w:val="sr-Cyrl-RS"/>
        </w:rPr>
        <w:t>арног нивоа здравствене заштите”</w:t>
      </w:r>
      <w:r w:rsidR="008525AB" w:rsidRPr="00374762">
        <w:rPr>
          <w:rFonts w:ascii="Times New Roman" w:hAnsi="Times New Roman" w:cs="Times New Roman"/>
          <w:color w:val="000000"/>
          <w:lang w:val="sr-Cyrl-RS"/>
        </w:rPr>
        <w:t>.</w:t>
      </w:r>
    </w:p>
    <w:p w:rsidR="008525AB" w:rsidRPr="00374762" w:rsidRDefault="008525AB" w:rsidP="00374762">
      <w:pPr>
        <w:spacing w:after="0" w:line="240" w:lineRule="auto"/>
        <w:jc w:val="both"/>
        <w:rPr>
          <w:rFonts w:ascii="Times New Roman" w:hAnsi="Times New Roman" w:cs="Times New Roman"/>
          <w:color w:val="000000"/>
          <w:lang w:val="sr-Cyrl-RS"/>
        </w:rPr>
      </w:pPr>
    </w:p>
    <w:p w:rsidR="008525AB" w:rsidRPr="00374762" w:rsidRDefault="008525AB" w:rsidP="004323D8">
      <w:pPr>
        <w:spacing w:after="0" w:line="240" w:lineRule="auto"/>
        <w:jc w:val="center"/>
        <w:rPr>
          <w:rFonts w:ascii="Times New Roman" w:hAnsi="Times New Roman" w:cs="Times New Roman"/>
          <w:color w:val="000000"/>
          <w:lang w:val="sr-Cyrl-RS"/>
        </w:rPr>
      </w:pPr>
      <w:r w:rsidRPr="00374762">
        <w:rPr>
          <w:rFonts w:ascii="Times New Roman" w:hAnsi="Times New Roman" w:cs="Times New Roman"/>
          <w:color w:val="000000"/>
          <w:lang w:val="sr-Cyrl-RS"/>
        </w:rPr>
        <w:t>Члан 14.</w:t>
      </w:r>
    </w:p>
    <w:p w:rsidR="00C00FF2" w:rsidRDefault="00936EF4" w:rsidP="008525AB">
      <w:pPr>
        <w:spacing w:after="0" w:line="240" w:lineRule="auto"/>
        <w:ind w:firstLine="720"/>
        <w:jc w:val="both"/>
        <w:rPr>
          <w:rFonts w:ascii="Times New Roman" w:hAnsi="Times New Roman" w:cs="Times New Roman"/>
          <w:color w:val="000000"/>
          <w:lang w:val="sr-Cyrl-RS"/>
        </w:rPr>
      </w:pPr>
      <w:r>
        <w:rPr>
          <w:rFonts w:ascii="Times New Roman" w:hAnsi="Times New Roman" w:cs="Times New Roman"/>
          <w:color w:val="000000"/>
          <w:lang w:val="sr-Cyrl-RS"/>
        </w:rPr>
        <w:tab/>
      </w:r>
      <w:r w:rsidR="008525AB" w:rsidRPr="00374762">
        <w:rPr>
          <w:rFonts w:ascii="Times New Roman" w:hAnsi="Times New Roman" w:cs="Times New Roman"/>
          <w:color w:val="000000"/>
          <w:lang w:val="sr-Cyrl-RS"/>
        </w:rPr>
        <w:t>Ова уредба ступа на снагу осмог дана од дана обја</w:t>
      </w:r>
      <w:r w:rsidR="00ED43CF" w:rsidRPr="00374762">
        <w:rPr>
          <w:rFonts w:ascii="Times New Roman" w:hAnsi="Times New Roman" w:cs="Times New Roman"/>
          <w:color w:val="000000"/>
          <w:lang w:val="sr-Cyrl-RS"/>
        </w:rPr>
        <w:t>вљивања у „Службеном гласнику Републике Србије”</w:t>
      </w:r>
      <w:r w:rsidR="008525AB" w:rsidRPr="00374762">
        <w:rPr>
          <w:rFonts w:ascii="Times New Roman" w:hAnsi="Times New Roman" w:cs="Times New Roman"/>
          <w:color w:val="000000"/>
          <w:lang w:val="sr-Cyrl-RS"/>
        </w:rPr>
        <w:t>, а примењује се на обрачун и исплату плата за јул 2019. године, осим члана 12. ове уредбе који се примењује на обрачун и исплату плата за јун 2019. године.</w:t>
      </w:r>
    </w:p>
    <w:p w:rsidR="00374762" w:rsidRDefault="00374762" w:rsidP="008525AB">
      <w:pPr>
        <w:spacing w:after="0" w:line="240" w:lineRule="auto"/>
        <w:ind w:firstLine="720"/>
        <w:jc w:val="both"/>
        <w:rPr>
          <w:rFonts w:ascii="Times New Roman" w:hAnsi="Times New Roman" w:cs="Times New Roman"/>
          <w:color w:val="000000"/>
          <w:lang w:val="sr-Cyrl-RS"/>
        </w:rPr>
      </w:pPr>
    </w:p>
    <w:p w:rsidR="00046935" w:rsidRDefault="00046935" w:rsidP="00046935">
      <w:pPr>
        <w:tabs>
          <w:tab w:val="left" w:pos="1080"/>
        </w:tabs>
        <w:spacing w:after="0" w:line="240" w:lineRule="auto"/>
        <w:rPr>
          <w:rFonts w:ascii="Times New Roman" w:hAnsi="Times New Roman" w:cs="Times New Roman"/>
          <w:lang w:val="sr-Cyrl-CS"/>
        </w:rPr>
      </w:pPr>
    </w:p>
    <w:p w:rsidR="00046935" w:rsidRDefault="00046935" w:rsidP="00046935">
      <w:pPr>
        <w:tabs>
          <w:tab w:val="left" w:pos="1080"/>
        </w:tabs>
        <w:spacing w:after="0" w:line="240" w:lineRule="auto"/>
        <w:rPr>
          <w:rFonts w:ascii="Times New Roman" w:hAnsi="Times New Roman" w:cs="Times New Roman"/>
          <w:lang w:val="sr-Cyrl-CS"/>
        </w:rPr>
      </w:pPr>
      <w:r w:rsidRPr="00046935">
        <w:rPr>
          <w:rFonts w:ascii="Times New Roman" w:hAnsi="Times New Roman" w:cs="Times New Roman"/>
          <w:lang w:val="sr-Cyrl-CS"/>
        </w:rPr>
        <w:t>05 Број: 110-</w:t>
      </w:r>
      <w:r>
        <w:rPr>
          <w:rFonts w:ascii="Times New Roman" w:hAnsi="Times New Roman" w:cs="Times New Roman"/>
        </w:rPr>
        <w:t>1260</w:t>
      </w:r>
      <w:r w:rsidRPr="00046935">
        <w:rPr>
          <w:rFonts w:ascii="Times New Roman" w:hAnsi="Times New Roman" w:cs="Times New Roman"/>
          <w:lang w:val="sr-Cyrl-CS"/>
        </w:rPr>
        <w:t>/2019</w:t>
      </w:r>
    </w:p>
    <w:p w:rsidR="00046935" w:rsidRDefault="00046935" w:rsidP="00046935">
      <w:pPr>
        <w:tabs>
          <w:tab w:val="left" w:pos="1080"/>
        </w:tabs>
        <w:spacing w:after="0" w:line="240" w:lineRule="auto"/>
        <w:rPr>
          <w:rFonts w:ascii="Times New Roman" w:hAnsi="Times New Roman" w:cs="Times New Roman"/>
          <w:lang w:val="sr-Cyrl-CS"/>
        </w:rPr>
      </w:pPr>
      <w:r w:rsidRPr="00046935">
        <w:rPr>
          <w:rFonts w:ascii="Times New Roman" w:hAnsi="Times New Roman" w:cs="Times New Roman"/>
          <w:lang w:val="sr-Cyrl-CS"/>
        </w:rPr>
        <w:t>У Београду, 14. фебруара 2019. године</w:t>
      </w:r>
    </w:p>
    <w:p w:rsidR="00046935" w:rsidRPr="00046935" w:rsidRDefault="00046935" w:rsidP="00046935">
      <w:pPr>
        <w:tabs>
          <w:tab w:val="left" w:pos="1080"/>
        </w:tabs>
        <w:spacing w:after="0" w:line="240" w:lineRule="auto"/>
        <w:rPr>
          <w:rFonts w:ascii="Times New Roman" w:hAnsi="Times New Roman" w:cs="Times New Roman"/>
          <w:lang w:val="sr-Cyrl-CS"/>
        </w:rPr>
      </w:pPr>
    </w:p>
    <w:p w:rsidR="00046935" w:rsidRPr="00B32083" w:rsidRDefault="00046935" w:rsidP="00B32083">
      <w:pPr>
        <w:jc w:val="center"/>
        <w:outlineLvl w:val="0"/>
        <w:rPr>
          <w:rFonts w:ascii="Times New Roman" w:hAnsi="Times New Roman" w:cs="Times New Roman"/>
          <w:lang w:val="sr-Cyrl-CS"/>
        </w:rPr>
      </w:pPr>
      <w:r w:rsidRPr="00046935">
        <w:rPr>
          <w:rFonts w:ascii="Times New Roman" w:hAnsi="Times New Roman" w:cs="Times New Roman"/>
          <w:lang w:val="sr-Cyrl-CS"/>
        </w:rPr>
        <w:t>В Л А Д А</w:t>
      </w:r>
    </w:p>
    <w:p w:rsidR="00203D0F" w:rsidRPr="00C65B7A" w:rsidRDefault="00203D0F">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203D0F" w:rsidRPr="00C65B7A">
        <w:tc>
          <w:tcPr>
            <w:tcW w:w="4360" w:type="dxa"/>
          </w:tcPr>
          <w:p w:rsidR="00203D0F" w:rsidRPr="00203D0F" w:rsidRDefault="00203D0F">
            <w:pPr>
              <w:jc w:val="center"/>
              <w:rPr>
                <w:rFonts w:ascii="Times New Roman" w:hAnsi="Times New Roman" w:cs="Times New Roman"/>
                <w:sz w:val="24"/>
                <w:szCs w:val="24"/>
                <w:lang w:val="ru-RU"/>
              </w:rPr>
            </w:pPr>
          </w:p>
        </w:tc>
        <w:tc>
          <w:tcPr>
            <w:tcW w:w="4360" w:type="dxa"/>
          </w:tcPr>
          <w:p w:rsidR="00203D0F" w:rsidRPr="00203D0F" w:rsidRDefault="00203D0F">
            <w:pPr>
              <w:jc w:val="center"/>
              <w:rPr>
                <w:rFonts w:ascii="Times New Roman" w:hAnsi="Times New Roman" w:cs="Times New Roman"/>
                <w:sz w:val="12"/>
                <w:szCs w:val="24"/>
                <w:lang w:val="ru-RU"/>
              </w:rPr>
            </w:pPr>
          </w:p>
          <w:p w:rsidR="00203D0F" w:rsidRDefault="00203D0F">
            <w:pPr>
              <w:jc w:val="center"/>
              <w:rPr>
                <w:rFonts w:ascii="Times New Roman" w:hAnsi="Times New Roman" w:cs="Times New Roman"/>
                <w:sz w:val="24"/>
                <w:szCs w:val="24"/>
                <w:lang w:val="ru-RU"/>
              </w:rPr>
            </w:pPr>
            <w:r w:rsidRPr="00203D0F">
              <w:rPr>
                <w:rFonts w:ascii="Times New Roman" w:hAnsi="Times New Roman" w:cs="Times New Roman"/>
                <w:sz w:val="24"/>
                <w:szCs w:val="24"/>
                <w:lang w:val="ru-RU"/>
              </w:rPr>
              <w:t>ПРЕДСЕДНИК</w:t>
            </w:r>
          </w:p>
          <w:p w:rsidR="00203D0F" w:rsidRPr="00203D0F" w:rsidRDefault="00203D0F">
            <w:pPr>
              <w:jc w:val="center"/>
              <w:rPr>
                <w:rFonts w:ascii="Times New Roman" w:hAnsi="Times New Roman" w:cs="Times New Roman"/>
                <w:sz w:val="12"/>
                <w:szCs w:val="24"/>
                <w:lang w:val="ru-RU"/>
              </w:rPr>
            </w:pPr>
          </w:p>
          <w:p w:rsidR="00203D0F" w:rsidRPr="00203D0F" w:rsidRDefault="00AD158C">
            <w:pPr>
              <w:pStyle w:val="Footer"/>
              <w:jc w:val="center"/>
              <w:rPr>
                <w:rFonts w:ascii="Times New Roman" w:hAnsi="Times New Roman" w:cs="Times New Roman"/>
                <w:sz w:val="24"/>
                <w:szCs w:val="24"/>
                <w:lang w:val="ru-RU"/>
              </w:rPr>
            </w:pPr>
            <w:r>
              <w:rPr>
                <w:rFonts w:ascii="Times New Roman" w:hAnsi="Times New Roman" w:cs="Times New Roman"/>
                <w:sz w:val="24"/>
                <w:szCs w:val="24"/>
                <w:lang w:val="ru-RU"/>
              </w:rPr>
              <w:t>Ана Брнабић</w:t>
            </w:r>
          </w:p>
        </w:tc>
      </w:tr>
    </w:tbl>
    <w:p w:rsidR="00203D0F" w:rsidRPr="00C65B7A" w:rsidRDefault="00203D0F">
      <w:pPr>
        <w:rPr>
          <w:sz w:val="24"/>
          <w:szCs w:val="24"/>
          <w:lang w:val="sr-Latn-CS"/>
        </w:rPr>
      </w:pPr>
    </w:p>
    <w:p w:rsidR="00046935" w:rsidRPr="00203D0F" w:rsidRDefault="00046935" w:rsidP="00046935">
      <w:pPr>
        <w:tabs>
          <w:tab w:val="left" w:pos="1080"/>
        </w:tabs>
        <w:rPr>
          <w:color w:val="000000"/>
          <w:lang w:val="sr-Cyrl-RS"/>
        </w:rPr>
      </w:pPr>
    </w:p>
    <w:p w:rsidR="007D6101" w:rsidRPr="007D6101" w:rsidRDefault="007D6101" w:rsidP="007D6101">
      <w:pPr>
        <w:spacing w:after="150"/>
        <w:ind w:firstLine="720"/>
        <w:jc w:val="both"/>
        <w:rPr>
          <w:rFonts w:ascii="Times New Roman" w:hAnsi="Times New Roman" w:cs="Times New Roman"/>
          <w:color w:val="000000"/>
          <w:lang w:val="sr-Cyrl-RS"/>
        </w:rPr>
      </w:pPr>
    </w:p>
    <w:p w:rsidR="00250EA9" w:rsidRDefault="00250EA9" w:rsidP="00250EA9">
      <w:pPr>
        <w:spacing w:after="150"/>
        <w:ind w:firstLine="720"/>
        <w:jc w:val="right"/>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lastRenderedPageBreak/>
        <w:t>ПРИЛОГ</w:t>
      </w:r>
    </w:p>
    <w:p w:rsidR="00ED43CF" w:rsidRPr="00250EA9" w:rsidRDefault="00250EA9" w:rsidP="00250EA9">
      <w:pPr>
        <w:spacing w:after="150"/>
        <w:ind w:firstLine="720"/>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КОРЕКТИВНИ ФАКТОРИ</w:t>
      </w:r>
    </w:p>
    <w:p w:rsidR="00ED43CF" w:rsidRPr="00ED43CF" w:rsidRDefault="00ED43CF" w:rsidP="00ED43CF">
      <w:pPr>
        <w:widowControl w:val="0"/>
        <w:suppressAutoHyphens/>
        <w:autoSpaceDN w:val="0"/>
        <w:spacing w:after="0" w:line="240" w:lineRule="auto"/>
        <w:jc w:val="center"/>
        <w:textAlignment w:val="baseline"/>
        <w:rPr>
          <w:rFonts w:ascii="Times New Roman" w:eastAsia="SimSun" w:hAnsi="Times New Roman" w:cs="Times New Roman"/>
          <w:b/>
          <w:kern w:val="3"/>
          <w:lang w:val="sr-Cyrl-RS" w:eastAsia="zh-CN" w:bidi="hi-IN"/>
        </w:rPr>
      </w:pPr>
    </w:p>
    <w:p w:rsidR="00356C39" w:rsidRPr="00356C39" w:rsidRDefault="00356C39" w:rsidP="00356C39">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p w:rsidR="00356C39" w:rsidRDefault="00356C3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КОРЕКТИВНИ СТАРОСНИ ФАКТОР ЗА РЕГИСТРАЦИЈУ ЗА ОБЛАСТ РАДА ИЗАБРАНОГ ЛЕКАРА У ОПШТОЈ МЕДИЦИНИ И ПЕДИЈАТРИЈИ</w:t>
      </w:r>
    </w:p>
    <w:p w:rsidR="00356C39" w:rsidRDefault="00356C3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356C39" w:rsidRPr="00356C39" w:rsidRDefault="00356C3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tbl>
      <w:tblPr>
        <w:tblStyle w:val="TableGrid3"/>
        <w:tblW w:w="0" w:type="auto"/>
        <w:tblInd w:w="1080" w:type="dxa"/>
        <w:tblLook w:val="04A0" w:firstRow="1" w:lastRow="0" w:firstColumn="1" w:lastColumn="0" w:noHBand="0" w:noVBand="1"/>
      </w:tblPr>
      <w:tblGrid>
        <w:gridCol w:w="1580"/>
        <w:gridCol w:w="1702"/>
        <w:gridCol w:w="1885"/>
        <w:gridCol w:w="2366"/>
      </w:tblGrid>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Група</w:t>
            </w:r>
          </w:p>
        </w:tc>
        <w:tc>
          <w:tcPr>
            <w:tcW w:w="1702"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Године (од )</w:t>
            </w:r>
          </w:p>
        </w:tc>
        <w:tc>
          <w:tcPr>
            <w:tcW w:w="1885"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Године (до)</w:t>
            </w:r>
          </w:p>
        </w:tc>
        <w:tc>
          <w:tcPr>
            <w:tcW w:w="2366"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Корективни фактор</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w:t>
            </w:r>
          </w:p>
        </w:tc>
        <w:tc>
          <w:tcPr>
            <w:tcW w:w="1702" w:type="dxa"/>
            <w:tcBorders>
              <w:top w:val="single" w:sz="4" w:space="0" w:color="auto"/>
              <w:left w:val="single" w:sz="4" w:space="0" w:color="auto"/>
              <w:bottom w:val="single" w:sz="4" w:space="0" w:color="auto"/>
              <w:right w:val="single" w:sz="4" w:space="0" w:color="auto"/>
            </w:tcBorders>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p>
        </w:tc>
        <w:tc>
          <w:tcPr>
            <w:tcW w:w="1885"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&lt;1</w:t>
            </w:r>
          </w:p>
        </w:tc>
        <w:tc>
          <w:tcPr>
            <w:tcW w:w="2366"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3.0</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2</w:t>
            </w:r>
          </w:p>
        </w:tc>
        <w:tc>
          <w:tcPr>
            <w:tcW w:w="1702"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w:t>
            </w:r>
          </w:p>
        </w:tc>
        <w:tc>
          <w:tcPr>
            <w:tcW w:w="1885"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&lt;7</w:t>
            </w:r>
          </w:p>
        </w:tc>
        <w:tc>
          <w:tcPr>
            <w:tcW w:w="2366"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2.2</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3</w:t>
            </w:r>
          </w:p>
        </w:tc>
        <w:tc>
          <w:tcPr>
            <w:tcW w:w="1702"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≥7</w:t>
            </w:r>
          </w:p>
        </w:tc>
        <w:tc>
          <w:tcPr>
            <w:tcW w:w="1885"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&lt;19</w:t>
            </w:r>
          </w:p>
        </w:tc>
        <w:tc>
          <w:tcPr>
            <w:tcW w:w="2366"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1.2</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4</w:t>
            </w:r>
          </w:p>
        </w:tc>
        <w:tc>
          <w:tcPr>
            <w:tcW w:w="1702"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≥19</w:t>
            </w:r>
          </w:p>
        </w:tc>
        <w:tc>
          <w:tcPr>
            <w:tcW w:w="1885"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&lt;35</w:t>
            </w:r>
          </w:p>
        </w:tc>
        <w:tc>
          <w:tcPr>
            <w:tcW w:w="2366"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1.0</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5</w:t>
            </w:r>
          </w:p>
        </w:tc>
        <w:tc>
          <w:tcPr>
            <w:tcW w:w="1702"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≥35</w:t>
            </w:r>
          </w:p>
        </w:tc>
        <w:tc>
          <w:tcPr>
            <w:tcW w:w="1885"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&lt;50</w:t>
            </w:r>
          </w:p>
        </w:tc>
        <w:tc>
          <w:tcPr>
            <w:tcW w:w="2366"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1.4</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6</w:t>
            </w:r>
          </w:p>
        </w:tc>
        <w:tc>
          <w:tcPr>
            <w:tcW w:w="1702"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≥50</w:t>
            </w:r>
          </w:p>
        </w:tc>
        <w:tc>
          <w:tcPr>
            <w:tcW w:w="1885"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&lt;65</w:t>
            </w:r>
          </w:p>
        </w:tc>
        <w:tc>
          <w:tcPr>
            <w:tcW w:w="2366"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1.8</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7</w:t>
            </w:r>
          </w:p>
        </w:tc>
        <w:tc>
          <w:tcPr>
            <w:tcW w:w="1702"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≥65</w:t>
            </w:r>
          </w:p>
        </w:tc>
        <w:tc>
          <w:tcPr>
            <w:tcW w:w="1885"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&lt;75</w:t>
            </w:r>
          </w:p>
        </w:tc>
        <w:tc>
          <w:tcPr>
            <w:tcW w:w="2366"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2.2</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8</w:t>
            </w:r>
          </w:p>
        </w:tc>
        <w:tc>
          <w:tcPr>
            <w:tcW w:w="1702"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≥75</w:t>
            </w:r>
          </w:p>
        </w:tc>
        <w:tc>
          <w:tcPr>
            <w:tcW w:w="1885" w:type="dxa"/>
            <w:tcBorders>
              <w:top w:val="single" w:sz="4" w:space="0" w:color="auto"/>
              <w:left w:val="single" w:sz="4" w:space="0" w:color="auto"/>
              <w:bottom w:val="single" w:sz="4" w:space="0" w:color="auto"/>
              <w:right w:val="single" w:sz="4" w:space="0" w:color="auto"/>
            </w:tcBorders>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p>
        </w:tc>
        <w:tc>
          <w:tcPr>
            <w:tcW w:w="2366"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3.0</w:t>
            </w:r>
          </w:p>
        </w:tc>
      </w:tr>
    </w:tbl>
    <w:p w:rsidR="00356C39" w:rsidRPr="00356C39" w:rsidRDefault="00356C39" w:rsidP="00356C39">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p w:rsidR="00356C39" w:rsidRPr="00356C39" w:rsidRDefault="00356C39" w:rsidP="00356C39">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p w:rsidR="00356C39" w:rsidRDefault="00356C3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КОРЕКТИВНИ СТАРОСНИ ФАКТОР ЗА РЕГИСТРАЦИЈУ ЗА ОБЛАСТ РАДА ИЗАБРАНОГ ЛЕКАРА У ГИНЕКОЛОГИЈИ</w:t>
      </w:r>
    </w:p>
    <w:p w:rsidR="00356C39" w:rsidRDefault="00356C3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356C39" w:rsidRPr="00356C39" w:rsidRDefault="00356C3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tbl>
      <w:tblPr>
        <w:tblStyle w:val="TableGrid3"/>
        <w:tblW w:w="0" w:type="auto"/>
        <w:tblInd w:w="1080" w:type="dxa"/>
        <w:tblLook w:val="04A0" w:firstRow="1" w:lastRow="0" w:firstColumn="1" w:lastColumn="0" w:noHBand="0" w:noVBand="1"/>
      </w:tblPr>
      <w:tblGrid>
        <w:gridCol w:w="1580"/>
        <w:gridCol w:w="1701"/>
        <w:gridCol w:w="1843"/>
        <w:gridCol w:w="2409"/>
      </w:tblGrid>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Група</w:t>
            </w:r>
          </w:p>
        </w:tc>
        <w:tc>
          <w:tcPr>
            <w:tcW w:w="1701"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Године (од )</w:t>
            </w:r>
          </w:p>
        </w:tc>
        <w:tc>
          <w:tcPr>
            <w:tcW w:w="1843"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Године (до)</w:t>
            </w:r>
          </w:p>
        </w:tc>
        <w:tc>
          <w:tcPr>
            <w:tcW w:w="2409"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Корективни фактор</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w:t>
            </w:r>
          </w:p>
        </w:tc>
        <w:tc>
          <w:tcPr>
            <w:tcW w:w="1701"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≥15</w:t>
            </w:r>
          </w:p>
        </w:tc>
        <w:tc>
          <w:tcPr>
            <w:tcW w:w="1843"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&lt;19</w:t>
            </w:r>
          </w:p>
        </w:tc>
        <w:tc>
          <w:tcPr>
            <w:tcW w:w="2409"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1.5</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2</w:t>
            </w:r>
          </w:p>
        </w:tc>
        <w:tc>
          <w:tcPr>
            <w:tcW w:w="1701"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≥19</w:t>
            </w:r>
          </w:p>
        </w:tc>
        <w:tc>
          <w:tcPr>
            <w:tcW w:w="1843"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&lt;24</w:t>
            </w:r>
          </w:p>
        </w:tc>
        <w:tc>
          <w:tcPr>
            <w:tcW w:w="2409"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1.0</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3</w:t>
            </w:r>
          </w:p>
        </w:tc>
        <w:tc>
          <w:tcPr>
            <w:tcW w:w="1701"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≥24</w:t>
            </w:r>
          </w:p>
        </w:tc>
        <w:tc>
          <w:tcPr>
            <w:tcW w:w="1843"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&lt;65</w:t>
            </w:r>
          </w:p>
        </w:tc>
        <w:tc>
          <w:tcPr>
            <w:tcW w:w="2409"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1.3</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4</w:t>
            </w:r>
          </w:p>
        </w:tc>
        <w:tc>
          <w:tcPr>
            <w:tcW w:w="1701"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≥65</w:t>
            </w:r>
          </w:p>
        </w:tc>
        <w:tc>
          <w:tcPr>
            <w:tcW w:w="1843" w:type="dxa"/>
            <w:tcBorders>
              <w:top w:val="single" w:sz="4" w:space="0" w:color="auto"/>
              <w:left w:val="single" w:sz="4" w:space="0" w:color="auto"/>
              <w:bottom w:val="single" w:sz="4" w:space="0" w:color="auto"/>
              <w:right w:val="single" w:sz="4" w:space="0" w:color="auto"/>
            </w:tcBorders>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p>
        </w:tc>
        <w:tc>
          <w:tcPr>
            <w:tcW w:w="2409"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1.0</w:t>
            </w:r>
          </w:p>
        </w:tc>
      </w:tr>
    </w:tbl>
    <w:p w:rsidR="00356C39" w:rsidRPr="00356C39" w:rsidRDefault="00356C39" w:rsidP="00356C39">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p w:rsidR="00356C39" w:rsidRDefault="00356C3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 xml:space="preserve">КОРЕКТИВНИ СТАРОСНИ ФАКТОР ЗА РЕГИСТРАЦИЈУ ЗА ОБЛАСТ РАДА ИЗАБРАНОГ ЛЕКАРА У ДЕЧИЈОЈ И ПРЕВЕНТИВНОЈ СТОМАТОЛОГИЈИ </w:t>
      </w:r>
    </w:p>
    <w:p w:rsidR="00356C39" w:rsidRDefault="00356C3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356C39" w:rsidRPr="00356C39" w:rsidRDefault="00356C3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tbl>
      <w:tblPr>
        <w:tblStyle w:val="TableGrid3"/>
        <w:tblW w:w="0" w:type="auto"/>
        <w:tblInd w:w="1080" w:type="dxa"/>
        <w:tblLook w:val="04A0" w:firstRow="1" w:lastRow="0" w:firstColumn="1" w:lastColumn="0" w:noHBand="0" w:noVBand="1"/>
      </w:tblPr>
      <w:tblGrid>
        <w:gridCol w:w="1580"/>
        <w:gridCol w:w="1701"/>
        <w:gridCol w:w="1843"/>
        <w:gridCol w:w="2409"/>
      </w:tblGrid>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Група</w:t>
            </w:r>
          </w:p>
        </w:tc>
        <w:tc>
          <w:tcPr>
            <w:tcW w:w="1701"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Године (од )</w:t>
            </w:r>
          </w:p>
        </w:tc>
        <w:tc>
          <w:tcPr>
            <w:tcW w:w="1843"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Године (до)</w:t>
            </w:r>
          </w:p>
        </w:tc>
        <w:tc>
          <w:tcPr>
            <w:tcW w:w="2409"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Корективни фактор</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w:t>
            </w:r>
          </w:p>
        </w:tc>
        <w:tc>
          <w:tcPr>
            <w:tcW w:w="1701"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0</w:t>
            </w:r>
          </w:p>
        </w:tc>
        <w:tc>
          <w:tcPr>
            <w:tcW w:w="1843"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&lt;4</w:t>
            </w:r>
          </w:p>
        </w:tc>
        <w:tc>
          <w:tcPr>
            <w:tcW w:w="2409"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1.2</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2</w:t>
            </w:r>
          </w:p>
        </w:tc>
        <w:tc>
          <w:tcPr>
            <w:tcW w:w="1701"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≥4</w:t>
            </w:r>
          </w:p>
        </w:tc>
        <w:tc>
          <w:tcPr>
            <w:tcW w:w="1843"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&lt;7</w:t>
            </w:r>
          </w:p>
        </w:tc>
        <w:tc>
          <w:tcPr>
            <w:tcW w:w="2409"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1.6</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3</w:t>
            </w:r>
          </w:p>
        </w:tc>
        <w:tc>
          <w:tcPr>
            <w:tcW w:w="1701"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≥7</w:t>
            </w:r>
          </w:p>
        </w:tc>
        <w:tc>
          <w:tcPr>
            <w:tcW w:w="1843"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&lt;11</w:t>
            </w:r>
          </w:p>
        </w:tc>
        <w:tc>
          <w:tcPr>
            <w:tcW w:w="2409"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1.4</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4</w:t>
            </w:r>
          </w:p>
        </w:tc>
        <w:tc>
          <w:tcPr>
            <w:tcW w:w="1701"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≥11</w:t>
            </w:r>
          </w:p>
        </w:tc>
        <w:tc>
          <w:tcPr>
            <w:tcW w:w="1843"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&lt;16</w:t>
            </w:r>
          </w:p>
        </w:tc>
        <w:tc>
          <w:tcPr>
            <w:tcW w:w="2409"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1.2</w:t>
            </w:r>
          </w:p>
        </w:tc>
      </w:tr>
      <w:tr w:rsidR="00356C39" w:rsidRPr="00356C39" w:rsidTr="0085177B">
        <w:tc>
          <w:tcPr>
            <w:tcW w:w="1580"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5</w:t>
            </w:r>
          </w:p>
        </w:tc>
        <w:tc>
          <w:tcPr>
            <w:tcW w:w="1701"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≥16</w:t>
            </w:r>
          </w:p>
        </w:tc>
        <w:tc>
          <w:tcPr>
            <w:tcW w:w="1843"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val="sr-Cyrl-RS" w:eastAsia="zh-CN" w:bidi="hi-IN"/>
              </w:rPr>
            </w:pPr>
          </w:p>
        </w:tc>
        <w:tc>
          <w:tcPr>
            <w:tcW w:w="2409" w:type="dxa"/>
            <w:tcBorders>
              <w:top w:val="single" w:sz="4" w:space="0" w:color="auto"/>
              <w:left w:val="single" w:sz="4" w:space="0" w:color="auto"/>
              <w:bottom w:val="single" w:sz="4" w:space="0" w:color="auto"/>
              <w:right w:val="single" w:sz="4" w:space="0" w:color="auto"/>
            </w:tcBorders>
            <w:hideMark/>
          </w:tcPr>
          <w:p w:rsidR="00356C39" w:rsidRPr="00356C39" w:rsidRDefault="00356C39" w:rsidP="00356C39">
            <w:pPr>
              <w:suppressAutoHyphens/>
              <w:autoSpaceDN w:val="0"/>
              <w:ind w:left="720"/>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1.0</w:t>
            </w:r>
          </w:p>
        </w:tc>
      </w:tr>
    </w:tbl>
    <w:p w:rsidR="00356C39" w:rsidRPr="00356C39" w:rsidRDefault="00356C39" w:rsidP="00356C39">
      <w:pPr>
        <w:widowControl w:val="0"/>
        <w:suppressAutoHyphens/>
        <w:autoSpaceDN w:val="0"/>
        <w:spacing w:after="0" w:line="240" w:lineRule="auto"/>
        <w:textAlignment w:val="baseline"/>
        <w:rPr>
          <w:rFonts w:ascii="Times New Roman" w:eastAsia="SimSun" w:hAnsi="Times New Roman" w:cs="Times New Roman"/>
          <w:kern w:val="3"/>
          <w:sz w:val="24"/>
          <w:szCs w:val="24"/>
          <w:lang w:val="sr-Cyrl-RS" w:eastAsia="zh-CN" w:bidi="hi-IN"/>
        </w:rPr>
      </w:pPr>
    </w:p>
    <w:p w:rsidR="00250EA9" w:rsidRDefault="00250EA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250EA9" w:rsidRDefault="00250EA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250EA9" w:rsidRDefault="00250EA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250EA9" w:rsidRDefault="00250EA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356C39" w:rsidRDefault="00356C3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250EA9" w:rsidRDefault="00250EA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250EA9" w:rsidRDefault="00250EA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250EA9" w:rsidRDefault="00250EA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356C39" w:rsidRPr="00356C39" w:rsidRDefault="00356C39" w:rsidP="00987EFE">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lastRenderedPageBreak/>
        <w:t>КОРЕКТИВНИ ФАКТОР ЗА ГУСТИНУ НАСЕЉЕНОСТИ ЗА РЕГИСТРАЦИЈУ ЗА ОБЛАСТ РАДА ИЗАБРАНОГ ЛЕКАРА У ОПШТОЈ МЕДИЦИНИ</w:t>
      </w:r>
    </w:p>
    <w:tbl>
      <w:tblPr>
        <w:tblStyle w:val="TableGrid4"/>
        <w:tblW w:w="0" w:type="auto"/>
        <w:tblLook w:val="04A0" w:firstRow="1" w:lastRow="0" w:firstColumn="1" w:lastColumn="0" w:noHBand="0" w:noVBand="1"/>
      </w:tblPr>
      <w:tblGrid>
        <w:gridCol w:w="975"/>
        <w:gridCol w:w="2724"/>
        <w:gridCol w:w="4028"/>
        <w:gridCol w:w="1516"/>
      </w:tblGrid>
      <w:tr w:rsidR="00356C39" w:rsidRPr="00356C39" w:rsidTr="00356C39">
        <w:trPr>
          <w:trHeight w:val="1269"/>
        </w:trPr>
        <w:tc>
          <w:tcPr>
            <w:tcW w:w="988"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Група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У општинама са густином насељености</w:t>
            </w:r>
          </w:p>
        </w:tc>
        <w:tc>
          <w:tcPr>
            <w:tcW w:w="4252" w:type="dxa"/>
            <w:tcBorders>
              <w:top w:val="single" w:sz="4" w:space="0" w:color="auto"/>
              <w:left w:val="single" w:sz="4" w:space="0" w:color="auto"/>
              <w:bottom w:val="single" w:sz="4" w:space="0" w:color="auto"/>
              <w:right w:val="single" w:sz="4" w:space="0" w:color="auto"/>
            </w:tcBorders>
            <w:vAlign w:val="center"/>
            <w:hideMark/>
          </w:tcPr>
          <w:p w:rsidR="00A87EC5" w:rsidRDefault="00356C39" w:rsidP="00356C39">
            <w:pPr>
              <w:suppressAutoHyphens/>
              <w:jc w:val="center"/>
              <w:rPr>
                <w:rFonts w:ascii="Times New Roman" w:hAnsi="Times New Roman" w:cs="Times New Roman"/>
                <w:sz w:val="24"/>
                <w:szCs w:val="24"/>
                <w:lang w:val="sr-Cyrl-RS"/>
              </w:rPr>
            </w:pPr>
            <w:r w:rsidRPr="00356C39">
              <w:rPr>
                <w:rFonts w:ascii="Times New Roman" w:hAnsi="Times New Roman" w:cs="Times New Roman"/>
                <w:sz w:val="24"/>
                <w:szCs w:val="24"/>
              </w:rPr>
              <w:t>Кадровски Норматив</w:t>
            </w:r>
          </w:p>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(Правилник о ближим условима за обављање</w:t>
            </w:r>
            <w:r>
              <w:rPr>
                <w:rFonts w:ascii="Times New Roman" w:hAnsi="Times New Roman" w:cs="Times New Roman"/>
                <w:sz w:val="24"/>
                <w:szCs w:val="24"/>
                <w:lang w:val="sr-Cyrl-RS"/>
              </w:rPr>
              <w:t xml:space="preserve"> </w:t>
            </w:r>
            <w:r w:rsidRPr="00356C39">
              <w:rPr>
                <w:rFonts w:ascii="Times New Roman" w:hAnsi="Times New Roman" w:cs="Times New Roman"/>
                <w:sz w:val="24"/>
                <w:szCs w:val="24"/>
              </w:rPr>
              <w:t>здравствене делатности у здравственим установама</w:t>
            </w:r>
            <w:r>
              <w:rPr>
                <w:rFonts w:ascii="Times New Roman" w:hAnsi="Times New Roman" w:cs="Times New Roman"/>
                <w:sz w:val="24"/>
                <w:szCs w:val="24"/>
                <w:lang w:val="sr-Cyrl-RS"/>
              </w:rPr>
              <w:t xml:space="preserve"> </w:t>
            </w:r>
            <w:r w:rsidRPr="00356C39">
              <w:rPr>
                <w:rFonts w:ascii="Times New Roman" w:hAnsi="Times New Roman" w:cs="Times New Roman"/>
                <w:sz w:val="24"/>
                <w:szCs w:val="24"/>
              </w:rPr>
              <w:t>и другим облицима здравствене службе)</w:t>
            </w:r>
          </w:p>
        </w:tc>
        <w:tc>
          <w:tcPr>
            <w:tcW w:w="1523"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Корективни фактор</w:t>
            </w:r>
          </w:p>
        </w:tc>
      </w:tr>
      <w:tr w:rsidR="00356C39" w:rsidRPr="00356C39" w:rsidTr="00A87EC5">
        <w:trPr>
          <w:trHeight w:val="624"/>
        </w:trPr>
        <w:tc>
          <w:tcPr>
            <w:tcW w:w="988"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до 25 становника на</w:t>
            </w:r>
            <w:r>
              <w:rPr>
                <w:rFonts w:ascii="Times New Roman" w:hAnsi="Times New Roman" w:cs="Times New Roman"/>
                <w:sz w:val="24"/>
                <w:szCs w:val="24"/>
                <w:lang w:val="sr-Cyrl-RS"/>
              </w:rPr>
              <w:t xml:space="preserve"> </w:t>
            </w:r>
            <w:r w:rsidRPr="00356C39">
              <w:rPr>
                <w:rFonts w:ascii="Times New Roman" w:hAnsi="Times New Roman" w:cs="Times New Roman"/>
                <w:sz w:val="24"/>
                <w:szCs w:val="24"/>
              </w:rPr>
              <w:t>квадратни километар</w:t>
            </w:r>
          </w:p>
        </w:tc>
        <w:tc>
          <w:tcPr>
            <w:tcW w:w="4252"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1200</w:t>
            </w:r>
          </w:p>
        </w:tc>
        <w:tc>
          <w:tcPr>
            <w:tcW w:w="1523"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1.33</w:t>
            </w:r>
          </w:p>
        </w:tc>
      </w:tr>
      <w:tr w:rsidR="00356C39" w:rsidRPr="00356C39" w:rsidTr="00A87EC5">
        <w:trPr>
          <w:trHeight w:val="624"/>
        </w:trPr>
        <w:tc>
          <w:tcPr>
            <w:tcW w:w="988"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rsidR="00250EA9" w:rsidRDefault="00356C39" w:rsidP="00356C39">
            <w:pPr>
              <w:suppressAutoHyphens/>
              <w:jc w:val="center"/>
              <w:rPr>
                <w:rFonts w:ascii="Times New Roman" w:hAnsi="Times New Roman" w:cs="Times New Roman"/>
                <w:sz w:val="24"/>
                <w:szCs w:val="24"/>
                <w:lang w:val="sr-Cyrl-RS"/>
              </w:rPr>
            </w:pPr>
            <w:r w:rsidRPr="00356C39">
              <w:rPr>
                <w:rFonts w:ascii="Times New Roman" w:hAnsi="Times New Roman" w:cs="Times New Roman"/>
                <w:sz w:val="24"/>
                <w:szCs w:val="24"/>
              </w:rPr>
              <w:t>од 26 до 40 становника на квадратни</w:t>
            </w:r>
            <w:r>
              <w:rPr>
                <w:rFonts w:ascii="Times New Roman" w:hAnsi="Times New Roman" w:cs="Times New Roman"/>
                <w:sz w:val="24"/>
                <w:szCs w:val="24"/>
                <w:lang w:val="sr-Cyrl-RS"/>
              </w:rPr>
              <w:t xml:space="preserve"> </w:t>
            </w:r>
          </w:p>
          <w:p w:rsid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километар</w:t>
            </w:r>
          </w:p>
          <w:p w:rsidR="00250EA9" w:rsidRPr="00356C39" w:rsidRDefault="00250EA9" w:rsidP="00356C39">
            <w:pPr>
              <w:suppressAutoHyphens/>
              <w:jc w:val="center"/>
              <w:rPr>
                <w:rFonts w:ascii="Times New Roman" w:hAnsi="Times New Roman" w:cs="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1400</w:t>
            </w:r>
          </w:p>
        </w:tc>
        <w:tc>
          <w:tcPr>
            <w:tcW w:w="1523"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1.14</w:t>
            </w:r>
          </w:p>
        </w:tc>
      </w:tr>
      <w:tr w:rsidR="00356C39" w:rsidRPr="00356C39" w:rsidTr="00A87EC5">
        <w:trPr>
          <w:trHeight w:val="624"/>
        </w:trPr>
        <w:tc>
          <w:tcPr>
            <w:tcW w:w="988"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преко 40 становника на квадратни километар</w:t>
            </w:r>
          </w:p>
        </w:tc>
        <w:tc>
          <w:tcPr>
            <w:tcW w:w="4252"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1600</w:t>
            </w:r>
          </w:p>
        </w:tc>
        <w:tc>
          <w:tcPr>
            <w:tcW w:w="1523"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suppressAutoHyphens/>
              <w:jc w:val="center"/>
              <w:rPr>
                <w:rFonts w:ascii="Times New Roman" w:hAnsi="Times New Roman" w:cs="Times New Roman"/>
                <w:sz w:val="24"/>
                <w:szCs w:val="24"/>
              </w:rPr>
            </w:pPr>
            <w:r w:rsidRPr="00356C39">
              <w:rPr>
                <w:rFonts w:ascii="Times New Roman" w:hAnsi="Times New Roman" w:cs="Times New Roman"/>
                <w:sz w:val="24"/>
                <w:szCs w:val="24"/>
              </w:rPr>
              <w:t>1.00</w:t>
            </w:r>
          </w:p>
        </w:tc>
      </w:tr>
    </w:tbl>
    <w:p w:rsidR="00356C39" w:rsidRDefault="00356C39" w:rsidP="00356C39">
      <w:pPr>
        <w:widowControl w:val="0"/>
        <w:suppressAutoHyphens/>
        <w:autoSpaceDN w:val="0"/>
        <w:spacing w:after="0" w:line="240" w:lineRule="auto"/>
        <w:textAlignment w:val="baseline"/>
        <w:rPr>
          <w:rFonts w:ascii="Times New Roman" w:eastAsia="SimSun" w:hAnsi="Times New Roman" w:cs="Times New Roman"/>
          <w:kern w:val="3"/>
          <w:sz w:val="24"/>
          <w:szCs w:val="24"/>
          <w:lang w:val="sr-Cyrl-RS" w:eastAsia="zh-CN" w:bidi="hi-IN"/>
        </w:rPr>
      </w:pPr>
    </w:p>
    <w:p w:rsidR="00356C39" w:rsidRPr="00356C39" w:rsidRDefault="00356C39" w:rsidP="00356C39">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p>
    <w:p w:rsidR="00356C39" w:rsidRPr="00356C39" w:rsidRDefault="00356C39" w:rsidP="00356C39">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 xml:space="preserve">КОРЕКТИВНИ ФАКТОР ЗА ЕФИКАСНОСТ ЗА СВЕ ОБЛАСТИ РАДА </w:t>
      </w:r>
    </w:p>
    <w:tbl>
      <w:tblPr>
        <w:tblStyle w:val="TableGrid3"/>
        <w:tblW w:w="0" w:type="auto"/>
        <w:tblLook w:val="04A0" w:firstRow="1" w:lastRow="0" w:firstColumn="1" w:lastColumn="0" w:noHBand="0" w:noVBand="1"/>
      </w:tblPr>
      <w:tblGrid>
        <w:gridCol w:w="1067"/>
        <w:gridCol w:w="2931"/>
        <w:gridCol w:w="1668"/>
        <w:gridCol w:w="1940"/>
        <w:gridCol w:w="1637"/>
      </w:tblGrid>
      <w:tr w:rsidR="00356C39" w:rsidRPr="00356C39" w:rsidTr="00356C39">
        <w:tc>
          <w:tcPr>
            <w:tcW w:w="1101"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Група</w:t>
            </w:r>
          </w:p>
        </w:tc>
        <w:tc>
          <w:tcPr>
            <w:tcW w:w="3118"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Степен развијености јединице локалне самоуправе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Корективни фактор 1</w:t>
            </w:r>
          </w:p>
        </w:tc>
        <w:tc>
          <w:tcPr>
            <w:tcW w:w="1985"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Корективни фактор 2</w:t>
            </w:r>
          </w:p>
        </w:tc>
        <w:tc>
          <w:tcPr>
            <w:tcW w:w="1671"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Укупни корективни фактор</w:t>
            </w:r>
          </w:p>
        </w:tc>
      </w:tr>
      <w:tr w:rsidR="00356C39" w:rsidRPr="00356C39" w:rsidTr="00A87EC5">
        <w:trPr>
          <w:trHeight w:val="794"/>
        </w:trPr>
        <w:tc>
          <w:tcPr>
            <w:tcW w:w="1101"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w:t>
            </w:r>
          </w:p>
        </w:tc>
        <w:tc>
          <w:tcPr>
            <w:tcW w:w="3118"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изнад републичког просека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1,05</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250EA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 xml:space="preserve">Јединица локалне самоуправе испод просека густине </w:t>
            </w:r>
          </w:p>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насељености од просека РС (90 становника по км²) се на свака два индексна поена мање од просека додаје 1% увећања коефицијента</w:t>
            </w:r>
          </w:p>
        </w:tc>
        <w:tc>
          <w:tcPr>
            <w:tcW w:w="1671" w:type="dxa"/>
            <w:vMerge w:val="restart"/>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К1 + К2</w:t>
            </w:r>
          </w:p>
        </w:tc>
      </w:tr>
      <w:tr w:rsidR="00356C39" w:rsidRPr="00356C39" w:rsidTr="00A87EC5">
        <w:trPr>
          <w:trHeight w:val="794"/>
        </w:trPr>
        <w:tc>
          <w:tcPr>
            <w:tcW w:w="1101"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2</w:t>
            </w:r>
          </w:p>
        </w:tc>
        <w:tc>
          <w:tcPr>
            <w:tcW w:w="3118"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од 80%  до 100%  републичког просека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p>
        </w:tc>
      </w:tr>
      <w:tr w:rsidR="00356C39" w:rsidRPr="00356C39" w:rsidTr="00A87EC5">
        <w:trPr>
          <w:trHeight w:val="794"/>
        </w:trPr>
        <w:tc>
          <w:tcPr>
            <w:tcW w:w="1101"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3</w:t>
            </w:r>
          </w:p>
        </w:tc>
        <w:tc>
          <w:tcPr>
            <w:tcW w:w="3118"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од 60%  до 80% републичког просека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p>
        </w:tc>
      </w:tr>
      <w:tr w:rsidR="00356C39" w:rsidRPr="00356C39" w:rsidTr="00A87EC5">
        <w:trPr>
          <w:trHeight w:val="794"/>
        </w:trPr>
        <w:tc>
          <w:tcPr>
            <w:tcW w:w="1101"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4</w:t>
            </w:r>
          </w:p>
        </w:tc>
        <w:tc>
          <w:tcPr>
            <w:tcW w:w="3118"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испод 60% републичког просека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p>
        </w:tc>
      </w:tr>
      <w:tr w:rsidR="00356C39" w:rsidRPr="00356C39" w:rsidTr="00A87EC5">
        <w:trPr>
          <w:trHeight w:val="794"/>
        </w:trPr>
        <w:tc>
          <w:tcPr>
            <w:tcW w:w="1101"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5</w:t>
            </w:r>
          </w:p>
        </w:tc>
        <w:tc>
          <w:tcPr>
            <w:tcW w:w="3118"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испод 50% републичког просека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jc w:val="center"/>
              <w:textAlignment w:val="baseline"/>
              <w:rPr>
                <w:rFonts w:ascii="Times New Roman" w:eastAsia="SimSun" w:hAnsi="Times New Roman" w:cs="Times New Roman"/>
                <w:kern w:val="3"/>
                <w:sz w:val="24"/>
                <w:szCs w:val="24"/>
                <w:lang w:eastAsia="zh-CN" w:bidi="hi-IN"/>
              </w:rPr>
            </w:pPr>
            <w:r w:rsidRPr="00356C39">
              <w:rPr>
                <w:rFonts w:ascii="Times New Roman" w:eastAsia="SimSun" w:hAnsi="Times New Roman" w:cs="Times New Roman"/>
                <w:kern w:val="3"/>
                <w:sz w:val="24"/>
                <w:szCs w:val="24"/>
                <w:lang w:eastAsia="zh-CN" w:bidi="hi-IN"/>
              </w:rPr>
              <w:t>1,25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6C39" w:rsidRPr="00356C39" w:rsidRDefault="00356C39" w:rsidP="00356C39">
            <w:pPr>
              <w:widowControl w:val="0"/>
              <w:suppressAutoHyphens/>
              <w:autoSpaceDN w:val="0"/>
              <w:textAlignment w:val="baseline"/>
              <w:rPr>
                <w:rFonts w:ascii="Times New Roman" w:eastAsia="SimSun" w:hAnsi="Times New Roman" w:cs="Times New Roman"/>
                <w:kern w:val="3"/>
                <w:sz w:val="24"/>
                <w:szCs w:val="24"/>
                <w:lang w:eastAsia="zh-CN" w:bidi="hi-IN"/>
              </w:rPr>
            </w:pPr>
          </w:p>
        </w:tc>
      </w:tr>
    </w:tbl>
    <w:p w:rsidR="00356C39" w:rsidRPr="00356C39" w:rsidRDefault="00356C39" w:rsidP="00A87EC5">
      <w:pPr>
        <w:widowControl w:val="0"/>
        <w:suppressAutoHyphens/>
        <w:autoSpaceDN w:val="0"/>
        <w:spacing w:after="0" w:line="240" w:lineRule="auto"/>
        <w:textAlignment w:val="baseline"/>
        <w:rPr>
          <w:rFonts w:ascii="Times New Roman" w:eastAsia="SimSun" w:hAnsi="Times New Roman" w:cs="Times New Roman"/>
          <w:kern w:val="3"/>
          <w:sz w:val="24"/>
          <w:szCs w:val="24"/>
          <w:lang w:val="sr-Cyrl-RS" w:eastAsia="zh-CN" w:bidi="hi-IN"/>
        </w:rPr>
      </w:pPr>
    </w:p>
    <w:p w:rsidR="00356C39" w:rsidRPr="00356C39" w:rsidRDefault="00356C39" w:rsidP="00A87EC5">
      <w:pPr>
        <w:widowControl w:val="0"/>
        <w:suppressAutoHyphens/>
        <w:autoSpaceDN w:val="0"/>
        <w:spacing w:after="0" w:line="240" w:lineRule="auto"/>
        <w:textAlignment w:val="baseline"/>
        <w:rPr>
          <w:rFonts w:ascii="Times New Roman" w:eastAsia="SimSun" w:hAnsi="Times New Roman" w:cs="Mangal"/>
          <w:b/>
          <w:kern w:val="3"/>
          <w:sz w:val="24"/>
          <w:szCs w:val="24"/>
          <w:lang w:val="sr-Cyrl-RS" w:eastAsia="zh-CN" w:bidi="hi-IN"/>
        </w:rPr>
      </w:pPr>
    </w:p>
    <w:p w:rsidR="00A87EC5" w:rsidRDefault="00A87EC5" w:rsidP="00356C39">
      <w:pPr>
        <w:spacing w:after="150"/>
        <w:jc w:val="both"/>
        <w:rPr>
          <w:rFonts w:ascii="Times New Roman" w:hAnsi="Times New Roman" w:cs="Times New Roman"/>
          <w:color w:val="000000"/>
          <w:sz w:val="24"/>
          <w:szCs w:val="24"/>
          <w:lang w:val="sr-Cyrl-RS"/>
        </w:rPr>
      </w:pPr>
      <w:bookmarkStart w:id="0" w:name="_GoBack"/>
      <w:bookmarkEnd w:id="0"/>
    </w:p>
    <w:sectPr w:rsidR="00A87EC5" w:rsidSect="00936EF4">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D23" w:rsidRDefault="00995D23" w:rsidP="00936EF4">
      <w:pPr>
        <w:spacing w:after="0" w:line="240" w:lineRule="auto"/>
      </w:pPr>
      <w:r>
        <w:separator/>
      </w:r>
    </w:p>
  </w:endnote>
  <w:endnote w:type="continuationSeparator" w:id="0">
    <w:p w:rsidR="00995D23" w:rsidRDefault="00995D23" w:rsidP="00936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F4" w:rsidRDefault="00936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F4" w:rsidRDefault="00936E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F4" w:rsidRDefault="00936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D23" w:rsidRDefault="00995D23" w:rsidP="00936EF4">
      <w:pPr>
        <w:spacing w:after="0" w:line="240" w:lineRule="auto"/>
      </w:pPr>
      <w:r>
        <w:separator/>
      </w:r>
    </w:p>
  </w:footnote>
  <w:footnote w:type="continuationSeparator" w:id="0">
    <w:p w:rsidR="00995D23" w:rsidRDefault="00995D23" w:rsidP="00936E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F4" w:rsidRDefault="00936EF4" w:rsidP="00CC6F8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936EF4" w:rsidRDefault="00936E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F4" w:rsidRPr="00D1661D" w:rsidRDefault="00936EF4" w:rsidP="00CC6F80">
    <w:pPr>
      <w:pStyle w:val="Header"/>
      <w:framePr w:wrap="around" w:vAnchor="text" w:hAnchor="margin" w:xAlign="center" w:y="1"/>
      <w:rPr>
        <w:rStyle w:val="PageNumber"/>
        <w:rFonts w:ascii="Times New Roman" w:hAnsi="Times New Roman" w:cs="Times New Roman"/>
      </w:rPr>
    </w:pPr>
    <w:r w:rsidRPr="00D1661D">
      <w:rPr>
        <w:rStyle w:val="PageNumber"/>
        <w:rFonts w:ascii="Times New Roman" w:hAnsi="Times New Roman" w:cs="Times New Roman"/>
      </w:rPr>
      <w:fldChar w:fldCharType="begin"/>
    </w:r>
    <w:r w:rsidRPr="00D1661D">
      <w:rPr>
        <w:rStyle w:val="PageNumber"/>
        <w:rFonts w:ascii="Times New Roman" w:hAnsi="Times New Roman" w:cs="Times New Roman"/>
      </w:rPr>
      <w:instrText xml:space="preserve"> PAGE </w:instrText>
    </w:r>
    <w:r w:rsidRPr="00D1661D">
      <w:rPr>
        <w:rStyle w:val="PageNumber"/>
        <w:rFonts w:ascii="Times New Roman" w:hAnsi="Times New Roman" w:cs="Times New Roman"/>
      </w:rPr>
      <w:fldChar w:fldCharType="separate"/>
    </w:r>
    <w:r w:rsidR="003508ED">
      <w:rPr>
        <w:rStyle w:val="PageNumber"/>
        <w:rFonts w:ascii="Times New Roman" w:hAnsi="Times New Roman" w:cs="Times New Roman"/>
        <w:noProof/>
      </w:rPr>
      <w:t>2</w:t>
    </w:r>
    <w:r w:rsidRPr="00D1661D">
      <w:rPr>
        <w:rStyle w:val="PageNumber"/>
        <w:rFonts w:ascii="Times New Roman" w:hAnsi="Times New Roman" w:cs="Times New Roman"/>
      </w:rPr>
      <w:fldChar w:fldCharType="end"/>
    </w:r>
  </w:p>
  <w:p w:rsidR="00936EF4" w:rsidRDefault="00936E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F4" w:rsidRDefault="00936E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021623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1190CDE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66EF438C"/>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40E0F7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335225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109CF92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0DED726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C"/>
    <w:multiLevelType w:val="hybridMultilevel"/>
    <w:tmpl w:val="7FDCC2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D"/>
    <w:multiLevelType w:val="hybridMultilevel"/>
    <w:tmpl w:val="1BEFD7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E"/>
    <w:multiLevelType w:val="hybridMultilevel"/>
    <w:tmpl w:val="41A7C4C8"/>
    <w:lvl w:ilvl="0" w:tplc="FFFFFFFF">
      <w:start w:val="1"/>
      <w:numFmt w:val="bullet"/>
      <w:lvlText w:val=""/>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0F"/>
    <w:multiLevelType w:val="hybridMultilevel"/>
    <w:tmpl w:val="6B6807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0"/>
    <w:multiLevelType w:val="hybridMultilevel"/>
    <w:tmpl w:val="4E6AFB6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1"/>
    <w:multiLevelType w:val="hybridMultilevel"/>
    <w:tmpl w:val="25E45D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84E5840"/>
    <w:multiLevelType w:val="multilevel"/>
    <w:tmpl w:val="CEBEC9F6"/>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08CA4E16"/>
    <w:multiLevelType w:val="multilevel"/>
    <w:tmpl w:val="ACCEF716"/>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0A476CD1"/>
    <w:multiLevelType w:val="multilevel"/>
    <w:tmpl w:val="C4C2D150"/>
    <w:styleLink w:val="WWNum14"/>
    <w:lvl w:ilvl="0">
      <w:start w:val="1"/>
      <w:numFmt w:val="decimal"/>
      <w:lvlText w:val="%1)"/>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20" w15:restartNumberingAfterBreak="0">
    <w:nsid w:val="0BB00DCB"/>
    <w:multiLevelType w:val="hybridMultilevel"/>
    <w:tmpl w:val="FDE0079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145C47A7"/>
    <w:multiLevelType w:val="multilevel"/>
    <w:tmpl w:val="1AAA484A"/>
    <w:styleLink w:val="WWNum11"/>
    <w:lvl w:ilvl="0">
      <w:numFmt w:val="bullet"/>
      <w:lvlText w:val=""/>
      <w:lvlJc w:val="left"/>
      <w:pPr>
        <w:ind w:left="720" w:hanging="360"/>
      </w:pPr>
    </w:lvl>
    <w:lvl w:ilvl="1">
      <w:numFmt w:val="bullet"/>
      <w:lvlText w:val=""/>
      <w:lvlJc w:val="left"/>
      <w:pPr>
        <w:ind w:left="1440" w:hanging="360"/>
      </w:p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2" w15:restartNumberingAfterBreak="0">
    <w:nsid w:val="14B22E9E"/>
    <w:multiLevelType w:val="multilevel"/>
    <w:tmpl w:val="31527FF0"/>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1160064"/>
    <w:multiLevelType w:val="multilevel"/>
    <w:tmpl w:val="5E56820C"/>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2A937F70"/>
    <w:multiLevelType w:val="multilevel"/>
    <w:tmpl w:val="A09873D4"/>
    <w:styleLink w:val="WWNum13"/>
    <w:lvl w:ilvl="0">
      <w:numFmt w:val="bullet"/>
      <w:lvlText w:val=""/>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25" w15:restartNumberingAfterBreak="0">
    <w:nsid w:val="332B230E"/>
    <w:multiLevelType w:val="hybridMultilevel"/>
    <w:tmpl w:val="9D066FE0"/>
    <w:lvl w:ilvl="0" w:tplc="EE92DF9A">
      <w:numFmt w:val="bullet"/>
      <w:lvlText w:val="-"/>
      <w:lvlJc w:val="left"/>
      <w:pPr>
        <w:ind w:left="1125" w:hanging="360"/>
      </w:pPr>
      <w:rPr>
        <w:rFonts w:ascii="Calibri" w:eastAsiaTheme="minorHAnsi" w:hAnsi="Calibri" w:cstheme="minorBidi"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26" w15:restartNumberingAfterBreak="0">
    <w:nsid w:val="398147CE"/>
    <w:multiLevelType w:val="multilevel"/>
    <w:tmpl w:val="F0E41392"/>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9872239"/>
    <w:multiLevelType w:val="multilevel"/>
    <w:tmpl w:val="1D328FE0"/>
    <w:styleLink w:val="WWNum16"/>
    <w:lvl w:ilvl="0">
      <w:numFmt w:val="bullet"/>
      <w:lvlText w:val=""/>
      <w:lvlJc w:val="left"/>
      <w:pPr>
        <w:ind w:left="1440" w:hanging="360"/>
      </w:pPr>
    </w:lvl>
    <w:lvl w:ilvl="1">
      <w:numFmt w:val="bullet"/>
      <w:lvlText w:val="o"/>
      <w:lvlJc w:val="left"/>
      <w:pPr>
        <w:ind w:left="2160" w:hanging="360"/>
      </w:pPr>
      <w:rPr>
        <w:rFonts w:ascii="Times New Roman" w:hAnsi="Times New Roman"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ascii="Times New Roman" w:hAnsi="Times New Roman"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ascii="Times New Roman" w:hAnsi="Times New Roman" w:cs="Courier New"/>
      </w:rPr>
    </w:lvl>
    <w:lvl w:ilvl="8">
      <w:numFmt w:val="bullet"/>
      <w:lvlText w:val=""/>
      <w:lvlJc w:val="left"/>
      <w:pPr>
        <w:ind w:left="7200" w:hanging="360"/>
      </w:pPr>
    </w:lvl>
  </w:abstractNum>
  <w:abstractNum w:abstractNumId="28" w15:restartNumberingAfterBreak="0">
    <w:nsid w:val="3CF25F49"/>
    <w:multiLevelType w:val="multilevel"/>
    <w:tmpl w:val="90CC83FA"/>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17F5601"/>
    <w:multiLevelType w:val="multilevel"/>
    <w:tmpl w:val="624C8F1A"/>
    <w:styleLink w:val="WWNum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0" w15:restartNumberingAfterBreak="0">
    <w:nsid w:val="42964202"/>
    <w:multiLevelType w:val="hybridMultilevel"/>
    <w:tmpl w:val="19AC39D8"/>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8E17DA"/>
    <w:multiLevelType w:val="multilevel"/>
    <w:tmpl w:val="6FBCE6AE"/>
    <w:styleLink w:val="WWNum12"/>
    <w:lvl w:ilvl="0">
      <w:numFmt w:val="bullet"/>
      <w:lvlText w:val=""/>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abstractNum w:abstractNumId="32" w15:restartNumberingAfterBreak="0">
    <w:nsid w:val="4A6267B6"/>
    <w:multiLevelType w:val="multilevel"/>
    <w:tmpl w:val="138E82D2"/>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E891AC6"/>
    <w:multiLevelType w:val="multilevel"/>
    <w:tmpl w:val="9002394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50685A37"/>
    <w:multiLevelType w:val="hybridMultilevel"/>
    <w:tmpl w:val="EA009DD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5" w15:restartNumberingAfterBreak="0">
    <w:nsid w:val="51BC68EE"/>
    <w:multiLevelType w:val="hybridMultilevel"/>
    <w:tmpl w:val="83B8AD6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6" w15:restartNumberingAfterBreak="0">
    <w:nsid w:val="5DF67ACC"/>
    <w:multiLevelType w:val="multilevel"/>
    <w:tmpl w:val="6F5ED2FE"/>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6A022EEA"/>
    <w:multiLevelType w:val="hybridMultilevel"/>
    <w:tmpl w:val="10CEF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9"/>
  </w:num>
  <w:num w:numId="3">
    <w:abstractNumId w:val="26"/>
  </w:num>
  <w:num w:numId="4">
    <w:abstractNumId w:val="23"/>
  </w:num>
  <w:num w:numId="5">
    <w:abstractNumId w:val="28"/>
  </w:num>
  <w:num w:numId="6">
    <w:abstractNumId w:val="32"/>
  </w:num>
  <w:num w:numId="7">
    <w:abstractNumId w:val="18"/>
  </w:num>
  <w:num w:numId="8">
    <w:abstractNumId w:val="36"/>
  </w:num>
  <w:num w:numId="9">
    <w:abstractNumId w:val="17"/>
  </w:num>
  <w:num w:numId="10">
    <w:abstractNumId w:val="33"/>
  </w:num>
  <w:num w:numId="11">
    <w:abstractNumId w:val="21"/>
  </w:num>
  <w:num w:numId="12">
    <w:abstractNumId w:val="31"/>
  </w:num>
  <w:num w:numId="13">
    <w:abstractNumId w:val="24"/>
  </w:num>
  <w:num w:numId="14">
    <w:abstractNumId w:val="19"/>
  </w:num>
  <w:num w:numId="15">
    <w:abstractNumId w:val="27"/>
  </w:num>
  <w:num w:numId="16">
    <w:abstractNumId w:val="0"/>
  </w:num>
  <w:num w:numId="17">
    <w:abstractNumId w:val="1"/>
  </w:num>
  <w:num w:numId="18">
    <w:abstractNumId w:val="2"/>
  </w:num>
  <w:num w:numId="19">
    <w:abstractNumId w:val="3"/>
  </w:num>
  <w:num w:numId="20">
    <w:abstractNumId w:val="4"/>
  </w:num>
  <w:num w:numId="21">
    <w:abstractNumId w:val="5"/>
  </w:num>
  <w:num w:numId="22">
    <w:abstractNumId w:val="6"/>
  </w:num>
  <w:num w:numId="23">
    <w:abstractNumId w:val="7"/>
  </w:num>
  <w:num w:numId="24">
    <w:abstractNumId w:val="8"/>
  </w:num>
  <w:num w:numId="25">
    <w:abstractNumId w:val="9"/>
  </w:num>
  <w:num w:numId="26">
    <w:abstractNumId w:val="10"/>
  </w:num>
  <w:num w:numId="27">
    <w:abstractNumId w:val="11"/>
  </w:num>
  <w:num w:numId="28">
    <w:abstractNumId w:val="12"/>
  </w:num>
  <w:num w:numId="29">
    <w:abstractNumId w:val="13"/>
  </w:num>
  <w:num w:numId="30">
    <w:abstractNumId w:val="14"/>
  </w:num>
  <w:num w:numId="31">
    <w:abstractNumId w:val="15"/>
  </w:num>
  <w:num w:numId="32">
    <w:abstractNumId w:val="16"/>
  </w:num>
  <w:num w:numId="33">
    <w:abstractNumId w:val="35"/>
  </w:num>
  <w:num w:numId="34">
    <w:abstractNumId w:val="25"/>
  </w:num>
  <w:num w:numId="35">
    <w:abstractNumId w:val="37"/>
  </w:num>
  <w:num w:numId="36">
    <w:abstractNumId w:val="30"/>
  </w:num>
  <w:num w:numId="37">
    <w:abstractNumId w:val="34"/>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907"/>
    <w:rsid w:val="00030371"/>
    <w:rsid w:val="00041788"/>
    <w:rsid w:val="00046935"/>
    <w:rsid w:val="0008393A"/>
    <w:rsid w:val="00150D30"/>
    <w:rsid w:val="001B709C"/>
    <w:rsid w:val="001E3953"/>
    <w:rsid w:val="001F7226"/>
    <w:rsid w:val="00203D0F"/>
    <w:rsid w:val="00206CF4"/>
    <w:rsid w:val="0020721D"/>
    <w:rsid w:val="0024342A"/>
    <w:rsid w:val="00250EA9"/>
    <w:rsid w:val="00282BC7"/>
    <w:rsid w:val="00327C2A"/>
    <w:rsid w:val="00337DFC"/>
    <w:rsid w:val="003508ED"/>
    <w:rsid w:val="00355907"/>
    <w:rsid w:val="00356C39"/>
    <w:rsid w:val="00374762"/>
    <w:rsid w:val="003F7148"/>
    <w:rsid w:val="004323D8"/>
    <w:rsid w:val="00587937"/>
    <w:rsid w:val="005C0599"/>
    <w:rsid w:val="005C39C0"/>
    <w:rsid w:val="00613BFA"/>
    <w:rsid w:val="00670355"/>
    <w:rsid w:val="006C1955"/>
    <w:rsid w:val="007205BB"/>
    <w:rsid w:val="0075099D"/>
    <w:rsid w:val="0076077F"/>
    <w:rsid w:val="007A5A21"/>
    <w:rsid w:val="007D6101"/>
    <w:rsid w:val="007F1ABF"/>
    <w:rsid w:val="00845DFC"/>
    <w:rsid w:val="0084688E"/>
    <w:rsid w:val="0085177B"/>
    <w:rsid w:val="008525AB"/>
    <w:rsid w:val="008C49E2"/>
    <w:rsid w:val="008D28BE"/>
    <w:rsid w:val="008D7948"/>
    <w:rsid w:val="009226BB"/>
    <w:rsid w:val="00936EF4"/>
    <w:rsid w:val="00987EFE"/>
    <w:rsid w:val="00995D23"/>
    <w:rsid w:val="00A46CAE"/>
    <w:rsid w:val="00A8044F"/>
    <w:rsid w:val="00A87EC5"/>
    <w:rsid w:val="00AA3555"/>
    <w:rsid w:val="00AD158C"/>
    <w:rsid w:val="00AF0A87"/>
    <w:rsid w:val="00B32083"/>
    <w:rsid w:val="00B34A73"/>
    <w:rsid w:val="00B44477"/>
    <w:rsid w:val="00BB4DD5"/>
    <w:rsid w:val="00C00FF2"/>
    <w:rsid w:val="00C0555F"/>
    <w:rsid w:val="00C25371"/>
    <w:rsid w:val="00C9045D"/>
    <w:rsid w:val="00CA1A4C"/>
    <w:rsid w:val="00CE3EED"/>
    <w:rsid w:val="00D04264"/>
    <w:rsid w:val="00D1661D"/>
    <w:rsid w:val="00D20776"/>
    <w:rsid w:val="00D22F50"/>
    <w:rsid w:val="00D316CA"/>
    <w:rsid w:val="00D341D5"/>
    <w:rsid w:val="00D561FC"/>
    <w:rsid w:val="00DA5F23"/>
    <w:rsid w:val="00DA6EFA"/>
    <w:rsid w:val="00DD0B05"/>
    <w:rsid w:val="00E36989"/>
    <w:rsid w:val="00E644EF"/>
    <w:rsid w:val="00E67815"/>
    <w:rsid w:val="00ED43CF"/>
    <w:rsid w:val="00EE072B"/>
    <w:rsid w:val="00F00046"/>
    <w:rsid w:val="00F42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FB6D07-F72E-4DD1-BB48-61522B82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7DFC"/>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7109C0"/>
    <w:pPr>
      <w:spacing w:line="240" w:lineRule="auto"/>
    </w:pPr>
    <w:rPr>
      <w:b/>
      <w:bCs/>
      <w:color w:val="5B9BD5" w:themeColor="accent1"/>
      <w:sz w:val="18"/>
      <w:szCs w:val="18"/>
    </w:rPr>
  </w:style>
  <w:style w:type="paragraph" w:customStyle="1" w:styleId="DocDefaults">
    <w:name w:val="DocDefaults"/>
  </w:style>
  <w:style w:type="table" w:customStyle="1" w:styleId="TableGrid1">
    <w:name w:val="Table Grid1"/>
    <w:basedOn w:val="TableNormal"/>
    <w:next w:val="TableGrid"/>
    <w:uiPriority w:val="39"/>
    <w:rsid w:val="00ED4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ED43CF"/>
  </w:style>
  <w:style w:type="paragraph" w:customStyle="1" w:styleId="Standard">
    <w:name w:val="Standard"/>
    <w:rsid w:val="00ED43CF"/>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Heading">
    <w:name w:val="Heading"/>
    <w:basedOn w:val="Standard"/>
    <w:next w:val="Textbody"/>
    <w:rsid w:val="00ED43CF"/>
    <w:pPr>
      <w:keepNext/>
      <w:spacing w:before="240" w:after="120"/>
    </w:pPr>
    <w:rPr>
      <w:rFonts w:ascii="Arial" w:eastAsia="Microsoft YaHei" w:hAnsi="Arial"/>
      <w:sz w:val="28"/>
      <w:szCs w:val="28"/>
    </w:rPr>
  </w:style>
  <w:style w:type="paragraph" w:customStyle="1" w:styleId="Textbody">
    <w:name w:val="Text body"/>
    <w:basedOn w:val="Standard"/>
    <w:rsid w:val="00ED43CF"/>
    <w:pPr>
      <w:spacing w:after="120"/>
    </w:pPr>
  </w:style>
  <w:style w:type="paragraph" w:styleId="List">
    <w:name w:val="List"/>
    <w:basedOn w:val="Textbody"/>
    <w:rsid w:val="00ED43CF"/>
  </w:style>
  <w:style w:type="paragraph" w:customStyle="1" w:styleId="Index">
    <w:name w:val="Index"/>
    <w:basedOn w:val="Standard"/>
    <w:rsid w:val="00ED43CF"/>
    <w:pPr>
      <w:suppressLineNumbers/>
    </w:pPr>
  </w:style>
  <w:style w:type="paragraph" w:styleId="CommentText">
    <w:name w:val="annotation text"/>
    <w:basedOn w:val="Standard"/>
    <w:link w:val="CommentTextChar"/>
    <w:rsid w:val="00ED43CF"/>
    <w:rPr>
      <w:sz w:val="20"/>
      <w:szCs w:val="20"/>
    </w:rPr>
  </w:style>
  <w:style w:type="character" w:customStyle="1" w:styleId="CommentTextChar">
    <w:name w:val="Comment Text Char"/>
    <w:basedOn w:val="DefaultParagraphFont"/>
    <w:link w:val="CommentText"/>
    <w:rsid w:val="00ED43CF"/>
    <w:rPr>
      <w:rFonts w:ascii="Times New Roman" w:eastAsia="SimSun" w:hAnsi="Times New Roman" w:cs="Mangal"/>
      <w:kern w:val="3"/>
      <w:sz w:val="20"/>
      <w:szCs w:val="20"/>
      <w:lang w:eastAsia="zh-CN" w:bidi="hi-IN"/>
    </w:rPr>
  </w:style>
  <w:style w:type="paragraph" w:styleId="CommentSubject">
    <w:name w:val="annotation subject"/>
    <w:basedOn w:val="CommentText"/>
    <w:link w:val="CommentSubjectChar"/>
    <w:rsid w:val="00ED43CF"/>
    <w:rPr>
      <w:b/>
      <w:bCs/>
    </w:rPr>
  </w:style>
  <w:style w:type="character" w:customStyle="1" w:styleId="CommentSubjectChar">
    <w:name w:val="Comment Subject Char"/>
    <w:basedOn w:val="CommentTextChar"/>
    <w:link w:val="CommentSubject"/>
    <w:rsid w:val="00ED43CF"/>
    <w:rPr>
      <w:rFonts w:ascii="Times New Roman" w:eastAsia="SimSun" w:hAnsi="Times New Roman" w:cs="Mangal"/>
      <w:b/>
      <w:bCs/>
      <w:kern w:val="3"/>
      <w:sz w:val="20"/>
      <w:szCs w:val="20"/>
      <w:lang w:eastAsia="zh-CN" w:bidi="hi-IN"/>
    </w:rPr>
  </w:style>
  <w:style w:type="paragraph" w:styleId="BalloonText">
    <w:name w:val="Balloon Text"/>
    <w:basedOn w:val="Standard"/>
    <w:link w:val="BalloonTextChar"/>
    <w:rsid w:val="00ED43CF"/>
    <w:rPr>
      <w:rFonts w:ascii="Tahoma" w:hAnsi="Tahoma" w:cs="Tahoma"/>
      <w:sz w:val="16"/>
      <w:szCs w:val="16"/>
    </w:rPr>
  </w:style>
  <w:style w:type="character" w:customStyle="1" w:styleId="BalloonTextChar">
    <w:name w:val="Balloon Text Char"/>
    <w:basedOn w:val="DefaultParagraphFont"/>
    <w:link w:val="BalloonText"/>
    <w:rsid w:val="00ED43CF"/>
    <w:rPr>
      <w:rFonts w:ascii="Tahoma" w:eastAsia="SimSun" w:hAnsi="Tahoma" w:cs="Tahoma"/>
      <w:kern w:val="3"/>
      <w:sz w:val="16"/>
      <w:szCs w:val="16"/>
      <w:lang w:eastAsia="zh-CN" w:bidi="hi-IN"/>
    </w:rPr>
  </w:style>
  <w:style w:type="paragraph" w:styleId="ListParagraph">
    <w:name w:val="List Paragraph"/>
    <w:basedOn w:val="Standard"/>
    <w:uiPriority w:val="34"/>
    <w:qFormat/>
    <w:rsid w:val="00ED43CF"/>
    <w:pPr>
      <w:ind w:left="720"/>
    </w:pPr>
  </w:style>
  <w:style w:type="character" w:styleId="CommentReference">
    <w:name w:val="annotation reference"/>
    <w:basedOn w:val="DefaultParagraphFont"/>
    <w:rsid w:val="00ED43CF"/>
    <w:rPr>
      <w:sz w:val="16"/>
      <w:szCs w:val="16"/>
    </w:rPr>
  </w:style>
  <w:style w:type="character" w:customStyle="1" w:styleId="ListLabel1">
    <w:name w:val="ListLabel 1"/>
    <w:rsid w:val="00ED43CF"/>
    <w:rPr>
      <w:rFonts w:cs="Courier New"/>
    </w:rPr>
  </w:style>
  <w:style w:type="character" w:customStyle="1" w:styleId="NumberingSymbols">
    <w:name w:val="Numbering Symbols"/>
    <w:rsid w:val="00ED43CF"/>
  </w:style>
  <w:style w:type="numbering" w:customStyle="1" w:styleId="WWNum1">
    <w:name w:val="WWNum1"/>
    <w:basedOn w:val="NoList"/>
    <w:rsid w:val="00ED43CF"/>
    <w:pPr>
      <w:numPr>
        <w:numId w:val="1"/>
      </w:numPr>
    </w:pPr>
  </w:style>
  <w:style w:type="numbering" w:customStyle="1" w:styleId="WWNum2">
    <w:name w:val="WWNum2"/>
    <w:basedOn w:val="NoList"/>
    <w:rsid w:val="00ED43CF"/>
    <w:pPr>
      <w:numPr>
        <w:numId w:val="2"/>
      </w:numPr>
    </w:pPr>
  </w:style>
  <w:style w:type="numbering" w:customStyle="1" w:styleId="WWNum3">
    <w:name w:val="WWNum3"/>
    <w:basedOn w:val="NoList"/>
    <w:rsid w:val="00ED43CF"/>
    <w:pPr>
      <w:numPr>
        <w:numId w:val="3"/>
      </w:numPr>
    </w:pPr>
  </w:style>
  <w:style w:type="numbering" w:customStyle="1" w:styleId="WWNum4">
    <w:name w:val="WWNum4"/>
    <w:basedOn w:val="NoList"/>
    <w:rsid w:val="00ED43CF"/>
    <w:pPr>
      <w:numPr>
        <w:numId w:val="4"/>
      </w:numPr>
    </w:pPr>
  </w:style>
  <w:style w:type="numbering" w:customStyle="1" w:styleId="WWNum5">
    <w:name w:val="WWNum5"/>
    <w:basedOn w:val="NoList"/>
    <w:rsid w:val="00ED43CF"/>
    <w:pPr>
      <w:numPr>
        <w:numId w:val="5"/>
      </w:numPr>
    </w:pPr>
  </w:style>
  <w:style w:type="numbering" w:customStyle="1" w:styleId="WWNum6">
    <w:name w:val="WWNum6"/>
    <w:basedOn w:val="NoList"/>
    <w:rsid w:val="00ED43CF"/>
    <w:pPr>
      <w:numPr>
        <w:numId w:val="6"/>
      </w:numPr>
    </w:pPr>
  </w:style>
  <w:style w:type="numbering" w:customStyle="1" w:styleId="WWNum7">
    <w:name w:val="WWNum7"/>
    <w:basedOn w:val="NoList"/>
    <w:rsid w:val="00ED43CF"/>
    <w:pPr>
      <w:numPr>
        <w:numId w:val="7"/>
      </w:numPr>
    </w:pPr>
  </w:style>
  <w:style w:type="numbering" w:customStyle="1" w:styleId="WWNum8">
    <w:name w:val="WWNum8"/>
    <w:basedOn w:val="NoList"/>
    <w:rsid w:val="00ED43CF"/>
    <w:pPr>
      <w:numPr>
        <w:numId w:val="8"/>
      </w:numPr>
    </w:pPr>
  </w:style>
  <w:style w:type="numbering" w:customStyle="1" w:styleId="WWNum9">
    <w:name w:val="WWNum9"/>
    <w:basedOn w:val="NoList"/>
    <w:rsid w:val="00ED43CF"/>
    <w:pPr>
      <w:numPr>
        <w:numId w:val="9"/>
      </w:numPr>
    </w:pPr>
  </w:style>
  <w:style w:type="numbering" w:customStyle="1" w:styleId="WWNum10">
    <w:name w:val="WWNum10"/>
    <w:basedOn w:val="NoList"/>
    <w:rsid w:val="00ED43CF"/>
    <w:pPr>
      <w:numPr>
        <w:numId w:val="10"/>
      </w:numPr>
    </w:pPr>
  </w:style>
  <w:style w:type="numbering" w:customStyle="1" w:styleId="WWNum11">
    <w:name w:val="WWNum11"/>
    <w:basedOn w:val="NoList"/>
    <w:rsid w:val="00ED43CF"/>
    <w:pPr>
      <w:numPr>
        <w:numId w:val="11"/>
      </w:numPr>
    </w:pPr>
  </w:style>
  <w:style w:type="numbering" w:customStyle="1" w:styleId="WWNum12">
    <w:name w:val="WWNum12"/>
    <w:basedOn w:val="NoList"/>
    <w:rsid w:val="00ED43CF"/>
    <w:pPr>
      <w:numPr>
        <w:numId w:val="12"/>
      </w:numPr>
    </w:pPr>
  </w:style>
  <w:style w:type="numbering" w:customStyle="1" w:styleId="WWNum13">
    <w:name w:val="WWNum13"/>
    <w:basedOn w:val="NoList"/>
    <w:rsid w:val="00ED43CF"/>
    <w:pPr>
      <w:numPr>
        <w:numId w:val="13"/>
      </w:numPr>
    </w:pPr>
  </w:style>
  <w:style w:type="numbering" w:customStyle="1" w:styleId="WWNum14">
    <w:name w:val="WWNum14"/>
    <w:basedOn w:val="NoList"/>
    <w:rsid w:val="00ED43CF"/>
    <w:pPr>
      <w:numPr>
        <w:numId w:val="14"/>
      </w:numPr>
    </w:pPr>
  </w:style>
  <w:style w:type="numbering" w:customStyle="1" w:styleId="WWNum16">
    <w:name w:val="WWNum16"/>
    <w:basedOn w:val="NoList"/>
    <w:rsid w:val="00ED43CF"/>
    <w:pPr>
      <w:numPr>
        <w:numId w:val="15"/>
      </w:numPr>
    </w:pPr>
  </w:style>
  <w:style w:type="table" w:customStyle="1" w:styleId="TableGrid2">
    <w:name w:val="Table Grid2"/>
    <w:basedOn w:val="TableNormal"/>
    <w:next w:val="TableGrid"/>
    <w:uiPriority w:val="39"/>
    <w:rsid w:val="00ED4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56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356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936EF4"/>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36EF4"/>
    <w:rPr>
      <w:rFonts w:ascii="Verdana" w:hAnsi="Verdana" w:cs="Verdana"/>
    </w:rPr>
  </w:style>
  <w:style w:type="character" w:styleId="PageNumber">
    <w:name w:val="page number"/>
    <w:basedOn w:val="DefaultParagraphFont"/>
    <w:uiPriority w:val="99"/>
    <w:semiHidden/>
    <w:unhideWhenUsed/>
    <w:rsid w:val="00936EF4"/>
  </w:style>
  <w:style w:type="paragraph" w:customStyle="1" w:styleId="1tekst">
    <w:name w:val="1tekst"/>
    <w:basedOn w:val="Normal"/>
    <w:rsid w:val="00046935"/>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0CD49-406A-4694-9731-1176F034D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1802</Words>
  <Characters>10273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 Mašojević</dc:creator>
  <cp:lastModifiedBy>Jovan Stojanovic</cp:lastModifiedBy>
  <cp:revision>2</cp:revision>
  <cp:lastPrinted>2019-02-14T10:02:00Z</cp:lastPrinted>
  <dcterms:created xsi:type="dcterms:W3CDTF">2019-02-18T09:55:00Z</dcterms:created>
  <dcterms:modified xsi:type="dcterms:W3CDTF">2019-02-18T09:55:00Z</dcterms:modified>
</cp:coreProperties>
</file>