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122а Закона о Војсци Србије („Службени гласник РС”, бр.</w:t>
      </w:r>
      <w:r w:rsidRPr="00E20534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116/07, 88/09, 101/10 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–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10/15, 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88/15 –</w:t>
      </w:r>
      <w:r w:rsidRPr="00E2053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УС и 36/18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E20534">
        <w:rPr>
          <w:rFonts w:ascii="Times New Roman" w:eastAsia="Times New Roman" w:hAnsi="Times New Roman" w:cs="Times New Roman"/>
          <w:sz w:val="20"/>
          <w:szCs w:val="20"/>
          <w:lang w:val="sr-Cyrl-CS"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члана 42. став 1. Закона о </w:t>
      </w:r>
      <w:r w:rsidRPr="00E20534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 xml:space="preserve">Влади („Службени гласник РС”, бр. 55/05, 71/05 </w:t>
      </w:r>
      <w:r w:rsidRPr="00E20534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sr-Cyrl-CS"/>
        </w:rPr>
        <w:t>– исправка</w:t>
      </w:r>
      <w:r w:rsidRPr="00E20534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 xml:space="preserve">, 101/07, 65/08, </w:t>
      </w:r>
      <w:r w:rsidRPr="00E20534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sr-Cyrl-CS"/>
        </w:rPr>
        <w:t>16/11, 68/12 –</w:t>
      </w:r>
      <w:r w:rsidRPr="00E20534">
        <w:rPr>
          <w:rFonts w:ascii="Times New Roman" w:eastAsia="Times New Roman" w:hAnsi="Times New Roman" w:cs="Times New Roman"/>
          <w:iCs/>
          <w:color w:val="FF0000"/>
          <w:spacing w:val="-2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sr-Cyrl-CS"/>
        </w:rPr>
        <w:t>УС,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72/12, 7/14 –</w:t>
      </w:r>
      <w:r w:rsidRPr="00E2053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УС, 44/14 и 30/18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E20534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sr-Cyrl-CS"/>
        </w:rPr>
        <w:t>–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E20534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др. закон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E20534">
        <w:rPr>
          <w:rFonts w:ascii="Times New Roman" w:eastAsia="Times New Roman" w:hAnsi="Times New Roman" w:cs="Times New Roman"/>
          <w:sz w:val="28"/>
          <w:szCs w:val="28"/>
          <w:lang w:val="sr-Cyrl-CS"/>
        </w:rPr>
        <w:t>У Р Е Д Б У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начину и поступку пријема цивилних лица на службу у Војсци Србије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I. УВОДНА ОДРЕДБА</w:t>
      </w:r>
    </w:p>
    <w:p w:rsidR="00E20534" w:rsidRPr="00E20534" w:rsidRDefault="00E20534" w:rsidP="00E2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E20534" w:rsidRPr="00E20534" w:rsidRDefault="00E20534" w:rsidP="00E2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Овом уредбом уређују се начин и поступак пријема цивилних лица на службу у Војсци Србије (у даљем тексту: цивилна лица) јавним конкурсом и без јавног конкурса.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II. НАЧИН ПРИЈЕМА ЦИВИЛНИХ ЛИЦА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2.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Пријем цивилних лица врши се на основу предлога за попуну формацијског места цивилног лица који покреће старешина команде, јединице или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 руководилац организационе јединице Министарства одбране у којој се на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лази формацијско место,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а у складу са планом попуне који доноси министар одбране. </w:t>
      </w:r>
    </w:p>
    <w:p w:rsidR="00E20534" w:rsidRPr="00E20534" w:rsidRDefault="00E20534" w:rsidP="00E20534">
      <w:pPr>
        <w:tabs>
          <w:tab w:val="left" w:pos="1418"/>
          <w:tab w:val="left" w:pos="67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Предлог за попуну формацијског места цивилног лица садржи следеће податке: назив формацијског места, стручна спрема, група радног места и број бодова и посебни услови прописани актом о унутрашњем уређењу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систематизацији формацијских места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у Војсци Србије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 Министарству одбране.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Одлуку о попуни формацијског места цивилног лица доноси министар одбране.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3.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Пријем цивилних лица на служб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у Војсци Србије врши се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у складу са законом: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   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 1) јавним конкурсом;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2) без јавног конкурса.</w:t>
      </w: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III. ПОСТУПАК ПРИЈЕМА ЦИВИЛНИХ ЛИЦА</w:t>
      </w:r>
    </w:p>
    <w:p w:rsidR="00E20534" w:rsidRPr="00E20534" w:rsidRDefault="00E20534" w:rsidP="00E20534">
      <w:pPr>
        <w:tabs>
          <w:tab w:val="left" w:pos="1418"/>
        </w:tabs>
        <w:spacing w:before="107" w:after="107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numPr>
          <w:ilvl w:val="0"/>
          <w:numId w:val="1"/>
        </w:num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Пријем цивилних лица јавним конкурсом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4.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Јавни конкурс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складу са законом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расписује Министарство одбране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 објављује га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магазину „Одбрана”, на веб-сајту Министарства одбране и у неком од дневних јавних гласила које излази на читавој територији Републике Србије, а оглас о јавном конкурсу доставља се надлежној дирекцији Националне службе за запошљавање.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5.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У огласу о јавном конкурсу наводе се: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назив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команде, јединице или установе 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организационе јединице Министарства одбране у оквиру које се врши попуна формацијског места цивилног лица, формацијско место које се попуњава, услови за рад на формацијском мест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се попуњава,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стручн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a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оспособљеност, знања и вештин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>e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које се оцењују у изборном поступку и начин њихове провере, мест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рада,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у којем се подносе пријаве на јавни конкурс, име и презиме лица задуженог за давање обавештења о јавном конкурсу, адреса на коју се подносе пријаве и докази који се прилажу уз пријаву.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Поред података из става 1. овог члана, у тексту огласа о јавном конкурсу наводи се да је пробни рад обавезан за све који први пут заснивају радни однос у државном органу, у складу са законом.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  <w:tab/>
        <w:t xml:space="preserve">Рок за подношење пријава на јавни конкурс почиње да тече наредног дана од дана када је јавни конкурс оглашен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магазину „Одбрана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  <w:t xml:space="preserve">и не може бити краћи од осам дана.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Уз пријаву на јавни конкурс прилажу се оригинали или оверене фотокопије доказа о испуњености услова за рад из</w:t>
      </w:r>
      <w:r w:rsidRPr="00E20534">
        <w:rPr>
          <w:rFonts w:ascii="Times New Roman" w:eastAsia="Times New Roman" w:hAnsi="Times New Roman" w:cs="Times New Roman"/>
          <w:i/>
          <w:sz w:val="24"/>
          <w:szCs w:val="24"/>
          <w:lang w:val="sr-Cyrl-CS"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јавног конкурса.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  <w:tab/>
        <w:t>Јавни конкурс спроводи конкурсна комисија коју решењем именује министар одбране.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Конкурсна комисија именује се пре него што се огласи јавни конкурс.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Конкурсну комисију чине најмање три члана, при чему најмање један члан мора бити из реда стручњака исте врсте и истог или вишег степена стручне спреме од степена стручне спреме који је предвиђен за формацијско место цивилног лица које се попуњава.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Конкурсна комисија одлуке доноси већином гласова.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Конкурсна комисија води записник о свом раду који потписују председник и чланови конкурсне комисије.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3"/>
          <w:szCs w:val="23"/>
          <w:lang w:val="sr-Cyrl-CS"/>
        </w:rPr>
        <w:tab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Чланови конкурсне комисије дужни су да чувају податке до којих су дошли током спровођења јавног конкурса.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8.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Председник и остали чланови конкурсне комисије дужни су да пошто прегледају пријаве на јавни конкурс дају писану изјаву о томе да они или с њима повезана лица немају сукоб интереса везан за спровођење јавног конкурса.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Председник или други члан конкурсне комисије код кога постоји сукоб интереса изузима се из конкурсне комисије и уместо њега именује се нови.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Члан 9.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Критеријуме за избор кандидата у изборном поступку, у складу са потребама формацијског места које се попуњава пријемом цивилног лица</w:t>
      </w:r>
      <w:r w:rsidRPr="00E20534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,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уређује министар одбране.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Члан 10.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По истеку рока за подношење пријава на јавни конкурс, конкурсна комисија прегледа све приспеле пријаве и поднете доказе.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Изборни поступак спроводи се само међу кандидатима који испуне услове за рад на формацијском месту које се попуњава.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11.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поступку спровођења јавног конкурса, н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акон прегледа приспелих пријава и поднетих доказа, конкурсна комисија сачињава следеће прилоге који су саставни део записника из члана 7. став 5. ове уредбе: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B050"/>
          <w:spacing w:val="-4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1) </w:t>
      </w: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>списак свих кандидата пријављених на јавни конкурс за попуњавање формацијског места у који се уносе: презиме и име, датум и година рођења, адреса, контакт телефон, имејл-адреса, ниво образовања и подаци о испуњености услова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из јавног</w:t>
      </w: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конкурса</w:t>
      </w:r>
      <w:r w:rsidRPr="00E205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  <w:t>;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2) </w:t>
      </w: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>списак пријављених кандидата који не испуњавају услове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из јавног</w:t>
      </w: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конкурса са назнаком који услов не испуњавају или чије су пријаве неблаговремене, неразумљиве, недопуштене или непотпуне;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ab/>
        <w:t xml:space="preserve">3)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списак кандидата који испуњавају услове из јавног конкурса и међу којима се спроводи изборни поступак;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4) изјаве чланова конкурсне комисије о непостојању сукоба интереса.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Спискове кандидата из става 1. тач. 1)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‒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3) овог члана потписују сви чланови конкурсне комисије.  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12.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Неблаговремене, неразумљиве, недопуштене или непотпуне пријаве конкурсна комисија одбацује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решењем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против којег кандидат може изјавити жалбу старешини команде, јединице 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руководиоцу организационе јединице Министарства одбране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оји је непосредно претпостављен старешини команде, јединице 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руководиоцу организационе јединице Министарства одбране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у којој се врши пријем цивилног лица, у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року од осам дана од дана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достављања решења.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lastRenderedPageBreak/>
        <w:t xml:space="preserve"> 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 xml:space="preserve">Жалба из става 1. овог члана не задржава извршење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решења.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13.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Кандидати међу којима се спроводи изборни поступак за попуну формацијског места цивилног лица, обавештавају се о томе када отпочиње изборни поступак, најмање осам дана пре дана отпочињања изборног поступка.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Ако се изборни поступак спроводи у више делова, кандидати се на почетку сваког дела обавештавају о томе када почиње наредни део изборног поступка.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>У изборном поступку конкурсна комисија слободно бира начин обавештавања кандидата, водећи рачуна о његовој правној заштити, екoномичном трошењу средстава, јавности обавештавања и јавности поступка.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ab/>
        <w:t>Ако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се кандидати обавештавају телефоном, обавезно се сачињава службена забелешка о томе, у којој се наводи име и презиме кандидата, датум и време обављања разговора, број телефона на који је упућен позив и ток разговора.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>Службену забелешку из става 4. овог члана потписује члан конкурсне комисије који је обавио разговор са кандидатом.</w:t>
      </w:r>
      <w:r w:rsidRPr="00E20534">
        <w:rPr>
          <w:rFonts w:ascii="Times New Roman" w:eastAsia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>Кандидат који се не одазове позиву да учествује у једном делу изборног поступка, а не оправда изостанак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не позива се да учествује у наредном делу изборног поступка и сматра се да је одустао од конкурса.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Кандидат који не задовољи критеријуме за избор у једном делу изборног поступка,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не позива се да учествује у наредном делу изборног поступка.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Cyrl-CS"/>
        </w:rPr>
        <w:t>Након сваког спроведеног дела изборног поступка, конкурсна комисија саставља списак кандидата са постигнутим резултатима који потписују сви чланови конкурсне комисије. Овај списак чини саставни део записника конкурсне комисије, који</w:t>
      </w:r>
      <w:r w:rsidRPr="00E205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  <w:t xml:space="preserve"> се са прилозима из члана 11. ове уредбе доставља министру одбране или лицу које он овласти за пријем цивилних лица у службу у Војсци Србије.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14.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>У изборном поступку конкурсна комисија оцењује стручне оспособљености, знања и вештине кандидата које су наведене у огласу о  јавном конкурсу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начин који је наведен у огласу о јавном конкурсу.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Cyrl-CS"/>
        </w:rPr>
        <w:tab/>
        <w:t>Стручна оспособљеност, знање и вештине кандидата могу се проверавати писано и усмено, зависно од потреба формацијског места које се попуњава.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15.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Конкурсна комисија након спроведеног изборног поступка сачињава листу за избор, на коју увршћује највише три кандидата који су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са најбољим резултатом испунили критеријуме за избор.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Изузетно, уколико се на једно формацијско место цивилног лица прима више од три извршилаца, на листу за избор, увршћују се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сваког извршиоца највише два кандидата са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најбољим резултатом који су испунили критеријуме за избор.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Листа за избор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мора да садржи све податке о резултатима које су кандидати постигли у изборном поступку.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Изузетно, у случају да су кандидати са листе за избор у изборном поступку остварили исти резултат, конкурсна комисија обавља са њима додатни разговор, пре него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lastRenderedPageBreak/>
        <w:t xml:space="preserve">што предложи за пријем једног од њих, о чему се сачињава службена забелешка која се прилаже уз записник.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Након спроведеног изборног поступка, 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министар одбране или лице које он овласти, у складу са законом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 доноси решење о пријему цивилног лица за кандидата са листе за избор.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16.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Решење о пријему на службу у Војсци Србије изабраног односно изабраних кандидата доставља се свим кандидатима који су учествовали у изборном поступку, у року од осам дана од дана доношења решења, препорученом пошиљком на адресу наведену у пријави на јавни конкурс.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Кандидат који је учествовао у изборном поступку може да, под надзором службеног лица, прегледа документацију јавног конкурса.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17.</w:t>
      </w:r>
    </w:p>
    <w:p w:rsidR="00E20534" w:rsidRPr="00E20534" w:rsidRDefault="00E20534" w:rsidP="00E205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20534">
        <w:rPr>
          <w:rFonts w:ascii="Arial" w:eastAsia="Calibri" w:hAnsi="Arial" w:cs="Arial"/>
          <w:szCs w:val="24"/>
          <w:lang w:val="sr-Cyrl-CS" w:eastAsia="sr-Cyrl-CS"/>
        </w:rPr>
        <w:tab/>
      </w:r>
      <w:r w:rsidRPr="00E20534">
        <w:rPr>
          <w:rFonts w:ascii="Arial" w:eastAsia="Calibri" w:hAnsi="Arial" w:cs="Arial"/>
          <w:szCs w:val="24"/>
          <w:lang w:val="sr-Cyrl-CS" w:eastAsia="sr-Cyrl-CS"/>
        </w:rPr>
        <w:tab/>
      </w:r>
      <w:r w:rsidRPr="00E20534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Јавни конкурс није успео ако 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>се за формацијско место које се попуњава,</w:t>
      </w:r>
      <w:r w:rsidRPr="00E20534"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>није пријавио ниједан кандидат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, ако конкурсна комисија 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поступку спровођења јавног конкурса утврди да ниједан кандидат није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испунио услове за рад на формацијском месту које се попуњава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ако ниједан кандидат у изборном поступку не испуни критеријуме прописане за избор.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У случају да ниједан пријављени кандидат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испунио услове за рад на формацијском месту које се попуњава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ако ниједан кандидат у изборном поступку не испуни критеријуме прописане за избор,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кандидати ће бити</w:t>
      </w:r>
      <w:r w:rsidRPr="00E2053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обавештени о томе да јавни конкурс није успео.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numPr>
          <w:ilvl w:val="0"/>
          <w:numId w:val="1"/>
        </w:num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Cyrl-CS"/>
        </w:rPr>
        <w:t>Пријем цивилних лица без јавног конкурса</w:t>
      </w:r>
      <w:r w:rsidRPr="00E20534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18.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Пријем цивилних лица на службу у Војсци Србије без јавног конкурса на неодређено време врши се,</w:t>
      </w:r>
      <w:r w:rsidRPr="00E20534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законом: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1) пријемом  из другог државног органа,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јавне установе и друге јавне службе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;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pacing w:val="-4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2) </w:t>
      </w:r>
      <w:r w:rsidRPr="00E20534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  <w:t>пријемом стипендиста, у складу са условима утврђеним уговором о стипендирању;</w:t>
      </w:r>
      <w:r w:rsidRPr="00E20534">
        <w:rPr>
          <w:rFonts w:ascii="Times New Roman" w:eastAsia="Times New Roman" w:hAnsi="Times New Roman" w:cs="Times New Roman"/>
          <w:strike/>
          <w:spacing w:val="-4"/>
          <w:sz w:val="24"/>
          <w:szCs w:val="24"/>
          <w:lang w:val="sr-Cyrl-CS" w:eastAsia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3) </w:t>
      </w:r>
      <w:r w:rsidRPr="00E20534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Cyrl-CS"/>
        </w:rPr>
        <w:t xml:space="preserve">пријемом на формацијска места одређена актом министра одбране.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19.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Пријем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цивилних лица на службу у Војсци Србије без јавног конкурса на одређено време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се, у складу са законом:</w:t>
      </w:r>
      <w:r w:rsidRPr="00E20534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1) када се привремено повећа обим рада (али не дуже од 12 месеци);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2) када треба заменити привремено одсутно лице;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>3) ради обуке приправника док траје приправнички стаж;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ab/>
        <w:t xml:space="preserve">4) </w:t>
      </w:r>
      <w:r w:rsidRPr="00E20534">
        <w:rPr>
          <w:rFonts w:ascii="Times New Roman" w:eastAsia="Times New Roman" w:hAnsi="Times New Roman" w:cs="Times New Roman"/>
          <w:bCs/>
          <w:color w:val="000000"/>
          <w:spacing w:val="-8"/>
          <w:sz w:val="24"/>
          <w:szCs w:val="24"/>
          <w:lang w:val="sr-Cyrl-CS"/>
        </w:rPr>
        <w:t>ради специјализације и стажирања здравственог радника до завршетка специјализације</w:t>
      </w:r>
      <w:r w:rsidRPr="00E2053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односно стажирања утврђених програмом, на основу закона.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Члан 20.</w:t>
      </w: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ab/>
        <w:t>Пријем из члана 18. тачка 1) ове уредбе врши се преузимањем лица из другог државног органа, јавне установе и других јавних служби.</w:t>
      </w: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 преузимању лица из другог државног органа, јавне установе и друге јавне службе пријемом без јавног конкурса, министар одбране односно лице које он овласти и руководилац другог државног органа, јавне установе и друге јавне службе закључују писани споразум уз претходну прибављену сагласност лица које се преузима.</w:t>
      </w:r>
    </w:p>
    <w:p w:rsidR="00E20534" w:rsidRPr="00E20534" w:rsidRDefault="00E20534" w:rsidP="00E205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Члан 21.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Пријем из члана 18. тачка 2) ове уредбе врши се на одговарајуће слободно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упражњено формацијско место, у складу са условима утврђеним уговором о стипендирању.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Одговарајуће формацијско место, у смислу става 1. овог члана, јесте формацијско место које одговара врсти и степену стручног образовања стипендисте за које је школовано.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 захтеву надлежне организационе јединице Министарства одбране, старешина команде, јединице или установе Војске Србије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руководилац организационе јединице Министарства одбране у којој се налази слободно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упражњено формацијско место цивилног лица у обавези је да достави податке о одговарајућем формацијском месту за које је лице школовано.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Акт о пријему стипендисте у својству цивилног лица доноси министар одбране или лице које он овласти. 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Члан 22.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Пријем из члана 18. тачка 3) ове уредбе у Министарству одбране врши се на формацијска места одређена актом министра одбране, а у Војсци Србије на формацијска места одређена актом министра одбране на предлог начелника Генералштаба Војске Србије.</w:t>
      </w: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Формацијским местима из става 1. овог члана сматрају се формацијска места: на којима се врше послови који су такве природе да је за њих неопходно поседовање посебних знања и вештина од стране лица која ће их обављати, дефицитарна занимања за потребе Војске Србије и Министарства одбране или за која се оспособљавање за обављање послова врши само у командама, јединицама или установама Војске Србије</w:t>
      </w:r>
      <w:r w:rsidRPr="00E20534">
        <w:rPr>
          <w:rFonts w:ascii="Times New Roman" w:eastAsia="Calibri" w:hAnsi="Times New Roman" w:cs="Times New Roman"/>
          <w:sz w:val="24"/>
          <w:szCs w:val="24"/>
        </w:rPr>
        <w:t>,</w:t>
      </w: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 организационим јединицама Министарства одбране. </w:t>
      </w:r>
    </w:p>
    <w:p w:rsidR="00E20534" w:rsidRPr="00E20534" w:rsidRDefault="00E20534" w:rsidP="00E20534">
      <w:pPr>
        <w:spacing w:after="0" w:line="240" w:lineRule="auto"/>
        <w:ind w:firstLine="720"/>
        <w:jc w:val="both"/>
        <w:rPr>
          <w:rFonts w:ascii="Arial" w:eastAsia="Calibri" w:hAnsi="Arial" w:cs="Arial"/>
          <w:sz w:val="31"/>
          <w:szCs w:val="24"/>
          <w:lang w:val="sr-Cyrl-CS" w:eastAsia="sr-Cyrl-CS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23.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сврху пријема цивилних лица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на службу у Војсци Србије без јавног конкурса код пријема на одређено време и на формацијска места одређена актом министра одбране,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надлежна организациона јединица Министарства одбране води евиденцију лица заинтересованих за заснивање радног односа у Министарству одбране и Војсци Србије, у складу са законом.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Члан 24.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Старешина команде, јединице или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руководилац организационе јединице Министарства одбране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у којој се врши пријем из члана 18. тачка 3) и члана 19. ове уредбе сачињава предлог за попуну формацијског места цивилног лица без јавног конкурса који мора да садржи: назив формацијског места, степен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lastRenderedPageBreak/>
        <w:t xml:space="preserve">стручног образовања, групу радног места и број бодова, као и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посебне услове прописане актом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унутрашњем уређењу и систематизацији формацијских места у Војсци Србије и</w:t>
      </w:r>
      <w:r w:rsidRPr="00E20534">
        <w:rPr>
          <w:rFonts w:ascii="Times New Roman" w:eastAsia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Министарству одбране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E20534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Одлуку о попуни формацијског места цивилног лица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без јавног конкурса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доноси министар одбране.</w:t>
      </w:r>
    </w:p>
    <w:p w:rsidR="00E20534" w:rsidRPr="00E20534" w:rsidRDefault="00E20534" w:rsidP="00E2053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 пријему одлуке из става 2. овог члана, надлежна организациона јединица Министарства одбране којој се доставља предлог из става 1. овог члана, саставља списак лица заинтересованих за заснивање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радног односа у Министарству одбране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Војсци Србије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према предлогу из става 1. овог члана и о томе сачињава службену белешку.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Списак лица из става 3.</w:t>
      </w:r>
      <w:r w:rsidRPr="00E20534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овог члана, доставља се команди, јединици или установи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односно организационој јединици Министарства одбране у којој се врши пријем цивилног лица без јавног конкурса ради избора лица за пријем.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25.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Надлежни старешина команде, јединице или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руководилац организационе јединице Министарства одбране у којој се врши пријем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, покреће поступак провере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општих и посебних услова за пријем на формацијско место које се попуњава, на начин што се лица са списка 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из члана 24. став 3. ове уредбе позивају да доставе на увид документа за пријем.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По утврђивању испуњености услова из става 1. овог члана, даљи поступак се реализује у обиму и на начин предвиђен</w:t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критеријумима за избор кандидата које утврђује министар одбране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Надлежни старешина команде, јединице или установе 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Војске Србије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односно руководилац организационе јединице Министарства одбране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у којој се врши пријем, предузима радње </w:t>
      </w:r>
      <w:r w:rsidRPr="00E20534">
        <w:rPr>
          <w:rFonts w:ascii="Times New Roman" w:eastAsia="Times New Roman" w:hAnsi="Times New Roman" w:cs="Times New Roman"/>
          <w:sz w:val="24"/>
          <w:szCs w:val="24"/>
          <w:lang w:eastAsia="sr-Cyrl-CS"/>
        </w:rPr>
        <w:t>на начин прописан</w:t>
      </w:r>
      <w:r w:rsidRPr="00E20534">
        <w:rPr>
          <w:rFonts w:ascii="Times New Roman" w:eastAsia="Times New Roman" w:hAnsi="Times New Roman" w:cs="Times New Roman"/>
          <w:color w:val="FF0000"/>
          <w:sz w:val="24"/>
          <w:szCs w:val="24"/>
          <w:lang w:eastAsia="sr-Cyrl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чланом 15. ст. 1 </w:t>
      </w:r>
      <w:r w:rsidRPr="00E20534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sr-Cyrl-CS"/>
        </w:rPr>
        <w:t>–</w:t>
      </w:r>
      <w:r w:rsidRPr="00E2053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4.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ове уредбе, након чега доставља надлежној организационој јединици Министарства одбране предлог лица за пријем са образложењем и записник о спроведеном поступку ради припреме решења о пријему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цивилног лица на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служб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у Војсци Србије без јавног конкурса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26.</w:t>
      </w:r>
    </w:p>
    <w:p w:rsidR="00E20534" w:rsidRPr="00E20534" w:rsidRDefault="00E20534" w:rsidP="00E20534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E205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Решење о пријему цивилног лица на служби у Војсци Србије без јавног конкурса доноси министар одбране или лице које он овласти,</w:t>
      </w:r>
      <w:r w:rsidRPr="00E20534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складу са законом.</w:t>
      </w:r>
    </w:p>
    <w:p w:rsidR="00E20534" w:rsidRPr="00E20534" w:rsidRDefault="00E20534" w:rsidP="00E20534">
      <w:pPr>
        <w:tabs>
          <w:tab w:val="left" w:pos="1418"/>
        </w:tabs>
        <w:spacing w:before="107" w:after="107" w:line="15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before="107" w:after="107" w:line="150" w:lineRule="atLeast"/>
        <w:ind w:firstLine="34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IV. ПРЕЛАЗНЕ И ЗАВРШНЕ ОДРЕДБЕ</w:t>
      </w:r>
    </w:p>
    <w:p w:rsidR="00E20534" w:rsidRPr="00E20534" w:rsidRDefault="00E20534" w:rsidP="00E20534">
      <w:pPr>
        <w:tabs>
          <w:tab w:val="left" w:pos="1418"/>
        </w:tabs>
        <w:spacing w:before="107" w:after="107" w:line="150" w:lineRule="atLeast"/>
        <w:ind w:firstLine="34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27.</w:t>
      </w: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Поступци пријема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цивилних лица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на службу у Војсци Србије који су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започети, а нису окончани до дана ступања на снагу ове уредбе завршиће се по одредбама ове уредбе.</w:t>
      </w:r>
      <w:r w:rsidRPr="00E20534"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0534" w:rsidRPr="00E20534" w:rsidRDefault="00E20534" w:rsidP="00E20534">
      <w:pPr>
        <w:tabs>
          <w:tab w:val="left" w:pos="1418"/>
        </w:tabs>
        <w:spacing w:after="0" w:line="150" w:lineRule="atLeast"/>
        <w:jc w:val="center"/>
        <w:rPr>
          <w:rFonts w:ascii="Times New Roman" w:eastAsia="Times New Roman" w:hAnsi="Times New Roman" w:cs="Times New Roman"/>
          <w:bCs/>
          <w:strike/>
          <w:color w:val="000000"/>
          <w:sz w:val="24"/>
          <w:szCs w:val="24"/>
          <w:lang w:val="sr-Cyrl-CS"/>
        </w:rPr>
      </w:pPr>
      <w:r w:rsidRPr="00E205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28.</w:t>
      </w: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534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Србије”</w:t>
      </w:r>
      <w:r w:rsidRPr="00E205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E205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05 Број: </w:t>
      </w:r>
      <w:r w:rsidRPr="00E2053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110</w:t>
      </w:r>
      <w:r w:rsidRPr="00E2053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2053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12675</w:t>
      </w:r>
      <w:r w:rsidRPr="00E20534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E2053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27. децембра 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2018. </w:t>
      </w:r>
      <w:r w:rsidRPr="00E20534">
        <w:rPr>
          <w:rFonts w:ascii="Times New Roman" w:eastAsia="Times New Roman" w:hAnsi="Times New Roman" w:cs="Times New Roman"/>
          <w:sz w:val="24"/>
          <w:szCs w:val="24"/>
        </w:rPr>
        <w:t>године</w:t>
      </w: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534" w:rsidRPr="00E20534" w:rsidRDefault="00E20534" w:rsidP="00E205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534" w:rsidRPr="00E20534" w:rsidRDefault="00E20534" w:rsidP="00E20534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</w:pP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В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Л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А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Д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E20534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А</w:t>
      </w:r>
    </w:p>
    <w:p w:rsidR="00E20534" w:rsidRPr="00E20534" w:rsidRDefault="00E20534" w:rsidP="00E20534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0"/>
          <w:szCs w:val="24"/>
          <w:lang w:val="sr-Cyrl-CS" w:eastAsia="sr-Latn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E20534" w:rsidRPr="00E20534" w:rsidTr="009763FA">
        <w:tc>
          <w:tcPr>
            <w:tcW w:w="4360" w:type="dxa"/>
          </w:tcPr>
          <w:p w:rsidR="00E20534" w:rsidRPr="00E20534" w:rsidRDefault="00E20534" w:rsidP="00E205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E20534" w:rsidRPr="00E20534" w:rsidRDefault="00E20534" w:rsidP="00E205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20534" w:rsidRPr="00E20534" w:rsidRDefault="00E20534" w:rsidP="00E205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05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ПРЕДСЕДНИК</w:t>
            </w:r>
          </w:p>
          <w:p w:rsidR="00E20534" w:rsidRPr="00E20534" w:rsidRDefault="00E20534" w:rsidP="00E2053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20534" w:rsidRPr="00E20534" w:rsidRDefault="00E20534" w:rsidP="00E2053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20534" w:rsidRPr="00E20534" w:rsidRDefault="00E20534" w:rsidP="00E20534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05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 Брнабић</w:t>
            </w:r>
          </w:p>
        </w:tc>
      </w:tr>
    </w:tbl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20534" w:rsidRPr="00E20534" w:rsidRDefault="00E20534" w:rsidP="00E20534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703234" w:rsidRDefault="00E20534" w:rsidP="00E20534"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begin"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instrText xml:space="preserve"> FILENAME </w:instrTex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separate"/>
      </w:r>
      <w:r w:rsidRPr="00E2053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4100318.051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end"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begin"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instrText xml:space="preserve"> SECTION  \# "0" \* Arabic  \* MERGEFORMAT </w:instrTex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separate"/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t>51</w:t>
      </w:r>
      <w:r w:rsidRPr="00E20534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end"/>
      </w:r>
    </w:p>
    <w:sectPr w:rsidR="0070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621A4"/>
    <w:multiLevelType w:val="hybridMultilevel"/>
    <w:tmpl w:val="D766E7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34"/>
    <w:rsid w:val="00703234"/>
    <w:rsid w:val="009C75C1"/>
    <w:rsid w:val="00E2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D7DA47-BFC4-4C74-A9F0-D4919D9E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Ostojic</dc:creator>
  <cp:keywords/>
  <dc:description/>
  <cp:lastModifiedBy>Bojan Grgic</cp:lastModifiedBy>
  <cp:revision>2</cp:revision>
  <dcterms:created xsi:type="dcterms:W3CDTF">2019-01-10T14:01:00Z</dcterms:created>
  <dcterms:modified xsi:type="dcterms:W3CDTF">2019-01-10T14:01:00Z</dcterms:modified>
</cp:coreProperties>
</file>