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26466" w14:textId="0C047378" w:rsidR="006B5A27" w:rsidRPr="00B27245" w:rsidRDefault="006B5A27" w:rsidP="00C8532A">
      <w:pPr>
        <w:pStyle w:val="Title"/>
        <w:ind w:firstLine="720"/>
        <w:jc w:val="center"/>
        <w:rPr>
          <w:rFonts w:ascii="Times New Roman" w:eastAsiaTheme="minorHAnsi" w:hAnsi="Times New Roman" w:cs="Times New Roman"/>
          <w:b/>
          <w:spacing w:val="0"/>
          <w:kern w:val="0"/>
          <w:sz w:val="24"/>
          <w:szCs w:val="24"/>
          <w:lang w:val="sr-Cyrl-CS"/>
        </w:rPr>
      </w:pPr>
    </w:p>
    <w:p w14:paraId="7D6CF649" w14:textId="0E195B7B" w:rsidR="003318EF" w:rsidRPr="00B27245" w:rsidRDefault="00D92668" w:rsidP="00200C70">
      <w:pPr>
        <w:pStyle w:val="Title"/>
        <w:ind w:firstLine="720"/>
        <w:jc w:val="both"/>
        <w:rPr>
          <w:rFonts w:ascii="Times New Roman" w:eastAsiaTheme="minorHAnsi" w:hAnsi="Times New Roman" w:cs="Times New Roman"/>
          <w:spacing w:val="0"/>
          <w:kern w:val="0"/>
          <w:sz w:val="24"/>
          <w:szCs w:val="24"/>
          <w:lang w:val="sr-Cyrl-CS"/>
        </w:rPr>
      </w:pPr>
      <w:r w:rsidRPr="00B27245">
        <w:rPr>
          <w:rFonts w:ascii="Times New Roman" w:eastAsiaTheme="minorHAnsi" w:hAnsi="Times New Roman" w:cs="Times New Roman"/>
          <w:spacing w:val="0"/>
          <w:kern w:val="0"/>
          <w:sz w:val="24"/>
          <w:szCs w:val="24"/>
          <w:lang w:val="sr-Cyrl-CS"/>
        </w:rPr>
        <w:t xml:space="preserve">На основу члана </w:t>
      </w:r>
      <w:r w:rsidR="003318EF" w:rsidRPr="00B27245">
        <w:rPr>
          <w:rFonts w:ascii="Times New Roman" w:eastAsiaTheme="minorHAnsi" w:hAnsi="Times New Roman" w:cs="Times New Roman"/>
          <w:spacing w:val="0"/>
          <w:kern w:val="0"/>
          <w:sz w:val="24"/>
          <w:szCs w:val="24"/>
          <w:lang w:val="sr-Cyrl-CS"/>
        </w:rPr>
        <w:t>38. став 1. Закона о планском систему Републике Србије (</w:t>
      </w:r>
      <w:r w:rsidR="00200C70" w:rsidRPr="00B27245">
        <w:rPr>
          <w:rFonts w:ascii="Times New Roman" w:eastAsiaTheme="minorHAnsi" w:hAnsi="Times New Roman" w:cs="Times New Roman"/>
          <w:spacing w:val="0"/>
          <w:kern w:val="0"/>
          <w:sz w:val="24"/>
          <w:szCs w:val="24"/>
          <w:lang w:val="sr-Cyrl-CS"/>
        </w:rPr>
        <w:t>„Службени гласник РС”, број 30/</w:t>
      </w:r>
      <w:r w:rsidR="003318EF" w:rsidRPr="00B27245">
        <w:rPr>
          <w:rFonts w:ascii="Times New Roman" w:eastAsiaTheme="minorHAnsi" w:hAnsi="Times New Roman" w:cs="Times New Roman"/>
          <w:spacing w:val="0"/>
          <w:kern w:val="0"/>
          <w:sz w:val="24"/>
          <w:szCs w:val="24"/>
          <w:lang w:val="sr-Cyrl-CS"/>
        </w:rPr>
        <w:t>18)</w:t>
      </w:r>
      <w:r w:rsidR="007E1B48">
        <w:rPr>
          <w:rFonts w:ascii="Times New Roman" w:eastAsiaTheme="minorHAnsi" w:hAnsi="Times New Roman" w:cs="Times New Roman"/>
          <w:spacing w:val="0"/>
          <w:kern w:val="0"/>
          <w:sz w:val="24"/>
          <w:szCs w:val="24"/>
          <w:lang w:val="sr-Cyrl-CS"/>
        </w:rPr>
        <w:t>,</w:t>
      </w:r>
    </w:p>
    <w:p w14:paraId="31E8330E" w14:textId="4DABA195" w:rsidR="00200C70" w:rsidRPr="00B27245" w:rsidRDefault="00200C70" w:rsidP="00200C70">
      <w:pPr>
        <w:pStyle w:val="Title"/>
        <w:ind w:firstLine="720"/>
        <w:rPr>
          <w:rFonts w:ascii="Times New Roman" w:eastAsiaTheme="minorHAnsi" w:hAnsi="Times New Roman" w:cs="Times New Roman"/>
          <w:spacing w:val="0"/>
          <w:kern w:val="0"/>
          <w:sz w:val="24"/>
          <w:szCs w:val="24"/>
          <w:lang w:val="sr-Cyrl-CS"/>
        </w:rPr>
      </w:pPr>
      <w:r w:rsidRPr="00B27245">
        <w:rPr>
          <w:rFonts w:ascii="Times New Roman" w:eastAsiaTheme="minorHAnsi" w:hAnsi="Times New Roman" w:cs="Times New Roman"/>
          <w:spacing w:val="0"/>
          <w:kern w:val="0"/>
          <w:sz w:val="24"/>
          <w:szCs w:val="24"/>
          <w:lang w:val="sr-Cyrl-CS"/>
        </w:rPr>
        <w:t>Влада доноси</w:t>
      </w:r>
    </w:p>
    <w:p w14:paraId="2771B2B0" w14:textId="108C5941" w:rsidR="00D75761" w:rsidRPr="00B27245" w:rsidRDefault="00D75761" w:rsidP="00264A74">
      <w:pPr>
        <w:pStyle w:val="Title"/>
        <w:rPr>
          <w:rFonts w:ascii="Times New Roman" w:eastAsiaTheme="minorHAnsi" w:hAnsi="Times New Roman" w:cs="Times New Roman"/>
          <w:spacing w:val="0"/>
          <w:kern w:val="0"/>
          <w:sz w:val="24"/>
          <w:szCs w:val="24"/>
          <w:lang w:val="sr-Cyrl-CS"/>
        </w:rPr>
      </w:pPr>
    </w:p>
    <w:p w14:paraId="70B07CAE" w14:textId="7B48D3C9" w:rsidR="00200C70" w:rsidRPr="00B27245" w:rsidRDefault="00D92668" w:rsidP="001D7B3D">
      <w:pPr>
        <w:pStyle w:val="Title"/>
        <w:jc w:val="center"/>
        <w:rPr>
          <w:rFonts w:ascii="Times New Roman" w:eastAsiaTheme="minorHAnsi" w:hAnsi="Times New Roman" w:cs="Times New Roman"/>
          <w:spacing w:val="0"/>
          <w:kern w:val="0"/>
          <w:sz w:val="24"/>
          <w:szCs w:val="24"/>
          <w:lang w:val="sr-Cyrl-CS"/>
        </w:rPr>
      </w:pPr>
      <w:r w:rsidRPr="00B27245">
        <w:rPr>
          <w:rFonts w:ascii="Times New Roman" w:eastAsiaTheme="minorHAnsi" w:hAnsi="Times New Roman" w:cs="Times New Roman"/>
          <w:spacing w:val="0"/>
          <w:kern w:val="0"/>
          <w:sz w:val="24"/>
          <w:szCs w:val="24"/>
          <w:lang w:val="sr-Cyrl-CS"/>
        </w:rPr>
        <w:t>П</w:t>
      </w:r>
      <w:r w:rsidR="00200C70" w:rsidRPr="00B27245">
        <w:rPr>
          <w:rFonts w:ascii="Times New Roman" w:eastAsiaTheme="minorHAnsi" w:hAnsi="Times New Roman" w:cs="Times New Roman"/>
          <w:spacing w:val="0"/>
          <w:kern w:val="0"/>
          <w:sz w:val="24"/>
          <w:szCs w:val="24"/>
          <w:lang w:val="sr-Cyrl-CS"/>
        </w:rPr>
        <w:t xml:space="preserve"> </w:t>
      </w:r>
      <w:r w:rsidRPr="00B27245">
        <w:rPr>
          <w:rFonts w:ascii="Times New Roman" w:eastAsiaTheme="minorHAnsi" w:hAnsi="Times New Roman" w:cs="Times New Roman"/>
          <w:spacing w:val="0"/>
          <w:kern w:val="0"/>
          <w:sz w:val="24"/>
          <w:szCs w:val="24"/>
          <w:lang w:val="sr-Cyrl-CS"/>
        </w:rPr>
        <w:t>Р</w:t>
      </w:r>
      <w:r w:rsidR="00200C70" w:rsidRPr="00B27245">
        <w:rPr>
          <w:rFonts w:ascii="Times New Roman" w:eastAsiaTheme="minorHAnsi" w:hAnsi="Times New Roman" w:cs="Times New Roman"/>
          <w:spacing w:val="0"/>
          <w:kern w:val="0"/>
          <w:sz w:val="24"/>
          <w:szCs w:val="24"/>
          <w:lang w:val="sr-Cyrl-CS"/>
        </w:rPr>
        <w:t xml:space="preserve"> </w:t>
      </w:r>
      <w:r w:rsidRPr="00B27245">
        <w:rPr>
          <w:rFonts w:ascii="Times New Roman" w:eastAsiaTheme="minorHAnsi" w:hAnsi="Times New Roman" w:cs="Times New Roman"/>
          <w:spacing w:val="0"/>
          <w:kern w:val="0"/>
          <w:sz w:val="24"/>
          <w:szCs w:val="24"/>
          <w:lang w:val="sr-Cyrl-CS"/>
        </w:rPr>
        <w:t>О</w:t>
      </w:r>
      <w:r w:rsidR="00200C70" w:rsidRPr="00B27245">
        <w:rPr>
          <w:rFonts w:ascii="Times New Roman" w:eastAsiaTheme="minorHAnsi" w:hAnsi="Times New Roman" w:cs="Times New Roman"/>
          <w:spacing w:val="0"/>
          <w:kern w:val="0"/>
          <w:sz w:val="24"/>
          <w:szCs w:val="24"/>
          <w:lang w:val="sr-Cyrl-CS"/>
        </w:rPr>
        <w:t xml:space="preserve"> </w:t>
      </w:r>
      <w:r w:rsidRPr="00B27245">
        <w:rPr>
          <w:rFonts w:ascii="Times New Roman" w:eastAsiaTheme="minorHAnsi" w:hAnsi="Times New Roman" w:cs="Times New Roman"/>
          <w:spacing w:val="0"/>
          <w:kern w:val="0"/>
          <w:sz w:val="24"/>
          <w:szCs w:val="24"/>
          <w:lang w:val="sr-Cyrl-CS"/>
        </w:rPr>
        <w:t>Г</w:t>
      </w:r>
      <w:r w:rsidR="00200C70" w:rsidRPr="00B27245">
        <w:rPr>
          <w:rFonts w:ascii="Times New Roman" w:eastAsiaTheme="minorHAnsi" w:hAnsi="Times New Roman" w:cs="Times New Roman"/>
          <w:spacing w:val="0"/>
          <w:kern w:val="0"/>
          <w:sz w:val="24"/>
          <w:szCs w:val="24"/>
          <w:lang w:val="sr-Cyrl-CS"/>
        </w:rPr>
        <w:t xml:space="preserve"> </w:t>
      </w:r>
      <w:r w:rsidRPr="00B27245">
        <w:rPr>
          <w:rFonts w:ascii="Times New Roman" w:eastAsiaTheme="minorHAnsi" w:hAnsi="Times New Roman" w:cs="Times New Roman"/>
          <w:spacing w:val="0"/>
          <w:kern w:val="0"/>
          <w:sz w:val="24"/>
          <w:szCs w:val="24"/>
          <w:lang w:val="sr-Cyrl-CS"/>
        </w:rPr>
        <w:t>Р</w:t>
      </w:r>
      <w:r w:rsidR="00200C70" w:rsidRPr="00B27245">
        <w:rPr>
          <w:rFonts w:ascii="Times New Roman" w:eastAsiaTheme="minorHAnsi" w:hAnsi="Times New Roman" w:cs="Times New Roman"/>
          <w:spacing w:val="0"/>
          <w:kern w:val="0"/>
          <w:sz w:val="24"/>
          <w:szCs w:val="24"/>
          <w:lang w:val="sr-Cyrl-CS"/>
        </w:rPr>
        <w:t xml:space="preserve"> </w:t>
      </w:r>
      <w:r w:rsidRPr="00B27245">
        <w:rPr>
          <w:rFonts w:ascii="Times New Roman" w:eastAsiaTheme="minorHAnsi" w:hAnsi="Times New Roman" w:cs="Times New Roman"/>
          <w:spacing w:val="0"/>
          <w:kern w:val="0"/>
          <w:sz w:val="24"/>
          <w:szCs w:val="24"/>
          <w:lang w:val="sr-Cyrl-CS"/>
        </w:rPr>
        <w:t>А</w:t>
      </w:r>
      <w:r w:rsidR="00200C70" w:rsidRPr="00B27245">
        <w:rPr>
          <w:rFonts w:ascii="Times New Roman" w:eastAsiaTheme="minorHAnsi" w:hAnsi="Times New Roman" w:cs="Times New Roman"/>
          <w:spacing w:val="0"/>
          <w:kern w:val="0"/>
          <w:sz w:val="24"/>
          <w:szCs w:val="24"/>
          <w:lang w:val="sr-Cyrl-CS"/>
        </w:rPr>
        <w:t xml:space="preserve"> </w:t>
      </w:r>
      <w:r w:rsidRPr="00B27245">
        <w:rPr>
          <w:rFonts w:ascii="Times New Roman" w:eastAsiaTheme="minorHAnsi" w:hAnsi="Times New Roman" w:cs="Times New Roman"/>
          <w:spacing w:val="0"/>
          <w:kern w:val="0"/>
          <w:sz w:val="24"/>
          <w:szCs w:val="24"/>
          <w:lang w:val="sr-Cyrl-CS"/>
        </w:rPr>
        <w:t>М</w:t>
      </w:r>
    </w:p>
    <w:p w14:paraId="33F1BB82" w14:textId="77777777" w:rsidR="001D7B3D" w:rsidRPr="00B27245" w:rsidRDefault="001D7B3D" w:rsidP="001D7B3D">
      <w:pPr>
        <w:spacing w:after="0"/>
        <w:rPr>
          <w:lang w:val="sr-Cyrl-CS"/>
        </w:rPr>
      </w:pPr>
    </w:p>
    <w:p w14:paraId="01559D8E" w14:textId="0BA2B365" w:rsidR="00D75761" w:rsidRPr="00B27245" w:rsidRDefault="00D75761" w:rsidP="001D7B3D">
      <w:pPr>
        <w:pStyle w:val="Title"/>
        <w:ind w:firstLine="720"/>
        <w:jc w:val="center"/>
        <w:rPr>
          <w:rFonts w:ascii="Times New Roman" w:eastAsiaTheme="minorHAnsi" w:hAnsi="Times New Roman" w:cs="Times New Roman"/>
          <w:spacing w:val="0"/>
          <w:kern w:val="0"/>
          <w:sz w:val="24"/>
          <w:szCs w:val="24"/>
          <w:lang w:val="sr-Cyrl-CS"/>
        </w:rPr>
      </w:pPr>
      <w:r w:rsidRPr="00B27245">
        <w:rPr>
          <w:rFonts w:ascii="Times New Roman" w:eastAsiaTheme="minorHAnsi" w:hAnsi="Times New Roman" w:cs="Times New Roman"/>
          <w:spacing w:val="0"/>
          <w:kern w:val="0"/>
          <w:sz w:val="24"/>
          <w:szCs w:val="24"/>
          <w:lang w:val="sr-Cyrl-CS"/>
        </w:rPr>
        <w:t>ЗА РЕШАВАЊЕ ПРОБЛЕМАТИЧНИХ КРЕДИТА</w:t>
      </w:r>
      <w:r w:rsidR="00D92668" w:rsidRPr="00B27245">
        <w:rPr>
          <w:rFonts w:ascii="Times New Roman" w:eastAsiaTheme="minorHAnsi" w:hAnsi="Times New Roman" w:cs="Times New Roman"/>
          <w:spacing w:val="0"/>
          <w:kern w:val="0"/>
          <w:sz w:val="24"/>
          <w:szCs w:val="24"/>
          <w:lang w:val="sr-Cyrl-CS"/>
        </w:rPr>
        <w:t xml:space="preserve"> ЗА </w:t>
      </w:r>
      <w:r w:rsidR="00264A74" w:rsidRPr="00B27245">
        <w:rPr>
          <w:rFonts w:ascii="Times New Roman" w:eastAsiaTheme="minorHAnsi" w:hAnsi="Times New Roman" w:cs="Times New Roman"/>
          <w:spacing w:val="0"/>
          <w:kern w:val="0"/>
          <w:sz w:val="24"/>
          <w:szCs w:val="24"/>
          <w:lang w:val="sr-Cyrl-CS"/>
        </w:rPr>
        <w:t>ПЕРИОД</w:t>
      </w:r>
      <w:r w:rsidR="00D92668" w:rsidRPr="00B27245">
        <w:rPr>
          <w:rFonts w:ascii="Times New Roman" w:eastAsiaTheme="minorHAnsi" w:hAnsi="Times New Roman" w:cs="Times New Roman"/>
          <w:spacing w:val="0"/>
          <w:kern w:val="0"/>
          <w:sz w:val="24"/>
          <w:szCs w:val="24"/>
          <w:lang w:val="sr-Cyrl-CS"/>
        </w:rPr>
        <w:t xml:space="preserve"> 2018-2020. ГОДИНЕ</w:t>
      </w:r>
    </w:p>
    <w:p w14:paraId="7BC8D3B9" w14:textId="77777777" w:rsidR="001D7B3D" w:rsidRPr="00B27245" w:rsidRDefault="001D7B3D" w:rsidP="001D7B3D">
      <w:pPr>
        <w:rPr>
          <w:lang w:val="sr-Cyrl-CS"/>
        </w:rPr>
      </w:pPr>
    </w:p>
    <w:p w14:paraId="781E7015" w14:textId="211FF8C8" w:rsidR="003318EF" w:rsidRPr="00B27245" w:rsidRDefault="003318EF" w:rsidP="001D7B3D">
      <w:pPr>
        <w:spacing w:after="0"/>
        <w:rPr>
          <w:lang w:val="sr-Cyrl-CS"/>
        </w:rPr>
      </w:pPr>
    </w:p>
    <w:p w14:paraId="6693E26E" w14:textId="13769A77" w:rsidR="005E528F" w:rsidRPr="00B27245" w:rsidRDefault="005E528F" w:rsidP="001D7B3D">
      <w:pPr>
        <w:pStyle w:val="Heading1"/>
        <w:spacing w:before="0"/>
        <w:jc w:val="center"/>
        <w:rPr>
          <w:rFonts w:ascii="Times New Roman" w:eastAsiaTheme="minorHAnsi" w:hAnsi="Times New Roman" w:cs="Times New Roman"/>
          <w:b/>
          <w:color w:val="auto"/>
          <w:sz w:val="24"/>
          <w:szCs w:val="24"/>
          <w:lang w:val="sr-Cyrl-CS"/>
        </w:rPr>
      </w:pPr>
      <w:r w:rsidRPr="00B27245">
        <w:rPr>
          <w:rFonts w:ascii="Times New Roman" w:eastAsiaTheme="minorHAnsi" w:hAnsi="Times New Roman" w:cs="Times New Roman"/>
          <w:b/>
          <w:color w:val="auto"/>
          <w:sz w:val="24"/>
          <w:szCs w:val="24"/>
          <w:lang w:val="sr-Cyrl-CS"/>
        </w:rPr>
        <w:t>У</w:t>
      </w:r>
      <w:r w:rsidR="00264A74" w:rsidRPr="00B27245">
        <w:rPr>
          <w:rFonts w:ascii="Times New Roman" w:eastAsiaTheme="minorHAnsi" w:hAnsi="Times New Roman" w:cs="Times New Roman"/>
          <w:b/>
          <w:color w:val="auto"/>
          <w:sz w:val="24"/>
          <w:szCs w:val="24"/>
          <w:lang w:val="sr-Cyrl-CS"/>
        </w:rPr>
        <w:t xml:space="preserve"> </w:t>
      </w:r>
      <w:r w:rsidRPr="00B27245">
        <w:rPr>
          <w:rFonts w:ascii="Times New Roman" w:eastAsiaTheme="minorHAnsi" w:hAnsi="Times New Roman" w:cs="Times New Roman"/>
          <w:b/>
          <w:color w:val="auto"/>
          <w:sz w:val="24"/>
          <w:szCs w:val="24"/>
          <w:lang w:val="sr-Cyrl-CS"/>
        </w:rPr>
        <w:t>В</w:t>
      </w:r>
      <w:r w:rsidR="00264A74" w:rsidRPr="00B27245">
        <w:rPr>
          <w:rFonts w:ascii="Times New Roman" w:eastAsiaTheme="minorHAnsi" w:hAnsi="Times New Roman" w:cs="Times New Roman"/>
          <w:b/>
          <w:color w:val="auto"/>
          <w:sz w:val="24"/>
          <w:szCs w:val="24"/>
          <w:lang w:val="sr-Cyrl-CS"/>
        </w:rPr>
        <w:t xml:space="preserve"> </w:t>
      </w:r>
      <w:r w:rsidRPr="00B27245">
        <w:rPr>
          <w:rFonts w:ascii="Times New Roman" w:eastAsiaTheme="minorHAnsi" w:hAnsi="Times New Roman" w:cs="Times New Roman"/>
          <w:b/>
          <w:color w:val="auto"/>
          <w:sz w:val="24"/>
          <w:szCs w:val="24"/>
          <w:lang w:val="sr-Cyrl-CS"/>
        </w:rPr>
        <w:t>О</w:t>
      </w:r>
      <w:r w:rsidR="00264A74" w:rsidRPr="00B27245">
        <w:rPr>
          <w:rFonts w:ascii="Times New Roman" w:eastAsiaTheme="minorHAnsi" w:hAnsi="Times New Roman" w:cs="Times New Roman"/>
          <w:b/>
          <w:color w:val="auto"/>
          <w:sz w:val="24"/>
          <w:szCs w:val="24"/>
          <w:lang w:val="sr-Cyrl-CS"/>
        </w:rPr>
        <w:t xml:space="preserve"> </w:t>
      </w:r>
      <w:r w:rsidRPr="00B27245">
        <w:rPr>
          <w:rFonts w:ascii="Times New Roman" w:eastAsiaTheme="minorHAnsi" w:hAnsi="Times New Roman" w:cs="Times New Roman"/>
          <w:b/>
          <w:color w:val="auto"/>
          <w:sz w:val="24"/>
          <w:szCs w:val="24"/>
          <w:lang w:val="sr-Cyrl-CS"/>
        </w:rPr>
        <w:t>Д</w:t>
      </w:r>
    </w:p>
    <w:p w14:paraId="52628D3F" w14:textId="77777777" w:rsidR="00A47864" w:rsidRPr="00B27245" w:rsidRDefault="00A47864" w:rsidP="001D7B3D">
      <w:pPr>
        <w:spacing w:after="0"/>
        <w:jc w:val="both"/>
        <w:rPr>
          <w:rFonts w:ascii="Times New Roman" w:hAnsi="Times New Roman" w:cs="Times New Roman"/>
          <w:sz w:val="24"/>
          <w:szCs w:val="24"/>
          <w:lang w:val="sr-Cyrl-CS"/>
        </w:rPr>
      </w:pPr>
    </w:p>
    <w:p w14:paraId="29D18A52" w14:textId="58570233" w:rsidR="005E528F" w:rsidRPr="00B27245" w:rsidRDefault="00F00EE4" w:rsidP="001D7B3D">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С обзиром да су проблематични кредити постали потенцијални извор системског ризика државни органи Републике Србије (Влада и Народна банка Србије) израдили су свеобухватну Стратегију за решавање проблематичних кредита</w:t>
      </w:r>
      <w:r w:rsidR="00200C70" w:rsidRPr="00B27245">
        <w:rPr>
          <w:rFonts w:ascii="Times New Roman" w:hAnsi="Times New Roman" w:cs="Times New Roman"/>
          <w:sz w:val="24"/>
          <w:szCs w:val="24"/>
          <w:lang w:val="sr-Cyrl-CS"/>
        </w:rPr>
        <w:t xml:space="preserve"> (у даљем тексту: Стратегија) </w:t>
      </w:r>
      <w:r w:rsidRPr="00B27245">
        <w:rPr>
          <w:rFonts w:ascii="Times New Roman" w:hAnsi="Times New Roman" w:cs="Times New Roman"/>
          <w:sz w:val="24"/>
          <w:szCs w:val="24"/>
          <w:lang w:val="sr-Cyrl-CS"/>
        </w:rPr>
        <w:t xml:space="preserve"> уз укључивање свих надлежних институција. Спровођење комплексне Стратегије захтевало је међу</w:t>
      </w:r>
      <w:r w:rsidR="004A1112" w:rsidRPr="00B27245">
        <w:rPr>
          <w:rFonts w:ascii="Times New Roman" w:hAnsi="Times New Roman"/>
          <w:sz w:val="24"/>
          <w:lang w:val="sr-Cyrl-CS"/>
        </w:rPr>
        <w:t xml:space="preserve"> </w:t>
      </w:r>
      <w:r w:rsidRPr="00B27245">
        <w:rPr>
          <w:rFonts w:ascii="Times New Roman" w:hAnsi="Times New Roman" w:cs="Times New Roman"/>
          <w:sz w:val="24"/>
          <w:szCs w:val="24"/>
          <w:lang w:val="sr-Cyrl-CS"/>
        </w:rPr>
        <w:t xml:space="preserve">институционалну координацију, због чега су израђена два акциона плана - Народне банке Србије (у даљем тексту: НБС) и Владе. Радна група коју чине представници свих релевантних институција формирана по Одлуци Владе </w:t>
      </w:r>
      <w:r w:rsidR="001D7B3D" w:rsidRPr="00B27245">
        <w:rPr>
          <w:rFonts w:ascii="Times New Roman" w:hAnsi="Times New Roman" w:cs="Times New Roman"/>
          <w:sz w:val="24"/>
          <w:szCs w:val="24"/>
          <w:lang w:val="sr-Cyrl-CS"/>
        </w:rPr>
        <w:t xml:space="preserve">05 </w:t>
      </w:r>
      <w:r w:rsidRPr="00B27245">
        <w:rPr>
          <w:rFonts w:ascii="Times New Roman" w:hAnsi="Times New Roman" w:cs="Times New Roman"/>
          <w:sz w:val="24"/>
          <w:szCs w:val="24"/>
          <w:lang w:val="sr-Cyrl-CS"/>
        </w:rPr>
        <w:t>Број: 02</w:t>
      </w:r>
      <w:r w:rsidR="001D7B3D" w:rsidRPr="00B27245">
        <w:rPr>
          <w:rFonts w:ascii="Times New Roman" w:hAnsi="Times New Roman" w:cs="Times New Roman"/>
          <w:sz w:val="24"/>
          <w:szCs w:val="24"/>
          <w:lang w:val="sr-Cyrl-CS"/>
        </w:rPr>
        <w:t>-</w:t>
      </w:r>
      <w:r w:rsidRPr="00B27245">
        <w:rPr>
          <w:rFonts w:ascii="Times New Roman" w:hAnsi="Times New Roman" w:cs="Times New Roman"/>
          <w:sz w:val="24"/>
          <w:szCs w:val="24"/>
          <w:lang w:val="sr-Cyrl-CS"/>
        </w:rPr>
        <w:t>5145/2015-1 од 11. маја 2015. године врши надзор над спровођењем Стратегије и утврђује проблеме које током спровођења треба решавати.</w:t>
      </w:r>
      <w:r w:rsidR="00DF6C5E" w:rsidRPr="00B27245">
        <w:rPr>
          <w:rStyle w:val="FootnoteReference"/>
          <w:rFonts w:ascii="Times New Roman" w:hAnsi="Times New Roman" w:cs="Times New Roman"/>
          <w:sz w:val="24"/>
          <w:szCs w:val="24"/>
          <w:lang w:val="sr-Cyrl-CS"/>
        </w:rPr>
        <w:footnoteReference w:id="2"/>
      </w:r>
    </w:p>
    <w:p w14:paraId="66B43CDC" w14:textId="6A130CE2" w:rsidR="00DF6C5E" w:rsidRPr="00B27245" w:rsidRDefault="00D92668" w:rsidP="00264A74">
      <w:pPr>
        <w:spacing w:after="0" w:line="276" w:lineRule="auto"/>
        <w:ind w:left="-15" w:right="108" w:firstLine="735"/>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Сам</w:t>
      </w:r>
      <w:r w:rsidR="00DF4C69" w:rsidRPr="00B27245">
        <w:rPr>
          <w:rFonts w:ascii="Times New Roman" w:hAnsi="Times New Roman" w:cs="Times New Roman"/>
          <w:sz w:val="24"/>
          <w:szCs w:val="24"/>
          <w:lang w:val="sr-Cyrl-CS"/>
        </w:rPr>
        <w:t>а</w:t>
      </w:r>
      <w:r w:rsidRPr="00B27245">
        <w:rPr>
          <w:rFonts w:ascii="Times New Roman" w:hAnsi="Times New Roman" w:cs="Times New Roman"/>
          <w:sz w:val="24"/>
          <w:szCs w:val="24"/>
          <w:lang w:val="sr-Cyrl-CS"/>
        </w:rPr>
        <w:t xml:space="preserve"> </w:t>
      </w:r>
      <w:r w:rsidR="00DF4C69" w:rsidRPr="00B27245">
        <w:rPr>
          <w:rFonts w:ascii="Times New Roman" w:hAnsi="Times New Roman" w:cs="Times New Roman"/>
          <w:sz w:val="24"/>
          <w:szCs w:val="24"/>
          <w:lang w:val="sr-Cyrl-CS"/>
        </w:rPr>
        <w:t>Стратегија</w:t>
      </w:r>
      <w:r w:rsidR="00DF6C5E" w:rsidRPr="00B27245">
        <w:rPr>
          <w:rFonts w:ascii="Times New Roman" w:hAnsi="Times New Roman" w:cs="Times New Roman"/>
          <w:sz w:val="24"/>
          <w:szCs w:val="24"/>
          <w:lang w:val="sr-Cyrl-CS"/>
        </w:rPr>
        <w:t xml:space="preserve"> представљала је трогодишњи континуирани процес и подразумевала је: утврђивање регулаторних, пореских, институционалних и других препрека за решавање проблематичних кредита и имплементацију активности (политика и мера) ради постизања основног циља и остварења кључних приоритета утврђених акционим планом Владе и НБС. </w:t>
      </w:r>
    </w:p>
    <w:p w14:paraId="2B8FB24B" w14:textId="749AF44E" w:rsidR="00D9693F" w:rsidRPr="00B27245" w:rsidRDefault="00D9693F" w:rsidP="00264A74">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Имплементација мера п</w:t>
      </w:r>
      <w:r w:rsidR="00200C70" w:rsidRPr="00B27245">
        <w:rPr>
          <w:rFonts w:ascii="Times New Roman" w:hAnsi="Times New Roman" w:cs="Times New Roman"/>
          <w:sz w:val="24"/>
          <w:szCs w:val="24"/>
          <w:lang w:val="sr-Cyrl-CS"/>
        </w:rPr>
        <w:t>редвиђених Стратегијом</w:t>
      </w:r>
      <w:r w:rsidRPr="00B27245">
        <w:rPr>
          <w:rFonts w:ascii="Times New Roman" w:hAnsi="Times New Roman" w:cs="Times New Roman"/>
          <w:sz w:val="24"/>
          <w:szCs w:val="24"/>
          <w:lang w:val="sr-Cyrl-CS"/>
        </w:rPr>
        <w:t xml:space="preserve"> дала је значајне резултате. Ниво проблематичних кредита значајно је смањен након доношења Стратегије. За нешто више од три године откако је Стратегија усвојена, износ проблематичних кредита смањен </w:t>
      </w:r>
      <w:r w:rsidR="00352939" w:rsidRPr="00B27245">
        <w:rPr>
          <w:rFonts w:ascii="Times New Roman" w:hAnsi="Times New Roman" w:cs="Times New Roman"/>
          <w:sz w:val="24"/>
          <w:szCs w:val="24"/>
          <w:lang w:val="sr-Cyrl-CS"/>
        </w:rPr>
        <w:t xml:space="preserve">је у септембру 2018. године на </w:t>
      </w:r>
      <w:r w:rsidRPr="00B27245">
        <w:rPr>
          <w:rFonts w:ascii="Times New Roman" w:hAnsi="Times New Roman" w:cs="Times New Roman"/>
          <w:sz w:val="24"/>
          <w:szCs w:val="24"/>
          <w:lang w:val="sr-Cyrl-CS"/>
        </w:rPr>
        <w:t xml:space="preserve">најнижи ниво од 2008. године, откад се прати овај показатељ квалитета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банака.</w:t>
      </w:r>
    </w:p>
    <w:p w14:paraId="42B7B014" w14:textId="3106D2E8" w:rsidR="00C95365" w:rsidRPr="00B27245" w:rsidRDefault="00D9693F" w:rsidP="00264A74">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Ипак</w:t>
      </w:r>
      <w:r w:rsidR="00200C70" w:rsidRPr="00B27245">
        <w:rPr>
          <w:rFonts w:ascii="Times New Roman" w:hAnsi="Times New Roman" w:cs="Times New Roman"/>
          <w:sz w:val="24"/>
          <w:szCs w:val="24"/>
          <w:lang w:val="sr-Cyrl-CS"/>
        </w:rPr>
        <w:t>, и поред успешне примене</w:t>
      </w:r>
      <w:r w:rsidRPr="00B27245">
        <w:rPr>
          <w:rFonts w:ascii="Times New Roman" w:hAnsi="Times New Roman" w:cs="Times New Roman"/>
          <w:sz w:val="24"/>
          <w:szCs w:val="24"/>
          <w:lang w:val="sr-Cyrl-CS"/>
        </w:rPr>
        <w:t xml:space="preserve"> Стратегије, потребно је предузети </w:t>
      </w:r>
      <w:r w:rsidR="00A47864" w:rsidRPr="00B27245">
        <w:rPr>
          <w:rFonts w:ascii="Times New Roman" w:hAnsi="Times New Roman" w:cs="Times New Roman"/>
          <w:sz w:val="24"/>
          <w:szCs w:val="24"/>
          <w:lang w:val="sr-Cyrl-CS"/>
        </w:rPr>
        <w:t xml:space="preserve">активности како би се решили и преостали проблеми и омогућила одрживост постигнутих резултата. </w:t>
      </w:r>
      <w:r w:rsidR="00D92668" w:rsidRPr="00B27245">
        <w:rPr>
          <w:rFonts w:ascii="Times New Roman" w:hAnsi="Times New Roman" w:cs="Times New Roman"/>
          <w:sz w:val="24"/>
          <w:szCs w:val="24"/>
          <w:lang w:val="sr-Cyrl-CS"/>
        </w:rPr>
        <w:t>Програм</w:t>
      </w:r>
      <w:r w:rsidR="00264A74" w:rsidRPr="00B27245">
        <w:rPr>
          <w:rFonts w:ascii="Times New Roman" w:hAnsi="Times New Roman" w:cs="Times New Roman"/>
          <w:sz w:val="24"/>
          <w:szCs w:val="24"/>
          <w:lang w:val="sr-Cyrl-CS"/>
        </w:rPr>
        <w:t xml:space="preserve"> за решавање проблематичних кредита за период 2018-2020. године (у даљем тексту: Програм) </w:t>
      </w:r>
      <w:r w:rsidRPr="00B27245">
        <w:rPr>
          <w:rFonts w:ascii="Times New Roman" w:hAnsi="Times New Roman" w:cs="Times New Roman"/>
          <w:sz w:val="24"/>
          <w:szCs w:val="24"/>
          <w:lang w:val="sr-Cyrl-CS"/>
        </w:rPr>
        <w:t xml:space="preserve">обухвата </w:t>
      </w:r>
      <w:r w:rsidR="00443A10" w:rsidRPr="00B27245">
        <w:rPr>
          <w:rFonts w:ascii="Times New Roman" w:hAnsi="Times New Roman" w:cs="Times New Roman"/>
          <w:sz w:val="24"/>
          <w:szCs w:val="24"/>
          <w:lang w:val="sr-Cyrl-CS"/>
        </w:rPr>
        <w:t>три</w:t>
      </w:r>
      <w:r w:rsidRPr="00B27245">
        <w:rPr>
          <w:rFonts w:ascii="Times New Roman" w:hAnsi="Times New Roman" w:cs="Times New Roman"/>
          <w:sz w:val="24"/>
          <w:szCs w:val="24"/>
          <w:lang w:val="sr-Cyrl-CS"/>
        </w:rPr>
        <w:t xml:space="preserve"> подручја активности. Прво подручје усмерено је ка </w:t>
      </w:r>
      <w:r w:rsidRPr="00B27245">
        <w:rPr>
          <w:rFonts w:ascii="Times New Roman" w:hAnsi="Times New Roman" w:cs="Times New Roman"/>
          <w:sz w:val="24"/>
          <w:szCs w:val="24"/>
          <w:lang w:val="sr-Cyrl-CS"/>
        </w:rPr>
        <w:lastRenderedPageBreak/>
        <w:t xml:space="preserve">решавању </w:t>
      </w:r>
      <w:r w:rsidR="00A47864" w:rsidRPr="00B27245">
        <w:rPr>
          <w:rFonts w:ascii="Times New Roman" w:hAnsi="Times New Roman" w:cs="Times New Roman"/>
          <w:sz w:val="24"/>
          <w:szCs w:val="24"/>
          <w:lang w:val="sr-Cyrl-CS"/>
        </w:rPr>
        <w:t xml:space="preserve">проблематичних потраживања државних финансијских поверилаца. Друго подручје усмерено је ка даљем унапређењу примене стечајног оквира. Треће подручје обухвата низ активности које су усмерене ка превенцији настајања нових проблематичних кредита. </w:t>
      </w:r>
    </w:p>
    <w:p w14:paraId="6DD5EE1D" w14:textId="77777777" w:rsidR="00264A74" w:rsidRPr="00B27245" w:rsidRDefault="00264A74" w:rsidP="00264A74">
      <w:pPr>
        <w:spacing w:after="0"/>
        <w:ind w:firstLine="720"/>
        <w:jc w:val="both"/>
        <w:rPr>
          <w:rFonts w:ascii="Times New Roman" w:hAnsi="Times New Roman" w:cs="Times New Roman"/>
          <w:sz w:val="24"/>
          <w:szCs w:val="24"/>
          <w:lang w:val="sr-Cyrl-CS"/>
        </w:rPr>
      </w:pPr>
    </w:p>
    <w:p w14:paraId="1BEAB806" w14:textId="05FA268C" w:rsidR="00C95365" w:rsidRPr="00B27245" w:rsidRDefault="00C95365" w:rsidP="004375AC">
      <w:pPr>
        <w:jc w:val="center"/>
        <w:rPr>
          <w:rFonts w:ascii="Times New Roman" w:hAnsi="Times New Roman"/>
          <w:b/>
          <w:sz w:val="24"/>
          <w:lang w:val="sr-Cyrl-CS"/>
        </w:rPr>
      </w:pPr>
      <w:r w:rsidRPr="00B27245">
        <w:rPr>
          <w:rFonts w:ascii="Times New Roman" w:hAnsi="Times New Roman"/>
          <w:b/>
          <w:sz w:val="24"/>
          <w:lang w:val="sr-Cyrl-CS"/>
        </w:rPr>
        <w:t xml:space="preserve">I </w:t>
      </w:r>
      <w:r w:rsidRPr="00B27245">
        <w:rPr>
          <w:rFonts w:ascii="Times New Roman" w:hAnsi="Times New Roman" w:cs="Times New Roman"/>
          <w:b/>
          <w:sz w:val="24"/>
          <w:szCs w:val="24"/>
          <w:lang w:val="sr-Cyrl-CS"/>
        </w:rPr>
        <w:t>ОСТВАРЕНИ РЕЗУЛТАТИ</w:t>
      </w:r>
      <w:r w:rsidR="00443A10" w:rsidRPr="00B27245">
        <w:rPr>
          <w:rFonts w:ascii="Times New Roman" w:hAnsi="Times New Roman" w:cs="Times New Roman"/>
          <w:b/>
          <w:sz w:val="24"/>
          <w:szCs w:val="24"/>
          <w:lang w:val="sr-Cyrl-CS"/>
        </w:rPr>
        <w:t xml:space="preserve"> СТРАТЕГИЈЕ </w:t>
      </w:r>
      <w:r w:rsidRPr="00B27245">
        <w:rPr>
          <w:rFonts w:ascii="Times New Roman" w:hAnsi="Times New Roman" w:cs="Times New Roman"/>
          <w:b/>
          <w:sz w:val="24"/>
          <w:szCs w:val="24"/>
          <w:lang w:val="sr-Cyrl-CS"/>
        </w:rPr>
        <w:t>И СПРОВЕДЕНЕ АКТИВНОСТИ</w:t>
      </w:r>
    </w:p>
    <w:p w14:paraId="16A27FF8" w14:textId="0F792AF6" w:rsidR="00216660" w:rsidRPr="00B27245" w:rsidRDefault="00216660" w:rsidP="004375AC">
      <w:pPr>
        <w:pStyle w:val="ListParagraph"/>
        <w:numPr>
          <w:ilvl w:val="1"/>
          <w:numId w:val="1"/>
        </w:numPr>
        <w:jc w:val="center"/>
        <w:rPr>
          <w:rFonts w:ascii="Times New Roman" w:hAnsi="Times New Roman" w:cs="Times New Roman"/>
          <w:sz w:val="24"/>
          <w:szCs w:val="24"/>
          <w:lang w:val="sr-Cyrl-CS"/>
        </w:rPr>
      </w:pPr>
      <w:bookmarkStart w:id="0" w:name="_Toc484594599"/>
      <w:r w:rsidRPr="00B27245">
        <w:rPr>
          <w:rFonts w:ascii="Times New Roman" w:hAnsi="Times New Roman" w:cs="Times New Roman"/>
          <w:sz w:val="24"/>
          <w:szCs w:val="24"/>
          <w:lang w:val="sr-Cyrl-CS"/>
        </w:rPr>
        <w:t xml:space="preserve">Ниво, структура и разлози смањења нивоа проблематичних кредита у </w:t>
      </w:r>
      <w:r w:rsidR="00264A74" w:rsidRPr="00B27245">
        <w:rPr>
          <w:rFonts w:ascii="Times New Roman" w:hAnsi="Times New Roman" w:cs="Times New Roman"/>
          <w:sz w:val="24"/>
          <w:szCs w:val="24"/>
          <w:lang w:val="sr-Cyrl-CS"/>
        </w:rPr>
        <w:t xml:space="preserve">Републици </w:t>
      </w:r>
      <w:r w:rsidRPr="00B27245">
        <w:rPr>
          <w:rFonts w:ascii="Times New Roman" w:hAnsi="Times New Roman" w:cs="Times New Roman"/>
          <w:sz w:val="24"/>
          <w:szCs w:val="24"/>
          <w:lang w:val="sr-Cyrl-CS"/>
        </w:rPr>
        <w:t>Србији</w:t>
      </w:r>
      <w:r w:rsidRPr="00B27245">
        <w:rPr>
          <w:rFonts w:ascii="Times New Roman" w:hAnsi="Times New Roman"/>
          <w:sz w:val="24"/>
          <w:vertAlign w:val="superscript"/>
          <w:lang w:val="sr-Cyrl-CS"/>
        </w:rPr>
        <w:footnoteReference w:id="3"/>
      </w:r>
      <w:bookmarkEnd w:id="0"/>
    </w:p>
    <w:p w14:paraId="1169D2CF" w14:textId="3D30A5E7" w:rsidR="00EF4241" w:rsidRPr="00B27245" w:rsidRDefault="00EF4241" w:rsidP="00EA5DF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У поређењу са другим земљама, </w:t>
      </w:r>
      <w:r w:rsidR="00264A74" w:rsidRPr="00B27245">
        <w:rPr>
          <w:rFonts w:ascii="Times New Roman" w:hAnsi="Times New Roman" w:cs="Times New Roman"/>
          <w:sz w:val="24"/>
          <w:szCs w:val="24"/>
          <w:lang w:val="sr-Cyrl-CS"/>
        </w:rPr>
        <w:t xml:space="preserve">Република </w:t>
      </w:r>
      <w:r w:rsidRPr="00B27245">
        <w:rPr>
          <w:rFonts w:ascii="Times New Roman" w:hAnsi="Times New Roman" w:cs="Times New Roman"/>
          <w:sz w:val="24"/>
          <w:szCs w:val="24"/>
          <w:lang w:val="sr-Cyrl-CS"/>
        </w:rPr>
        <w:t>Србија je у економску и финансијску кризу ушла с</w:t>
      </w:r>
      <w:r w:rsidR="00264A74" w:rsidRPr="00B27245">
        <w:rPr>
          <w:rFonts w:ascii="Times New Roman" w:hAnsi="Times New Roman" w:cs="Times New Roman"/>
          <w:sz w:val="24"/>
          <w:szCs w:val="24"/>
          <w:lang w:val="sr-Cyrl-CS"/>
        </w:rPr>
        <w:t>а</w:t>
      </w:r>
      <w:r w:rsidRPr="00B27245">
        <w:rPr>
          <w:rFonts w:ascii="Times New Roman" w:hAnsi="Times New Roman" w:cs="Times New Roman"/>
          <w:sz w:val="24"/>
          <w:szCs w:val="24"/>
          <w:lang w:val="sr-Cyrl-CS"/>
        </w:rPr>
        <w:t xml:space="preserve"> већ високим учешћем проблематичних кредита (11,3% према бруто принципу крајем 2008). Како је наведено у Стратегији, поред погоршања макроекономских услова током кризе (пад економске активности, депрецијација валуте, виша инфлација и раст незапослености), раст проблематичних кредита који је уследио у том периоду последица је и чињенице да је снажан кредитни раст у преткризним годинама био заснован на мање конзервативној процени кредитног ризика и колатерала од стране банака. Као и у већини других земаља, и у Србији проблематични кредити у сектору привреде су били основни покретач раста учешћа проблематичних кредита у укупним кредитима, што је имало за последицу да учешће проблематичних кредита у укупним кредитима током 2012. године буде изнад 20%, а средином 2014.</w:t>
      </w:r>
      <w:r w:rsidR="00572F07" w:rsidRPr="00B27245">
        <w:rPr>
          <w:rFonts w:ascii="Times New Roman" w:hAnsi="Times New Roman" w:cs="Times New Roman"/>
          <w:sz w:val="24"/>
          <w:szCs w:val="24"/>
          <w:lang w:val="sr-Cyrl-CS"/>
        </w:rPr>
        <w:t xml:space="preserve"> године</w:t>
      </w:r>
      <w:r w:rsidRPr="00B27245">
        <w:rPr>
          <w:rFonts w:ascii="Times New Roman" w:hAnsi="Times New Roman" w:cs="Times New Roman"/>
          <w:sz w:val="24"/>
          <w:szCs w:val="24"/>
          <w:lang w:val="sr-Cyrl-CS"/>
        </w:rPr>
        <w:t xml:space="preserve"> и надмаши ниво од 23%. Укупни проблематични кредити су достигли историјски максимум у мају 2015. године (23,2%), непосредно пре доношења Стратегије.</w:t>
      </w:r>
    </w:p>
    <w:p w14:paraId="6429D2E5" w14:textId="2BFB2ED8" w:rsidR="00954F4D" w:rsidRPr="00B27245" w:rsidRDefault="00954F4D" w:rsidP="00EA5DF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Имплементација мера предвиђених Стратегијом за решавање питања проблематичних кредита дала је значајне резултате. </w:t>
      </w:r>
      <w:r w:rsidR="00DB2EE0" w:rsidRPr="00B27245">
        <w:rPr>
          <w:rFonts w:ascii="Times New Roman" w:hAnsi="Times New Roman" w:cs="Times New Roman"/>
          <w:sz w:val="24"/>
          <w:szCs w:val="24"/>
          <w:lang w:val="sr-Cyrl-CS"/>
        </w:rPr>
        <w:t xml:space="preserve">У односу на август 2015. године, када је </w:t>
      </w:r>
      <w:r w:rsidR="00744863" w:rsidRPr="00B27245">
        <w:rPr>
          <w:rFonts w:ascii="Times New Roman" w:hAnsi="Times New Roman" w:cs="Times New Roman"/>
          <w:sz w:val="24"/>
          <w:szCs w:val="24"/>
          <w:lang w:val="sr-Cyrl-CS"/>
        </w:rPr>
        <w:t xml:space="preserve">усвојена </w:t>
      </w:r>
      <w:r w:rsidR="00DB2EE0" w:rsidRPr="00B27245">
        <w:rPr>
          <w:rFonts w:ascii="Times New Roman" w:hAnsi="Times New Roman" w:cs="Times New Roman"/>
          <w:sz w:val="24"/>
          <w:szCs w:val="24"/>
          <w:lang w:val="sr-Cyrl-CS"/>
        </w:rPr>
        <w:t>Стратегија</w:t>
      </w:r>
      <w:r w:rsidR="00744863" w:rsidRPr="00B27245">
        <w:rPr>
          <w:rFonts w:ascii="Times New Roman" w:hAnsi="Times New Roman" w:cs="Times New Roman"/>
          <w:sz w:val="24"/>
          <w:szCs w:val="24"/>
          <w:lang w:val="sr-Cyrl-CS"/>
        </w:rPr>
        <w:t>,</w:t>
      </w:r>
      <w:r w:rsidR="00DB2EE0" w:rsidRPr="00B27245">
        <w:rPr>
          <w:rFonts w:ascii="Times New Roman" w:hAnsi="Times New Roman" w:cs="Times New Roman"/>
          <w:sz w:val="24"/>
          <w:szCs w:val="24"/>
          <w:lang w:val="sr-Cyrl-CS"/>
        </w:rPr>
        <w:t xml:space="preserve"> </w:t>
      </w:r>
      <w:r w:rsidRPr="00B27245">
        <w:rPr>
          <w:rFonts w:ascii="Times New Roman" w:hAnsi="Times New Roman" w:cs="Times New Roman"/>
          <w:sz w:val="24"/>
          <w:szCs w:val="24"/>
          <w:lang w:val="sr-Cyrl-CS"/>
        </w:rPr>
        <w:t xml:space="preserve">износ проблематичних кредита смањен je за </w:t>
      </w:r>
      <w:r w:rsidR="00744863" w:rsidRPr="00B27245">
        <w:rPr>
          <w:rFonts w:ascii="Times New Roman" w:hAnsi="Times New Roman" w:cs="Times New Roman"/>
          <w:sz w:val="24"/>
          <w:szCs w:val="24"/>
          <w:lang w:val="sr-Cyrl-CS"/>
        </w:rPr>
        <w:t xml:space="preserve">286 млрд динара, односно за </w:t>
      </w:r>
      <w:r w:rsidR="00DB2EE0" w:rsidRPr="00B27245">
        <w:rPr>
          <w:rFonts w:ascii="Times New Roman" w:hAnsi="Times New Roman" w:cs="Times New Roman"/>
          <w:sz w:val="24"/>
          <w:szCs w:val="24"/>
          <w:lang w:val="sr-Cyrl-CS"/>
        </w:rPr>
        <w:t>6</w:t>
      </w:r>
      <w:r w:rsidR="00A47864" w:rsidRPr="00B27245">
        <w:rPr>
          <w:rFonts w:ascii="Times New Roman" w:hAnsi="Times New Roman" w:cs="Times New Roman"/>
          <w:sz w:val="24"/>
          <w:szCs w:val="24"/>
          <w:lang w:val="sr-Cyrl-CS"/>
        </w:rPr>
        <w:t>7</w:t>
      </w:r>
      <w:r w:rsidRPr="00B27245">
        <w:rPr>
          <w:rFonts w:ascii="Times New Roman" w:hAnsi="Times New Roman" w:cs="Times New Roman"/>
          <w:sz w:val="24"/>
          <w:szCs w:val="24"/>
          <w:lang w:val="sr-Cyrl-CS"/>
        </w:rPr>
        <w:t>%</w:t>
      </w:r>
      <w:r w:rsidR="006F451D" w:rsidRPr="00B27245">
        <w:rPr>
          <w:rFonts w:ascii="Times New Roman" w:hAnsi="Times New Roman" w:cs="Times New Roman"/>
          <w:sz w:val="24"/>
          <w:szCs w:val="24"/>
          <w:lang w:val="sr-Cyrl-CS"/>
        </w:rPr>
        <w:t xml:space="preserve"> и на крају септембра 2018. године износио је 141,2 млрд динара. У</w:t>
      </w:r>
      <w:r w:rsidRPr="00B27245">
        <w:rPr>
          <w:rFonts w:ascii="Times New Roman" w:hAnsi="Times New Roman" w:cs="Times New Roman"/>
          <w:sz w:val="24"/>
          <w:szCs w:val="24"/>
          <w:lang w:val="sr-Cyrl-CS"/>
        </w:rPr>
        <w:t xml:space="preserve">чешће </w:t>
      </w:r>
      <w:r w:rsidR="006F451D" w:rsidRPr="00B27245">
        <w:rPr>
          <w:rFonts w:ascii="Times New Roman" w:hAnsi="Times New Roman" w:cs="Times New Roman"/>
          <w:sz w:val="24"/>
          <w:szCs w:val="24"/>
          <w:lang w:val="sr-Cyrl-CS"/>
        </w:rPr>
        <w:t xml:space="preserve">проблематичних кредита </w:t>
      </w:r>
      <w:r w:rsidRPr="00B27245">
        <w:rPr>
          <w:rFonts w:ascii="Times New Roman" w:hAnsi="Times New Roman" w:cs="Times New Roman"/>
          <w:sz w:val="24"/>
          <w:szCs w:val="24"/>
          <w:lang w:val="sr-Cyrl-CS"/>
        </w:rPr>
        <w:t xml:space="preserve">у укупним кредитима </w:t>
      </w:r>
      <w:r w:rsidR="00744863" w:rsidRPr="00B27245">
        <w:rPr>
          <w:rFonts w:ascii="Times New Roman" w:hAnsi="Times New Roman" w:cs="Times New Roman"/>
          <w:sz w:val="24"/>
          <w:szCs w:val="24"/>
          <w:lang w:val="sr-Cyrl-CS"/>
        </w:rPr>
        <w:t xml:space="preserve">смањено је </w:t>
      </w:r>
      <w:r w:rsidRPr="00B27245">
        <w:rPr>
          <w:rFonts w:ascii="Times New Roman" w:hAnsi="Times New Roman" w:cs="Times New Roman"/>
          <w:sz w:val="24"/>
          <w:szCs w:val="24"/>
          <w:lang w:val="sr-Cyrl-CS"/>
        </w:rPr>
        <w:t>за 1</w:t>
      </w:r>
      <w:r w:rsidR="00DB2EE0" w:rsidRPr="00B27245">
        <w:rPr>
          <w:rFonts w:ascii="Times New Roman" w:hAnsi="Times New Roman" w:cs="Times New Roman"/>
          <w:sz w:val="24"/>
          <w:szCs w:val="24"/>
          <w:lang w:val="sr-Cyrl-CS"/>
        </w:rPr>
        <w:t>5,9</w:t>
      </w:r>
      <w:r w:rsidR="00344D1E" w:rsidRPr="00B27245">
        <w:rPr>
          <w:rFonts w:ascii="Times New Roman" w:hAnsi="Times New Roman" w:cs="Times New Roman"/>
          <w:sz w:val="24"/>
          <w:szCs w:val="24"/>
          <w:lang w:val="sr-Cyrl-CS"/>
        </w:rPr>
        <w:t xml:space="preserve"> </w:t>
      </w:r>
      <w:r w:rsidRPr="00B27245">
        <w:rPr>
          <w:rFonts w:ascii="Times New Roman" w:hAnsi="Times New Roman" w:cs="Times New Roman"/>
          <w:sz w:val="24"/>
          <w:szCs w:val="24"/>
          <w:lang w:val="sr-Cyrl-CS"/>
        </w:rPr>
        <w:t>процентних поена, на 6,4% у септембру</w:t>
      </w:r>
      <w:r w:rsidR="006F451D" w:rsidRPr="00B27245">
        <w:rPr>
          <w:rFonts w:ascii="Times New Roman" w:hAnsi="Times New Roman" w:cs="Times New Roman"/>
          <w:sz w:val="24"/>
          <w:szCs w:val="24"/>
          <w:lang w:val="sr-Cyrl-CS"/>
        </w:rPr>
        <w:t xml:space="preserve"> 2018.године.</w:t>
      </w:r>
      <w:r w:rsidR="00572F07" w:rsidRPr="00B27245">
        <w:rPr>
          <w:rFonts w:ascii="Times New Roman" w:hAnsi="Times New Roman" w:cs="Times New Roman"/>
          <w:sz w:val="24"/>
          <w:szCs w:val="24"/>
          <w:lang w:val="sr-Cyrl-CS"/>
        </w:rPr>
        <w:t xml:space="preserve"> </w:t>
      </w:r>
    </w:p>
    <w:p w14:paraId="666ED209" w14:textId="77777777" w:rsidR="0040153E" w:rsidRPr="00B27245" w:rsidRDefault="0040153E" w:rsidP="00954F4D">
      <w:pPr>
        <w:jc w:val="both"/>
        <w:rPr>
          <w:rFonts w:ascii="Times New Roman" w:hAnsi="Times New Roman" w:cs="Times New Roman"/>
          <w:sz w:val="24"/>
          <w:szCs w:val="24"/>
          <w:lang w:val="sr-Cyrl-CS"/>
        </w:rPr>
      </w:pPr>
    </w:p>
    <w:p w14:paraId="31AE6055" w14:textId="3C408179" w:rsidR="00216660" w:rsidRPr="00B27245" w:rsidRDefault="0040153E" w:rsidP="0040153E">
      <w:pPr>
        <w:pStyle w:val="Caption"/>
        <w:keepNext/>
        <w:spacing w:after="0"/>
        <w:ind w:firstLine="0"/>
        <w:jc w:val="center"/>
        <w:rPr>
          <w:i w:val="0"/>
          <w:color w:val="auto"/>
          <w:sz w:val="24"/>
          <w:szCs w:val="24"/>
          <w:lang w:val="sr-Cyrl-CS"/>
        </w:rPr>
      </w:pPr>
      <w:r w:rsidRPr="00B27245">
        <w:rPr>
          <w:i w:val="0"/>
          <w:color w:val="auto"/>
          <w:sz w:val="24"/>
          <w:szCs w:val="24"/>
          <w:lang w:val="sr-Cyrl-CS"/>
        </w:rPr>
        <w:t xml:space="preserve">Табела </w:t>
      </w:r>
      <w:r w:rsidRPr="00B27245">
        <w:rPr>
          <w:i w:val="0"/>
          <w:color w:val="auto"/>
          <w:sz w:val="24"/>
          <w:szCs w:val="24"/>
          <w:lang w:val="sr-Cyrl-CS"/>
        </w:rPr>
        <w:fldChar w:fldCharType="begin"/>
      </w:r>
      <w:r w:rsidRPr="00B27245">
        <w:rPr>
          <w:i w:val="0"/>
          <w:color w:val="auto"/>
          <w:sz w:val="24"/>
          <w:szCs w:val="24"/>
          <w:lang w:val="sr-Cyrl-CS"/>
        </w:rPr>
        <w:instrText xml:space="preserve"> SEQ Табела \* ARABIC </w:instrText>
      </w:r>
      <w:r w:rsidRPr="00B27245">
        <w:rPr>
          <w:i w:val="0"/>
          <w:color w:val="auto"/>
          <w:sz w:val="24"/>
          <w:szCs w:val="24"/>
          <w:lang w:val="sr-Cyrl-CS"/>
        </w:rPr>
        <w:fldChar w:fldCharType="separate"/>
      </w:r>
      <w:r w:rsidR="00971B83">
        <w:rPr>
          <w:i w:val="0"/>
          <w:noProof/>
          <w:color w:val="auto"/>
          <w:sz w:val="24"/>
          <w:szCs w:val="24"/>
          <w:lang w:val="sr-Cyrl-CS"/>
        </w:rPr>
        <w:t>1</w:t>
      </w:r>
      <w:r w:rsidRPr="00B27245">
        <w:rPr>
          <w:i w:val="0"/>
          <w:color w:val="auto"/>
          <w:sz w:val="24"/>
          <w:szCs w:val="24"/>
          <w:lang w:val="sr-Cyrl-CS"/>
        </w:rPr>
        <w:fldChar w:fldCharType="end"/>
      </w:r>
      <w:r w:rsidRPr="00B27245">
        <w:rPr>
          <w:i w:val="0"/>
          <w:color w:val="auto"/>
          <w:sz w:val="24"/>
          <w:szCs w:val="24"/>
          <w:lang w:val="sr-Cyrl-CS"/>
        </w:rPr>
        <w:t xml:space="preserve">: </w:t>
      </w:r>
      <w:r w:rsidR="00216660" w:rsidRPr="00B27245">
        <w:rPr>
          <w:i w:val="0"/>
          <w:color w:val="auto"/>
          <w:sz w:val="24"/>
          <w:szCs w:val="24"/>
          <w:lang w:val="sr-Cyrl-CS"/>
        </w:rPr>
        <w:t>Проблематични кредити – кључни показатељи (%)</w:t>
      </w:r>
    </w:p>
    <w:tbl>
      <w:tblPr>
        <w:tblStyle w:val="ListTable7Colorful-Accent31"/>
        <w:tblW w:w="9072" w:type="dxa"/>
        <w:tblLayout w:type="fixed"/>
        <w:tblLook w:val="04A0" w:firstRow="1" w:lastRow="0" w:firstColumn="1" w:lastColumn="0" w:noHBand="0" w:noVBand="1"/>
      </w:tblPr>
      <w:tblGrid>
        <w:gridCol w:w="2263"/>
        <w:gridCol w:w="592"/>
        <w:gridCol w:w="593"/>
        <w:gridCol w:w="593"/>
        <w:gridCol w:w="593"/>
        <w:gridCol w:w="593"/>
        <w:gridCol w:w="592"/>
        <w:gridCol w:w="593"/>
        <w:gridCol w:w="593"/>
        <w:gridCol w:w="593"/>
        <w:gridCol w:w="593"/>
        <w:gridCol w:w="881"/>
      </w:tblGrid>
      <w:tr w:rsidR="005E2111" w:rsidRPr="00B27245" w14:paraId="583F8202" w14:textId="77777777" w:rsidTr="00C43E18">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263" w:type="dxa"/>
            <w:hideMark/>
          </w:tcPr>
          <w:p w14:paraId="09B278AB" w14:textId="77777777" w:rsidR="00954F4D" w:rsidRPr="00B27245" w:rsidRDefault="00954F4D">
            <w:pPr>
              <w:jc w:val="left"/>
              <w:rPr>
                <w:rFonts w:ascii="Times New Roman" w:hAnsi="Times New Roman" w:cs="Times New Roman"/>
                <w:i w:val="0"/>
                <w:color w:val="auto"/>
                <w:sz w:val="20"/>
                <w:szCs w:val="24"/>
                <w:lang w:val="sr-Cyrl-CS"/>
              </w:rPr>
            </w:pPr>
            <w:r w:rsidRPr="00B27245">
              <w:rPr>
                <w:rFonts w:ascii="Times New Roman" w:hAnsi="Times New Roman" w:cs="Times New Roman"/>
                <w:i w:val="0"/>
                <w:color w:val="auto"/>
                <w:sz w:val="20"/>
                <w:szCs w:val="24"/>
                <w:lang w:val="sr-Cyrl-CS"/>
              </w:rPr>
              <w:t> </w:t>
            </w:r>
          </w:p>
        </w:tc>
        <w:tc>
          <w:tcPr>
            <w:tcW w:w="592" w:type="dxa"/>
            <w:hideMark/>
          </w:tcPr>
          <w:p w14:paraId="1ECBFF28"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2008</w:t>
            </w:r>
          </w:p>
        </w:tc>
        <w:tc>
          <w:tcPr>
            <w:tcW w:w="593" w:type="dxa"/>
            <w:hideMark/>
          </w:tcPr>
          <w:p w14:paraId="13085C81"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2009</w:t>
            </w:r>
          </w:p>
        </w:tc>
        <w:tc>
          <w:tcPr>
            <w:tcW w:w="593" w:type="dxa"/>
            <w:hideMark/>
          </w:tcPr>
          <w:p w14:paraId="42D17277"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2010</w:t>
            </w:r>
          </w:p>
        </w:tc>
        <w:tc>
          <w:tcPr>
            <w:tcW w:w="593" w:type="dxa"/>
            <w:hideMark/>
          </w:tcPr>
          <w:p w14:paraId="78212282"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2011</w:t>
            </w:r>
          </w:p>
        </w:tc>
        <w:tc>
          <w:tcPr>
            <w:tcW w:w="593" w:type="dxa"/>
            <w:hideMark/>
          </w:tcPr>
          <w:p w14:paraId="2A35C8EB"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2012</w:t>
            </w:r>
          </w:p>
        </w:tc>
        <w:tc>
          <w:tcPr>
            <w:tcW w:w="592" w:type="dxa"/>
            <w:hideMark/>
          </w:tcPr>
          <w:p w14:paraId="6C69A43A"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2013</w:t>
            </w:r>
          </w:p>
        </w:tc>
        <w:tc>
          <w:tcPr>
            <w:tcW w:w="593" w:type="dxa"/>
            <w:hideMark/>
          </w:tcPr>
          <w:p w14:paraId="2BCE4280"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2014</w:t>
            </w:r>
          </w:p>
        </w:tc>
        <w:tc>
          <w:tcPr>
            <w:tcW w:w="593" w:type="dxa"/>
            <w:hideMark/>
          </w:tcPr>
          <w:p w14:paraId="22DA050A"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2015</w:t>
            </w:r>
          </w:p>
        </w:tc>
        <w:tc>
          <w:tcPr>
            <w:tcW w:w="593" w:type="dxa"/>
            <w:hideMark/>
          </w:tcPr>
          <w:p w14:paraId="210010A0" w14:textId="77777777" w:rsidR="00954F4D" w:rsidRPr="00B27245" w:rsidRDefault="00954F4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2016.</w:t>
            </w:r>
          </w:p>
        </w:tc>
        <w:tc>
          <w:tcPr>
            <w:tcW w:w="593" w:type="dxa"/>
          </w:tcPr>
          <w:p w14:paraId="1A8A8240" w14:textId="77777777" w:rsidR="00954F4D" w:rsidRPr="00B27245" w:rsidRDefault="0095263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2017</w:t>
            </w:r>
          </w:p>
        </w:tc>
        <w:tc>
          <w:tcPr>
            <w:tcW w:w="881" w:type="dxa"/>
          </w:tcPr>
          <w:p w14:paraId="4EB38699" w14:textId="77777777" w:rsidR="00954F4D" w:rsidRPr="00B27245" w:rsidRDefault="00C43E1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color w:val="auto"/>
                <w:sz w:val="18"/>
                <w:szCs w:val="24"/>
                <w:lang w:val="sr-Cyrl-CS"/>
              </w:rPr>
            </w:pPr>
            <w:r w:rsidRPr="00B27245">
              <w:rPr>
                <w:rFonts w:ascii="Times New Roman" w:hAnsi="Times New Roman"/>
                <w:sz w:val="18"/>
                <w:lang w:val="sr-Cyrl-CS"/>
              </w:rPr>
              <w:t>III</w:t>
            </w:r>
            <w:r w:rsidRPr="00B27245">
              <w:rPr>
                <w:rFonts w:ascii="Times New Roman" w:hAnsi="Times New Roman" w:cs="Times New Roman"/>
                <w:i w:val="0"/>
                <w:color w:val="auto"/>
                <w:sz w:val="18"/>
                <w:szCs w:val="24"/>
                <w:lang w:val="sr-Cyrl-CS"/>
              </w:rPr>
              <w:t>/</w:t>
            </w:r>
            <w:r w:rsidR="00952632" w:rsidRPr="00B27245">
              <w:rPr>
                <w:rFonts w:ascii="Times New Roman" w:hAnsi="Times New Roman" w:cs="Times New Roman"/>
                <w:i w:val="0"/>
                <w:color w:val="auto"/>
                <w:sz w:val="18"/>
                <w:szCs w:val="24"/>
                <w:lang w:val="sr-Cyrl-CS"/>
              </w:rPr>
              <w:t>2018</w:t>
            </w:r>
          </w:p>
        </w:tc>
      </w:tr>
      <w:tr w:rsidR="005E2111" w:rsidRPr="00B27245" w14:paraId="1E0A6074" w14:textId="77777777" w:rsidTr="00C43E1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263" w:type="dxa"/>
            <w:hideMark/>
          </w:tcPr>
          <w:p w14:paraId="176B6C2F" w14:textId="77777777" w:rsidR="00954F4D" w:rsidRPr="00B27245" w:rsidRDefault="00954F4D">
            <w:pPr>
              <w:jc w:val="left"/>
              <w:rPr>
                <w:rFonts w:ascii="Times New Roman" w:hAnsi="Times New Roman" w:cs="Times New Roman"/>
                <w:i w:val="0"/>
                <w:color w:val="auto"/>
                <w:sz w:val="20"/>
                <w:szCs w:val="24"/>
                <w:lang w:val="sr-Cyrl-CS"/>
              </w:rPr>
            </w:pPr>
            <w:r w:rsidRPr="00B27245">
              <w:rPr>
                <w:rFonts w:ascii="Times New Roman" w:hAnsi="Times New Roman" w:cs="Times New Roman"/>
                <w:i w:val="0"/>
                <w:color w:val="auto"/>
                <w:sz w:val="20"/>
                <w:szCs w:val="24"/>
                <w:lang w:val="sr-Cyrl-CS"/>
              </w:rPr>
              <w:t xml:space="preserve">Бруто проблематични кредити у односу на укупне бруто кредите </w:t>
            </w:r>
          </w:p>
        </w:tc>
        <w:tc>
          <w:tcPr>
            <w:tcW w:w="592" w:type="dxa"/>
            <w:vAlign w:val="center"/>
            <w:hideMark/>
          </w:tcPr>
          <w:p w14:paraId="0F21F84E"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cs="Times New Roman"/>
                <w:color w:val="auto"/>
                <w:sz w:val="16"/>
                <w:szCs w:val="24"/>
                <w:lang w:val="sr-Cyrl-CS"/>
              </w:rPr>
              <w:t>11,3</w:t>
            </w:r>
          </w:p>
        </w:tc>
        <w:tc>
          <w:tcPr>
            <w:tcW w:w="593" w:type="dxa"/>
            <w:vAlign w:val="center"/>
            <w:hideMark/>
          </w:tcPr>
          <w:p w14:paraId="253F88C7"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cs="Times New Roman"/>
                <w:color w:val="auto"/>
                <w:sz w:val="16"/>
                <w:szCs w:val="24"/>
                <w:lang w:val="sr-Cyrl-CS"/>
              </w:rPr>
              <w:t>15,7</w:t>
            </w:r>
          </w:p>
        </w:tc>
        <w:tc>
          <w:tcPr>
            <w:tcW w:w="593" w:type="dxa"/>
            <w:vAlign w:val="center"/>
            <w:hideMark/>
          </w:tcPr>
          <w:p w14:paraId="116EF5DD"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16,9</w:t>
            </w:r>
          </w:p>
        </w:tc>
        <w:tc>
          <w:tcPr>
            <w:tcW w:w="593" w:type="dxa"/>
            <w:vAlign w:val="center"/>
            <w:hideMark/>
          </w:tcPr>
          <w:p w14:paraId="68DAE245"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19,0</w:t>
            </w:r>
          </w:p>
        </w:tc>
        <w:tc>
          <w:tcPr>
            <w:tcW w:w="593" w:type="dxa"/>
            <w:vAlign w:val="center"/>
            <w:hideMark/>
          </w:tcPr>
          <w:p w14:paraId="302759BE"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18,6</w:t>
            </w:r>
          </w:p>
        </w:tc>
        <w:tc>
          <w:tcPr>
            <w:tcW w:w="592" w:type="dxa"/>
            <w:vAlign w:val="center"/>
            <w:hideMark/>
          </w:tcPr>
          <w:p w14:paraId="70AA9E58"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21,4</w:t>
            </w:r>
          </w:p>
        </w:tc>
        <w:tc>
          <w:tcPr>
            <w:tcW w:w="593" w:type="dxa"/>
            <w:vAlign w:val="center"/>
            <w:hideMark/>
          </w:tcPr>
          <w:p w14:paraId="5C898B61"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21,5</w:t>
            </w:r>
          </w:p>
        </w:tc>
        <w:tc>
          <w:tcPr>
            <w:tcW w:w="593" w:type="dxa"/>
            <w:vAlign w:val="center"/>
            <w:hideMark/>
          </w:tcPr>
          <w:p w14:paraId="23B4FA5B"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21,6</w:t>
            </w:r>
          </w:p>
        </w:tc>
        <w:tc>
          <w:tcPr>
            <w:tcW w:w="593" w:type="dxa"/>
            <w:vAlign w:val="center"/>
            <w:hideMark/>
          </w:tcPr>
          <w:p w14:paraId="70F54109"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17,0</w:t>
            </w:r>
          </w:p>
        </w:tc>
        <w:tc>
          <w:tcPr>
            <w:tcW w:w="593" w:type="dxa"/>
            <w:vAlign w:val="center"/>
          </w:tcPr>
          <w:p w14:paraId="0BCCD728" w14:textId="77777777" w:rsidR="00954F4D" w:rsidRPr="00B27245" w:rsidRDefault="00A1710E"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9,8</w:t>
            </w:r>
          </w:p>
        </w:tc>
        <w:tc>
          <w:tcPr>
            <w:tcW w:w="881" w:type="dxa"/>
            <w:vAlign w:val="center"/>
          </w:tcPr>
          <w:p w14:paraId="4C66C7C3" w14:textId="77777777" w:rsidR="00954F4D" w:rsidRPr="00B27245" w:rsidRDefault="00A1710E"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6,4</w:t>
            </w:r>
          </w:p>
        </w:tc>
      </w:tr>
      <w:tr w:rsidR="00B72A76" w:rsidRPr="00B27245" w14:paraId="0CFBA3AF" w14:textId="77777777" w:rsidTr="005E2111">
        <w:trPr>
          <w:trHeight w:val="81"/>
        </w:trPr>
        <w:tc>
          <w:tcPr>
            <w:cnfStyle w:val="001000000000" w:firstRow="0" w:lastRow="0" w:firstColumn="1" w:lastColumn="0" w:oddVBand="0" w:evenVBand="0" w:oddHBand="0" w:evenHBand="0" w:firstRowFirstColumn="0" w:firstRowLastColumn="0" w:lastRowFirstColumn="0" w:lastRowLastColumn="0"/>
            <w:tcW w:w="2263" w:type="dxa"/>
            <w:hideMark/>
          </w:tcPr>
          <w:p w14:paraId="0F23091A" w14:textId="77777777" w:rsidR="00954F4D" w:rsidRPr="00B27245" w:rsidRDefault="00954F4D">
            <w:pPr>
              <w:jc w:val="left"/>
              <w:rPr>
                <w:rFonts w:ascii="Times New Roman" w:hAnsi="Times New Roman" w:cs="Times New Roman"/>
                <w:i w:val="0"/>
                <w:color w:val="auto"/>
                <w:sz w:val="20"/>
                <w:szCs w:val="24"/>
                <w:lang w:val="sr-Cyrl-CS"/>
              </w:rPr>
            </w:pPr>
            <w:r w:rsidRPr="00B27245">
              <w:rPr>
                <w:rFonts w:ascii="Times New Roman" w:hAnsi="Times New Roman" w:cs="Times New Roman"/>
                <w:i w:val="0"/>
                <w:color w:val="auto"/>
                <w:sz w:val="20"/>
                <w:szCs w:val="24"/>
                <w:lang w:val="sr-Cyrl-CS"/>
              </w:rPr>
              <w:t>Исправка вредности укупних кредита  у односу на бруто проблематичне кредите</w:t>
            </w:r>
          </w:p>
        </w:tc>
        <w:tc>
          <w:tcPr>
            <w:tcW w:w="592" w:type="dxa"/>
            <w:vAlign w:val="center"/>
            <w:hideMark/>
          </w:tcPr>
          <w:p w14:paraId="4E20DE72"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cs="Times New Roman"/>
                <w:color w:val="auto"/>
                <w:sz w:val="16"/>
                <w:szCs w:val="24"/>
                <w:lang w:val="sr-Cyrl-CS"/>
              </w:rPr>
              <w:t>73,2</w:t>
            </w:r>
          </w:p>
        </w:tc>
        <w:tc>
          <w:tcPr>
            <w:tcW w:w="593" w:type="dxa"/>
            <w:vAlign w:val="center"/>
            <w:hideMark/>
          </w:tcPr>
          <w:p w14:paraId="5E029780"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cs="Times New Roman"/>
                <w:color w:val="auto"/>
                <w:sz w:val="16"/>
                <w:szCs w:val="24"/>
                <w:lang w:val="sr-Cyrl-CS"/>
              </w:rPr>
              <w:t>61,4</w:t>
            </w:r>
          </w:p>
        </w:tc>
        <w:tc>
          <w:tcPr>
            <w:tcW w:w="593" w:type="dxa"/>
            <w:vAlign w:val="center"/>
            <w:hideMark/>
          </w:tcPr>
          <w:p w14:paraId="247AEC68"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53,9</w:t>
            </w:r>
          </w:p>
        </w:tc>
        <w:tc>
          <w:tcPr>
            <w:tcW w:w="593" w:type="dxa"/>
            <w:vAlign w:val="center"/>
            <w:hideMark/>
          </w:tcPr>
          <w:p w14:paraId="1ACC22A2"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57,0</w:t>
            </w:r>
          </w:p>
        </w:tc>
        <w:tc>
          <w:tcPr>
            <w:tcW w:w="593" w:type="dxa"/>
            <w:vAlign w:val="center"/>
            <w:hideMark/>
          </w:tcPr>
          <w:p w14:paraId="245953F4"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54,9</w:t>
            </w:r>
          </w:p>
        </w:tc>
        <w:tc>
          <w:tcPr>
            <w:tcW w:w="592" w:type="dxa"/>
            <w:vAlign w:val="center"/>
            <w:hideMark/>
          </w:tcPr>
          <w:p w14:paraId="11F68CD6"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55,8</w:t>
            </w:r>
          </w:p>
        </w:tc>
        <w:tc>
          <w:tcPr>
            <w:tcW w:w="593" w:type="dxa"/>
            <w:vAlign w:val="center"/>
            <w:hideMark/>
          </w:tcPr>
          <w:p w14:paraId="3A85B560"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59,0</w:t>
            </w:r>
          </w:p>
        </w:tc>
        <w:tc>
          <w:tcPr>
            <w:tcW w:w="593" w:type="dxa"/>
            <w:vAlign w:val="center"/>
            <w:hideMark/>
          </w:tcPr>
          <w:p w14:paraId="368BF03A"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66,8</w:t>
            </w:r>
          </w:p>
        </w:tc>
        <w:tc>
          <w:tcPr>
            <w:tcW w:w="593" w:type="dxa"/>
            <w:vAlign w:val="center"/>
            <w:hideMark/>
          </w:tcPr>
          <w:p w14:paraId="318BBE6F" w14:textId="77777777" w:rsidR="00954F4D" w:rsidRPr="00B27245" w:rsidRDefault="00954F4D"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72,9</w:t>
            </w:r>
          </w:p>
        </w:tc>
        <w:tc>
          <w:tcPr>
            <w:tcW w:w="593" w:type="dxa"/>
            <w:vAlign w:val="center"/>
          </w:tcPr>
          <w:p w14:paraId="5915683D" w14:textId="77777777" w:rsidR="00954F4D" w:rsidRPr="00B27245" w:rsidRDefault="00AD3CA6"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66,8</w:t>
            </w:r>
          </w:p>
        </w:tc>
        <w:tc>
          <w:tcPr>
            <w:tcW w:w="881" w:type="dxa"/>
            <w:vAlign w:val="center"/>
          </w:tcPr>
          <w:p w14:paraId="254CC3AE" w14:textId="77777777" w:rsidR="00954F4D" w:rsidRPr="00B27245" w:rsidRDefault="00AD3CA6" w:rsidP="00B72A7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78,2</w:t>
            </w:r>
          </w:p>
        </w:tc>
      </w:tr>
      <w:tr w:rsidR="005E2111" w:rsidRPr="00B27245" w14:paraId="17CF3217" w14:textId="77777777" w:rsidTr="00C43E18">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263" w:type="dxa"/>
            <w:hideMark/>
          </w:tcPr>
          <w:p w14:paraId="2CC33044" w14:textId="77777777" w:rsidR="00954F4D" w:rsidRPr="00B27245" w:rsidRDefault="00954F4D">
            <w:pPr>
              <w:jc w:val="left"/>
              <w:rPr>
                <w:rFonts w:ascii="Times New Roman" w:hAnsi="Times New Roman" w:cs="Times New Roman"/>
                <w:i w:val="0"/>
                <w:color w:val="auto"/>
                <w:sz w:val="20"/>
                <w:szCs w:val="24"/>
                <w:lang w:val="sr-Cyrl-CS"/>
              </w:rPr>
            </w:pPr>
            <w:r w:rsidRPr="00B27245">
              <w:rPr>
                <w:rFonts w:ascii="Times New Roman" w:hAnsi="Times New Roman" w:cs="Times New Roman"/>
                <w:i w:val="0"/>
                <w:color w:val="auto"/>
                <w:sz w:val="20"/>
                <w:szCs w:val="24"/>
                <w:lang w:val="sr-Cyrl-CS"/>
              </w:rPr>
              <w:t xml:space="preserve">Регулаторна резервисања за билансну изложеност у односу на бруто проблематичне кредите </w:t>
            </w:r>
          </w:p>
        </w:tc>
        <w:tc>
          <w:tcPr>
            <w:tcW w:w="592" w:type="dxa"/>
            <w:vAlign w:val="center"/>
            <w:hideMark/>
          </w:tcPr>
          <w:p w14:paraId="571F6350"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cs="Times New Roman"/>
                <w:color w:val="auto"/>
                <w:sz w:val="16"/>
                <w:szCs w:val="24"/>
                <w:lang w:val="sr-Cyrl-CS"/>
              </w:rPr>
              <w:t>153,6</w:t>
            </w:r>
          </w:p>
        </w:tc>
        <w:tc>
          <w:tcPr>
            <w:tcW w:w="593" w:type="dxa"/>
            <w:vAlign w:val="center"/>
            <w:hideMark/>
          </w:tcPr>
          <w:p w14:paraId="6A31E042"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cs="Times New Roman"/>
                <w:color w:val="auto"/>
                <w:sz w:val="16"/>
                <w:szCs w:val="24"/>
                <w:lang w:val="sr-Cyrl-CS"/>
              </w:rPr>
              <w:t>142,5</w:t>
            </w:r>
          </w:p>
        </w:tc>
        <w:tc>
          <w:tcPr>
            <w:tcW w:w="593" w:type="dxa"/>
            <w:vAlign w:val="center"/>
            <w:hideMark/>
          </w:tcPr>
          <w:p w14:paraId="167528E8"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133,6</w:t>
            </w:r>
          </w:p>
        </w:tc>
        <w:tc>
          <w:tcPr>
            <w:tcW w:w="593" w:type="dxa"/>
            <w:vAlign w:val="center"/>
            <w:hideMark/>
          </w:tcPr>
          <w:p w14:paraId="27AF1976"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121,4</w:t>
            </w:r>
          </w:p>
        </w:tc>
        <w:tc>
          <w:tcPr>
            <w:tcW w:w="593" w:type="dxa"/>
            <w:vAlign w:val="center"/>
            <w:hideMark/>
          </w:tcPr>
          <w:p w14:paraId="03707ACB"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120,7</w:t>
            </w:r>
          </w:p>
        </w:tc>
        <w:tc>
          <w:tcPr>
            <w:tcW w:w="592" w:type="dxa"/>
            <w:vAlign w:val="center"/>
            <w:hideMark/>
          </w:tcPr>
          <w:p w14:paraId="0D2376B2"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113,8</w:t>
            </w:r>
          </w:p>
        </w:tc>
        <w:tc>
          <w:tcPr>
            <w:tcW w:w="593" w:type="dxa"/>
            <w:vAlign w:val="center"/>
            <w:hideMark/>
          </w:tcPr>
          <w:p w14:paraId="248D3FF1"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114,5</w:t>
            </w:r>
          </w:p>
        </w:tc>
        <w:tc>
          <w:tcPr>
            <w:tcW w:w="593" w:type="dxa"/>
            <w:vAlign w:val="center"/>
            <w:hideMark/>
          </w:tcPr>
          <w:p w14:paraId="59DAB9A5"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114,2</w:t>
            </w:r>
          </w:p>
        </w:tc>
        <w:tc>
          <w:tcPr>
            <w:tcW w:w="593" w:type="dxa"/>
            <w:vAlign w:val="center"/>
            <w:hideMark/>
          </w:tcPr>
          <w:p w14:paraId="3710D884" w14:textId="77777777" w:rsidR="00954F4D" w:rsidRPr="00B27245" w:rsidRDefault="00954F4D"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118,9</w:t>
            </w:r>
          </w:p>
        </w:tc>
        <w:tc>
          <w:tcPr>
            <w:tcW w:w="593" w:type="dxa"/>
            <w:vAlign w:val="center"/>
          </w:tcPr>
          <w:p w14:paraId="1C4F172C" w14:textId="77777777" w:rsidR="00954F4D" w:rsidRPr="00B27245" w:rsidRDefault="00AD3CA6"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133,2</w:t>
            </w:r>
          </w:p>
        </w:tc>
        <w:tc>
          <w:tcPr>
            <w:tcW w:w="881" w:type="dxa"/>
            <w:vAlign w:val="center"/>
          </w:tcPr>
          <w:p w14:paraId="2138B6F2" w14:textId="77777777" w:rsidR="00954F4D" w:rsidRPr="00B27245" w:rsidRDefault="00AD3CA6" w:rsidP="00B72A7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16"/>
                <w:szCs w:val="24"/>
                <w:lang w:val="sr-Cyrl-CS"/>
              </w:rPr>
            </w:pPr>
            <w:r w:rsidRPr="00B27245">
              <w:rPr>
                <w:rFonts w:ascii="Times New Roman" w:hAnsi="Times New Roman"/>
                <w:sz w:val="16"/>
                <w:lang w:val="sr-Cyrl-CS"/>
              </w:rPr>
              <w:t>153,3</w:t>
            </w:r>
          </w:p>
        </w:tc>
      </w:tr>
    </w:tbl>
    <w:p w14:paraId="02C15D79" w14:textId="77777777" w:rsidR="00216660" w:rsidRPr="00B27245" w:rsidRDefault="00216660" w:rsidP="00B72A76">
      <w:pPr>
        <w:rPr>
          <w:rFonts w:ascii="Times New Roman" w:hAnsi="Times New Roman" w:cs="Times New Roman"/>
          <w:sz w:val="20"/>
          <w:szCs w:val="20"/>
          <w:lang w:val="sr-Cyrl-CS"/>
        </w:rPr>
      </w:pPr>
      <w:r w:rsidRPr="00B27245">
        <w:rPr>
          <w:rFonts w:ascii="Times New Roman" w:hAnsi="Times New Roman" w:cs="Times New Roman"/>
          <w:sz w:val="20"/>
          <w:szCs w:val="20"/>
          <w:lang w:val="sr-Cyrl-CS"/>
        </w:rPr>
        <w:t>Извор: НБС</w:t>
      </w:r>
    </w:p>
    <w:p w14:paraId="4F2B9883" w14:textId="3458B2DC" w:rsidR="002F1AA1" w:rsidRPr="00B27245" w:rsidRDefault="00352939" w:rsidP="0040153E">
      <w:pPr>
        <w:spacing w:line="276" w:lineRule="auto"/>
        <w:ind w:firstLine="720"/>
        <w:jc w:val="both"/>
        <w:rPr>
          <w:rFonts w:ascii="Times New Roman" w:hAnsi="Times New Roman"/>
          <w:color w:val="000000"/>
          <w:sz w:val="24"/>
          <w:lang w:val="sr-Cyrl-CS"/>
        </w:rPr>
      </w:pPr>
      <w:r w:rsidRPr="00B27245">
        <w:rPr>
          <w:rFonts w:ascii="Times New Roman" w:hAnsi="Times New Roman" w:cs="Times New Roman"/>
          <w:sz w:val="24"/>
          <w:szCs w:val="24"/>
          <w:lang w:val="sr-Cyrl-CS"/>
        </w:rPr>
        <w:lastRenderedPageBreak/>
        <w:t>Пад проблематичних кредита је најизраженији у сектору привреде, где је и забележен највећи део ових кредита (4</w:t>
      </w:r>
      <w:r w:rsidR="00FE191C" w:rsidRPr="00B27245">
        <w:rPr>
          <w:rFonts w:ascii="Times New Roman" w:hAnsi="Times New Roman" w:cs="Times New Roman"/>
          <w:sz w:val="24"/>
          <w:szCs w:val="24"/>
          <w:lang w:val="sr-Cyrl-CS"/>
        </w:rPr>
        <w:t>3</w:t>
      </w:r>
      <w:r w:rsidRPr="00B27245">
        <w:rPr>
          <w:rFonts w:ascii="Times New Roman" w:hAnsi="Times New Roman" w:cs="Times New Roman"/>
          <w:sz w:val="24"/>
          <w:szCs w:val="24"/>
          <w:lang w:val="sr-Cyrl-CS"/>
        </w:rPr>
        <w:t xml:space="preserve">%). Учешће проблематичних кредита </w:t>
      </w:r>
      <w:r w:rsidR="00FE191C" w:rsidRPr="00B27245">
        <w:rPr>
          <w:rFonts w:ascii="Times New Roman" w:hAnsi="Times New Roman" w:cs="Times New Roman"/>
          <w:sz w:val="24"/>
          <w:szCs w:val="24"/>
          <w:lang w:val="sr-Cyrl-CS"/>
        </w:rPr>
        <w:t xml:space="preserve">привреди </w:t>
      </w:r>
      <w:r w:rsidRPr="00B27245">
        <w:rPr>
          <w:rFonts w:ascii="Times New Roman" w:hAnsi="Times New Roman" w:cs="Times New Roman"/>
          <w:sz w:val="24"/>
          <w:szCs w:val="24"/>
          <w:lang w:val="sr-Cyrl-CS"/>
        </w:rPr>
        <w:t xml:space="preserve">у укупним </w:t>
      </w:r>
      <w:r w:rsidR="00FE191C" w:rsidRPr="00B27245">
        <w:rPr>
          <w:rFonts w:ascii="Times New Roman" w:hAnsi="Times New Roman" w:cs="Times New Roman"/>
          <w:sz w:val="24"/>
          <w:szCs w:val="24"/>
          <w:lang w:val="sr-Cyrl-CS"/>
        </w:rPr>
        <w:t xml:space="preserve">проблематичним  </w:t>
      </w:r>
      <w:r w:rsidRPr="00B27245">
        <w:rPr>
          <w:rFonts w:ascii="Times New Roman" w:hAnsi="Times New Roman" w:cs="Times New Roman"/>
          <w:sz w:val="24"/>
          <w:szCs w:val="24"/>
          <w:lang w:val="sr-Cyrl-CS"/>
        </w:rPr>
        <w:t xml:space="preserve">кредитима је до краја трећег квартала 2018. </w:t>
      </w:r>
      <w:r w:rsidR="00344D1E" w:rsidRPr="00B27245">
        <w:rPr>
          <w:rFonts w:ascii="Times New Roman" w:hAnsi="Times New Roman" w:cs="Times New Roman"/>
          <w:sz w:val="24"/>
          <w:szCs w:val="24"/>
          <w:lang w:val="sr-Cyrl-CS"/>
        </w:rPr>
        <w:t>г</w:t>
      </w:r>
      <w:r w:rsidRPr="00B27245">
        <w:rPr>
          <w:rFonts w:ascii="Times New Roman" w:hAnsi="Times New Roman" w:cs="Times New Roman"/>
          <w:sz w:val="24"/>
          <w:szCs w:val="24"/>
          <w:lang w:val="sr-Cyrl-CS"/>
        </w:rPr>
        <w:t>одине</w:t>
      </w:r>
      <w:r w:rsidR="00344D1E" w:rsidRPr="00B27245">
        <w:rPr>
          <w:rFonts w:ascii="Times New Roman" w:hAnsi="Times New Roman" w:cs="Times New Roman"/>
          <w:sz w:val="24"/>
          <w:szCs w:val="24"/>
          <w:lang w:val="sr-Cyrl-CS"/>
        </w:rPr>
        <w:t xml:space="preserve"> </w:t>
      </w:r>
      <w:r w:rsidRPr="00B27245">
        <w:rPr>
          <w:rFonts w:ascii="Times New Roman" w:hAnsi="Times New Roman" w:cs="Times New Roman"/>
          <w:sz w:val="24"/>
          <w:szCs w:val="24"/>
          <w:lang w:val="sr-Cyrl-CS"/>
        </w:rPr>
        <w:t xml:space="preserve">смањено </w:t>
      </w:r>
      <w:r w:rsidR="00C43E18" w:rsidRPr="00B27245">
        <w:rPr>
          <w:rFonts w:ascii="Times New Roman" w:hAnsi="Times New Roman" w:cs="Times New Roman"/>
          <w:sz w:val="24"/>
          <w:szCs w:val="24"/>
          <w:lang w:val="sr-Cyrl-CS"/>
        </w:rPr>
        <w:t>за 156 млрд динара</w:t>
      </w:r>
      <w:r w:rsidR="00FE191C" w:rsidRPr="00B27245">
        <w:rPr>
          <w:rFonts w:ascii="Times New Roman" w:hAnsi="Times New Roman" w:cs="Times New Roman"/>
          <w:sz w:val="24"/>
          <w:szCs w:val="24"/>
          <w:lang w:val="sr-Cyrl-CS"/>
        </w:rPr>
        <w:t xml:space="preserve"> у односу на крај 2015. године</w:t>
      </w:r>
      <w:r w:rsidRPr="00B27245">
        <w:rPr>
          <w:rFonts w:ascii="Times New Roman" w:hAnsi="Times New Roman" w:cs="Times New Roman"/>
          <w:sz w:val="24"/>
          <w:szCs w:val="24"/>
          <w:lang w:val="sr-Cyrl-CS"/>
        </w:rPr>
        <w:t xml:space="preserve">. </w:t>
      </w:r>
      <w:r w:rsidR="00E31C57" w:rsidRPr="00B27245">
        <w:rPr>
          <w:rFonts w:ascii="Times New Roman" w:hAnsi="Times New Roman" w:cs="Times New Roman"/>
          <w:sz w:val="24"/>
          <w:szCs w:val="24"/>
          <w:lang w:val="sr-Cyrl-CS"/>
        </w:rPr>
        <w:t>Поред тога, значајно смањење забележено је и код проблематичних кредита</w:t>
      </w:r>
      <w:r w:rsidR="00E628E7" w:rsidRPr="00B27245">
        <w:rPr>
          <w:rFonts w:ascii="Times New Roman" w:hAnsi="Times New Roman" w:cs="Times New Roman"/>
          <w:sz w:val="24"/>
          <w:szCs w:val="24"/>
          <w:lang w:val="sr-Cyrl-CS"/>
        </w:rPr>
        <w:t xml:space="preserve"> у осталим секторима</w:t>
      </w:r>
      <w:r w:rsidR="00E31C57" w:rsidRPr="00B27245">
        <w:rPr>
          <w:rFonts w:ascii="Times New Roman" w:hAnsi="Times New Roman" w:cs="Times New Roman"/>
          <w:sz w:val="24"/>
          <w:szCs w:val="24"/>
          <w:lang w:val="sr-Cyrl-CS"/>
        </w:rPr>
        <w:t>, чије учешће у укупним проблематичним кредитима је смањено за 96,1 млрд динара, у односу на крај 2015. године.</w:t>
      </w:r>
      <w:r w:rsidR="00C43E18" w:rsidRPr="00B27245">
        <w:rPr>
          <w:rFonts w:ascii="Times New Roman" w:hAnsi="Times New Roman"/>
          <w:sz w:val="24"/>
          <w:lang w:val="sr-Cyrl-CS"/>
        </w:rPr>
        <w:t xml:space="preserve"> </w:t>
      </w:r>
      <w:r w:rsidR="00E628E7" w:rsidRPr="00B27245">
        <w:rPr>
          <w:rFonts w:ascii="Times New Roman" w:hAnsi="Times New Roman" w:cs="Times New Roman"/>
          <w:sz w:val="24"/>
          <w:szCs w:val="24"/>
          <w:lang w:val="sr-Cyrl-CS"/>
        </w:rPr>
        <w:t>Уз то, учешће проблематичних кредита становништва у укупним проблемати</w:t>
      </w:r>
      <w:r w:rsidR="00572F07" w:rsidRPr="00B27245">
        <w:rPr>
          <w:rFonts w:ascii="Times New Roman" w:hAnsi="Times New Roman" w:cs="Times New Roman"/>
          <w:sz w:val="24"/>
          <w:szCs w:val="24"/>
          <w:lang w:val="sr-Cyrl-CS"/>
        </w:rPr>
        <w:t>чним кредитима је смањено за 31,</w:t>
      </w:r>
      <w:r w:rsidR="00E628E7" w:rsidRPr="00B27245">
        <w:rPr>
          <w:rFonts w:ascii="Times New Roman" w:hAnsi="Times New Roman" w:cs="Times New Roman"/>
          <w:sz w:val="24"/>
          <w:szCs w:val="24"/>
          <w:lang w:val="sr-Cyrl-CS"/>
        </w:rPr>
        <w:t xml:space="preserve">2 млрд динара, у истом периоду. </w:t>
      </w:r>
      <w:r w:rsidR="00C43E18" w:rsidRPr="00B27245">
        <w:rPr>
          <w:rFonts w:ascii="Times New Roman" w:hAnsi="Times New Roman" w:cs="Times New Roman"/>
          <w:sz w:val="24"/>
          <w:szCs w:val="24"/>
          <w:lang w:val="sr-Cyrl-CS"/>
        </w:rPr>
        <w:t xml:space="preserve">Илустрација 1. приказује кретање и структуру проблематичних кредита у периоду од 2008. до </w:t>
      </w:r>
      <w:r w:rsidR="00C43E18" w:rsidRPr="00B27245">
        <w:rPr>
          <w:rFonts w:ascii="Times New Roman" w:hAnsi="Times New Roman"/>
          <w:sz w:val="24"/>
          <w:lang w:val="sr-Cyrl-CS"/>
        </w:rPr>
        <w:t xml:space="preserve">III </w:t>
      </w:r>
      <w:r w:rsidR="00C43E18" w:rsidRPr="00B27245">
        <w:rPr>
          <w:rFonts w:ascii="Times New Roman" w:hAnsi="Times New Roman" w:cs="Times New Roman"/>
          <w:sz w:val="24"/>
          <w:szCs w:val="24"/>
          <w:lang w:val="sr-Cyrl-CS"/>
        </w:rPr>
        <w:t>квартала 2018. године.</w:t>
      </w:r>
    </w:p>
    <w:p w14:paraId="5686C437" w14:textId="37571391" w:rsidR="002F1AA1" w:rsidRPr="00B27245" w:rsidRDefault="002F1AA1" w:rsidP="002F1AA1">
      <w:pPr>
        <w:pStyle w:val="Caption"/>
        <w:keepNext/>
        <w:ind w:firstLine="0"/>
        <w:jc w:val="center"/>
        <w:rPr>
          <w:i w:val="0"/>
          <w:color w:val="auto"/>
          <w:sz w:val="24"/>
          <w:szCs w:val="24"/>
          <w:lang w:val="sr-Cyrl-CS"/>
        </w:rPr>
      </w:pPr>
      <w:r w:rsidRPr="00B27245">
        <w:rPr>
          <w:i w:val="0"/>
          <w:color w:val="auto"/>
          <w:sz w:val="24"/>
          <w:szCs w:val="24"/>
          <w:lang w:val="sr-Cyrl-CS"/>
        </w:rPr>
        <w:t xml:space="preserve">Илустрација </w:t>
      </w:r>
      <w:r w:rsidRPr="00B27245">
        <w:rPr>
          <w:i w:val="0"/>
          <w:color w:val="auto"/>
          <w:sz w:val="24"/>
          <w:szCs w:val="24"/>
          <w:lang w:val="sr-Cyrl-CS"/>
        </w:rPr>
        <w:fldChar w:fldCharType="begin"/>
      </w:r>
      <w:r w:rsidRPr="00B27245">
        <w:rPr>
          <w:i w:val="0"/>
          <w:color w:val="auto"/>
          <w:sz w:val="24"/>
          <w:szCs w:val="24"/>
          <w:lang w:val="sr-Cyrl-CS"/>
        </w:rPr>
        <w:instrText xml:space="preserve"> SEQ Илустрација \* ARABIC </w:instrText>
      </w:r>
      <w:r w:rsidRPr="00B27245">
        <w:rPr>
          <w:i w:val="0"/>
          <w:color w:val="auto"/>
          <w:sz w:val="24"/>
          <w:szCs w:val="24"/>
          <w:lang w:val="sr-Cyrl-CS"/>
        </w:rPr>
        <w:fldChar w:fldCharType="separate"/>
      </w:r>
      <w:r w:rsidR="00971B83">
        <w:rPr>
          <w:i w:val="0"/>
          <w:noProof/>
          <w:color w:val="auto"/>
          <w:sz w:val="24"/>
          <w:szCs w:val="24"/>
          <w:lang w:val="sr-Cyrl-CS"/>
        </w:rPr>
        <w:t>1</w:t>
      </w:r>
      <w:r w:rsidRPr="00B27245">
        <w:rPr>
          <w:i w:val="0"/>
          <w:color w:val="auto"/>
          <w:sz w:val="24"/>
          <w:szCs w:val="24"/>
          <w:lang w:val="sr-Cyrl-CS"/>
        </w:rPr>
        <w:fldChar w:fldCharType="end"/>
      </w:r>
      <w:r w:rsidR="00527CD8" w:rsidRPr="00B27245">
        <w:rPr>
          <w:i w:val="0"/>
          <w:color w:val="auto"/>
          <w:sz w:val="24"/>
          <w:szCs w:val="24"/>
          <w:lang w:val="sr-Cyrl-CS"/>
        </w:rPr>
        <w:t>:</w:t>
      </w:r>
      <w:r w:rsidRPr="00B27245">
        <w:rPr>
          <w:i w:val="0"/>
          <w:color w:val="auto"/>
          <w:sz w:val="24"/>
          <w:szCs w:val="24"/>
          <w:lang w:val="sr-Cyrl-CS"/>
        </w:rPr>
        <w:t xml:space="preserve"> Учешће NPL у укупним кредитима, бруто принцип</w:t>
      </w:r>
    </w:p>
    <w:p w14:paraId="0B224EAC" w14:textId="77777777" w:rsidR="002F1AA1" w:rsidRPr="00B27245" w:rsidRDefault="00552D7A" w:rsidP="002F1AA1">
      <w:pPr>
        <w:rPr>
          <w:rFonts w:ascii="Times New Roman" w:hAnsi="Times New Roman" w:cs="Times New Roman"/>
          <w:sz w:val="20"/>
          <w:szCs w:val="20"/>
          <w:lang w:val="sr-Cyrl-CS"/>
        </w:rPr>
      </w:pPr>
      <w:r w:rsidRPr="00B27245">
        <w:rPr>
          <w:rFonts w:ascii="Times New Roman" w:hAnsi="Times New Roman"/>
          <w:noProof/>
          <w:sz w:val="24"/>
          <w:lang w:val="en-US"/>
        </w:rPr>
        <w:drawing>
          <wp:inline distT="0" distB="0" distL="0" distR="0" wp14:anchorId="396DB6FB" wp14:editId="41118AD5">
            <wp:extent cx="5648325" cy="2647950"/>
            <wp:effectExtent l="0" t="0" r="0" b="0"/>
            <wp:docPr id="5" name="Chart 5">
              <a:extLst xmlns:a="http://schemas.openxmlformats.org/drawingml/2006/main">
                <a:ext uri="{FF2B5EF4-FFF2-40B4-BE49-F238E27FC236}">
                  <a16:creationId xmlns:a16="http://schemas.microsoft.com/office/drawing/2014/main" id="{00000000-0008-0000-01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2F1AA1" w:rsidRPr="00B27245">
        <w:rPr>
          <w:rFonts w:ascii="Times New Roman" w:hAnsi="Times New Roman" w:cs="Times New Roman"/>
          <w:sz w:val="24"/>
          <w:szCs w:val="24"/>
          <w:lang w:val="sr-Cyrl-CS"/>
        </w:rPr>
        <w:t xml:space="preserve"> </w:t>
      </w:r>
      <w:r w:rsidR="002F1AA1" w:rsidRPr="00B27245">
        <w:rPr>
          <w:rFonts w:ascii="Times New Roman" w:hAnsi="Times New Roman" w:cs="Times New Roman"/>
          <w:sz w:val="20"/>
          <w:szCs w:val="20"/>
          <w:lang w:val="sr-Cyrl-CS"/>
        </w:rPr>
        <w:t>Извор: НБС</w:t>
      </w:r>
    </w:p>
    <w:p w14:paraId="3E30C40C" w14:textId="4EB03A72" w:rsidR="00527CD8" w:rsidRPr="00B27245" w:rsidRDefault="002F1AA1" w:rsidP="00572F07">
      <w:pPr>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Неколико фактора </w:t>
      </w:r>
      <w:r w:rsidR="00216660" w:rsidRPr="00B27245">
        <w:rPr>
          <w:rFonts w:ascii="Times New Roman" w:hAnsi="Times New Roman" w:cs="Times New Roman"/>
          <w:sz w:val="24"/>
          <w:szCs w:val="24"/>
          <w:lang w:val="sr-Cyrl-CS"/>
        </w:rPr>
        <w:t>допринел</w:t>
      </w:r>
      <w:r w:rsidRPr="00B27245">
        <w:rPr>
          <w:rFonts w:ascii="Times New Roman" w:hAnsi="Times New Roman" w:cs="Times New Roman"/>
          <w:sz w:val="24"/>
          <w:szCs w:val="24"/>
          <w:lang w:val="sr-Cyrl-CS"/>
        </w:rPr>
        <w:t>о је</w:t>
      </w:r>
      <w:r w:rsidR="00216660" w:rsidRPr="00B27245">
        <w:rPr>
          <w:rFonts w:ascii="Times New Roman" w:hAnsi="Times New Roman" w:cs="Times New Roman"/>
          <w:sz w:val="24"/>
          <w:szCs w:val="24"/>
          <w:lang w:val="sr-Cyrl-CS"/>
        </w:rPr>
        <w:t xml:space="preserve"> значајном смањењу</w:t>
      </w:r>
      <w:r w:rsidR="00344D1E" w:rsidRPr="00B27245">
        <w:rPr>
          <w:rFonts w:ascii="Times New Roman" w:hAnsi="Times New Roman" w:cs="Times New Roman"/>
          <w:sz w:val="24"/>
          <w:szCs w:val="24"/>
          <w:lang w:val="sr-Cyrl-CS"/>
        </w:rPr>
        <w:t xml:space="preserve"> </w:t>
      </w:r>
      <w:r w:rsidR="00527CD8" w:rsidRPr="00B27245">
        <w:rPr>
          <w:rFonts w:ascii="Times New Roman" w:hAnsi="Times New Roman" w:cs="Times New Roman"/>
          <w:sz w:val="24"/>
          <w:szCs w:val="24"/>
          <w:lang w:val="sr-Cyrl-CS"/>
        </w:rPr>
        <w:t>нивоа проблематичних кредита у претходном трогодишњем периоду</w:t>
      </w:r>
      <w:r w:rsidR="00216660" w:rsidRPr="00B27245">
        <w:rPr>
          <w:rFonts w:ascii="Times New Roman" w:hAnsi="Times New Roman" w:cs="Times New Roman"/>
          <w:sz w:val="24"/>
          <w:szCs w:val="24"/>
          <w:lang w:val="sr-Cyrl-CS"/>
        </w:rPr>
        <w:t xml:space="preserve">: отпис потраживања, </w:t>
      </w:r>
      <w:r w:rsidR="000803B2" w:rsidRPr="00B27245">
        <w:rPr>
          <w:rFonts w:ascii="Times New Roman" w:hAnsi="Times New Roman" w:cs="Times New Roman"/>
          <w:sz w:val="24"/>
          <w:szCs w:val="24"/>
          <w:lang w:val="sr-Cyrl-CS"/>
        </w:rPr>
        <w:t>уступање</w:t>
      </w:r>
      <w:r w:rsidR="00572F07" w:rsidRPr="00B27245">
        <w:rPr>
          <w:rFonts w:ascii="Times New Roman" w:hAnsi="Times New Roman" w:cs="Times New Roman"/>
          <w:sz w:val="24"/>
          <w:szCs w:val="24"/>
          <w:lang w:val="sr-Cyrl-CS"/>
        </w:rPr>
        <w:t>,</w:t>
      </w:r>
      <w:r w:rsidR="00216660" w:rsidRPr="00B27245">
        <w:rPr>
          <w:rFonts w:ascii="Times New Roman" w:hAnsi="Times New Roman" w:cs="Times New Roman"/>
          <w:sz w:val="24"/>
          <w:szCs w:val="24"/>
          <w:lang w:val="sr-Cyrl-CS"/>
        </w:rPr>
        <w:t xml:space="preserve"> односно продаја потраживања, наплата</w:t>
      </w:r>
      <w:r w:rsidR="00572F07" w:rsidRPr="00B27245">
        <w:rPr>
          <w:rFonts w:ascii="Times New Roman" w:hAnsi="Times New Roman" w:cs="Times New Roman"/>
          <w:sz w:val="24"/>
          <w:szCs w:val="24"/>
          <w:lang w:val="sr-Cyrl-CS"/>
        </w:rPr>
        <w:t>,</w:t>
      </w:r>
      <w:r w:rsidR="00216660" w:rsidRPr="00B27245">
        <w:rPr>
          <w:rFonts w:ascii="Times New Roman" w:hAnsi="Times New Roman" w:cs="Times New Roman"/>
          <w:sz w:val="24"/>
          <w:szCs w:val="24"/>
          <w:lang w:val="sr-Cyrl-CS"/>
        </w:rPr>
        <w:t xml:space="preserve"> односно намирење и, у мањој мери, реструктурирање потраживања. </w:t>
      </w:r>
      <w:r w:rsidR="00C8532A" w:rsidRPr="00B27245">
        <w:rPr>
          <w:rFonts w:ascii="Times New Roman" w:hAnsi="Times New Roman" w:cs="Times New Roman"/>
          <w:sz w:val="24"/>
          <w:szCs w:val="24"/>
          <w:lang w:val="sr-Cyrl-CS"/>
        </w:rPr>
        <w:t>Илустрација 2</w:t>
      </w:r>
      <w:r w:rsidR="0065610A" w:rsidRPr="00B27245">
        <w:rPr>
          <w:rFonts w:ascii="Times New Roman" w:hAnsi="Times New Roman" w:cs="Times New Roman"/>
          <w:sz w:val="24"/>
          <w:szCs w:val="24"/>
          <w:lang w:val="sr-Cyrl-CS"/>
        </w:rPr>
        <w:t>.</w:t>
      </w:r>
      <w:r w:rsidR="00C43E18" w:rsidRPr="00B27245">
        <w:rPr>
          <w:rFonts w:ascii="Times New Roman" w:hAnsi="Times New Roman" w:cs="Times New Roman"/>
          <w:sz w:val="24"/>
          <w:szCs w:val="24"/>
          <w:lang w:val="sr-Cyrl-CS"/>
        </w:rPr>
        <w:t xml:space="preserve"> приказује значај фактора који су довели до смањења проблематичних кредита.</w:t>
      </w:r>
      <w:r w:rsidR="00572F07" w:rsidRPr="00B27245">
        <w:rPr>
          <w:rFonts w:ascii="Times New Roman" w:hAnsi="Times New Roman" w:cs="Times New Roman"/>
          <w:sz w:val="24"/>
          <w:szCs w:val="24"/>
          <w:lang w:val="sr-Cyrl-CS"/>
        </w:rPr>
        <w:t xml:space="preserve"> </w:t>
      </w:r>
    </w:p>
    <w:p w14:paraId="6FDDD699" w14:textId="77777777" w:rsidR="00C95365" w:rsidRPr="00B27245" w:rsidRDefault="00C95365" w:rsidP="005A67B4">
      <w:pPr>
        <w:jc w:val="center"/>
        <w:rPr>
          <w:rFonts w:ascii="Times New Roman" w:hAnsi="Times New Roman" w:cs="Times New Roman"/>
          <w:sz w:val="24"/>
          <w:szCs w:val="24"/>
          <w:lang w:val="sr-Cyrl-CS"/>
        </w:rPr>
      </w:pPr>
    </w:p>
    <w:p w14:paraId="2C7EAE69" w14:textId="77777777" w:rsidR="00C95365" w:rsidRPr="00B27245" w:rsidRDefault="00C95365" w:rsidP="005A67B4">
      <w:pPr>
        <w:jc w:val="center"/>
        <w:rPr>
          <w:rFonts w:ascii="Times New Roman" w:hAnsi="Times New Roman" w:cs="Times New Roman"/>
          <w:sz w:val="24"/>
          <w:szCs w:val="24"/>
          <w:lang w:val="sr-Cyrl-CS"/>
        </w:rPr>
      </w:pPr>
    </w:p>
    <w:p w14:paraId="12F5AB51" w14:textId="77777777" w:rsidR="00C95365" w:rsidRPr="00B27245" w:rsidRDefault="00C95365" w:rsidP="005A67B4">
      <w:pPr>
        <w:jc w:val="center"/>
        <w:rPr>
          <w:rFonts w:ascii="Times New Roman" w:hAnsi="Times New Roman" w:cs="Times New Roman"/>
          <w:sz w:val="24"/>
          <w:szCs w:val="24"/>
          <w:lang w:val="sr-Cyrl-CS"/>
        </w:rPr>
      </w:pPr>
    </w:p>
    <w:p w14:paraId="75BA0C9A" w14:textId="77777777" w:rsidR="00C95365" w:rsidRPr="00B27245" w:rsidRDefault="00C95365" w:rsidP="005A67B4">
      <w:pPr>
        <w:jc w:val="center"/>
        <w:rPr>
          <w:rFonts w:ascii="Times New Roman" w:hAnsi="Times New Roman" w:cs="Times New Roman"/>
          <w:sz w:val="24"/>
          <w:szCs w:val="24"/>
          <w:lang w:val="sr-Cyrl-CS"/>
        </w:rPr>
      </w:pPr>
    </w:p>
    <w:p w14:paraId="7D826967" w14:textId="77777777" w:rsidR="00C95365" w:rsidRPr="00B27245" w:rsidRDefault="00C95365" w:rsidP="005A67B4">
      <w:pPr>
        <w:jc w:val="center"/>
        <w:rPr>
          <w:rFonts w:ascii="Times New Roman" w:hAnsi="Times New Roman" w:cs="Times New Roman"/>
          <w:sz w:val="24"/>
          <w:szCs w:val="24"/>
          <w:lang w:val="sr-Cyrl-CS"/>
        </w:rPr>
      </w:pPr>
    </w:p>
    <w:p w14:paraId="0F127F32" w14:textId="77777777" w:rsidR="00C95365" w:rsidRPr="00B27245" w:rsidRDefault="00C95365" w:rsidP="005A67B4">
      <w:pPr>
        <w:jc w:val="center"/>
        <w:rPr>
          <w:rFonts w:ascii="Times New Roman" w:hAnsi="Times New Roman" w:cs="Times New Roman"/>
          <w:sz w:val="24"/>
          <w:szCs w:val="24"/>
          <w:lang w:val="sr-Cyrl-CS"/>
        </w:rPr>
      </w:pPr>
    </w:p>
    <w:p w14:paraId="53A64E7F" w14:textId="77777777" w:rsidR="00C95365" w:rsidRPr="00B27245" w:rsidRDefault="00C95365" w:rsidP="005A67B4">
      <w:pPr>
        <w:jc w:val="center"/>
        <w:rPr>
          <w:rFonts w:ascii="Times New Roman" w:hAnsi="Times New Roman" w:cs="Times New Roman"/>
          <w:sz w:val="24"/>
          <w:szCs w:val="24"/>
          <w:lang w:val="sr-Cyrl-CS"/>
        </w:rPr>
      </w:pPr>
    </w:p>
    <w:p w14:paraId="2E1E33DB" w14:textId="77777777" w:rsidR="00E45664" w:rsidRPr="00B27245" w:rsidRDefault="00E45664" w:rsidP="005A67B4">
      <w:pPr>
        <w:jc w:val="center"/>
        <w:rPr>
          <w:rFonts w:ascii="Times New Roman" w:hAnsi="Times New Roman" w:cs="Times New Roman"/>
          <w:sz w:val="24"/>
          <w:szCs w:val="24"/>
          <w:lang w:val="sr-Cyrl-CS"/>
        </w:rPr>
      </w:pPr>
    </w:p>
    <w:p w14:paraId="57B82A9B" w14:textId="77777777" w:rsidR="00443A10" w:rsidRPr="00B27245" w:rsidRDefault="00443A10" w:rsidP="005A67B4">
      <w:pPr>
        <w:jc w:val="center"/>
        <w:rPr>
          <w:rFonts w:ascii="Times New Roman" w:hAnsi="Times New Roman" w:cs="Times New Roman"/>
          <w:sz w:val="24"/>
          <w:szCs w:val="24"/>
          <w:lang w:val="sr-Cyrl-CS"/>
        </w:rPr>
      </w:pPr>
    </w:p>
    <w:p w14:paraId="4F47522D" w14:textId="77777777" w:rsidR="00527CD8" w:rsidRPr="00B27245" w:rsidRDefault="00527CD8" w:rsidP="005A67B4">
      <w:pPr>
        <w:jc w:val="center"/>
        <w:rPr>
          <w:rFonts w:ascii="Times New Roman" w:hAnsi="Times New Roman" w:cs="Times New Roman"/>
          <w:sz w:val="24"/>
          <w:szCs w:val="24"/>
          <w:lang w:val="sr-Cyrl-CS"/>
        </w:rPr>
      </w:pPr>
      <w:r w:rsidRPr="00B27245">
        <w:rPr>
          <w:rFonts w:ascii="Times New Roman" w:hAnsi="Times New Roman" w:cs="Times New Roman"/>
          <w:sz w:val="24"/>
          <w:szCs w:val="24"/>
          <w:lang w:val="sr-Cyrl-CS"/>
        </w:rPr>
        <w:t>Илустрација 2: Структура смањења проблематичних кредита</w:t>
      </w:r>
    </w:p>
    <w:p w14:paraId="7E286854" w14:textId="77777777" w:rsidR="00527CD8" w:rsidRPr="00B27245" w:rsidRDefault="00527CD8" w:rsidP="002F1AA1">
      <w:pPr>
        <w:jc w:val="both"/>
        <w:rPr>
          <w:rFonts w:ascii="Times New Roman" w:hAnsi="Times New Roman" w:cs="Times New Roman"/>
          <w:sz w:val="24"/>
          <w:szCs w:val="24"/>
          <w:lang w:val="sr-Cyrl-CS"/>
        </w:rPr>
      </w:pPr>
    </w:p>
    <w:p w14:paraId="6F375281" w14:textId="77777777" w:rsidR="00527CD8" w:rsidRPr="00B27245" w:rsidRDefault="00C95365" w:rsidP="002F1AA1">
      <w:pPr>
        <w:jc w:val="both"/>
        <w:rPr>
          <w:rFonts w:ascii="Times New Roman" w:hAnsi="Times New Roman" w:cs="Times New Roman"/>
          <w:sz w:val="24"/>
          <w:szCs w:val="24"/>
          <w:lang w:val="sr-Cyrl-CS"/>
        </w:rPr>
      </w:pPr>
      <w:r w:rsidRPr="00B27245">
        <w:rPr>
          <w:noProof/>
          <w:lang w:val="en-US"/>
        </w:rPr>
        <mc:AlternateContent>
          <mc:Choice Requires="wpg">
            <w:drawing>
              <wp:anchor distT="0" distB="0" distL="114300" distR="114300" simplePos="0" relativeHeight="251659264" behindDoc="0" locked="0" layoutInCell="1" allowOverlap="1" wp14:anchorId="5907EA70" wp14:editId="1FB9BB75">
                <wp:simplePos x="0" y="0"/>
                <wp:positionH relativeFrom="column">
                  <wp:posOffset>-60325</wp:posOffset>
                </wp:positionH>
                <wp:positionV relativeFrom="paragraph">
                  <wp:posOffset>-104050</wp:posOffset>
                </wp:positionV>
                <wp:extent cx="5743575" cy="2647950"/>
                <wp:effectExtent l="0" t="0" r="28575" b="19050"/>
                <wp:wrapNone/>
                <wp:docPr id="77" name="Group 3"/>
                <wp:cNvGraphicFramePr/>
                <a:graphic xmlns:a="http://schemas.openxmlformats.org/drawingml/2006/main">
                  <a:graphicData uri="http://schemas.microsoft.com/office/word/2010/wordprocessingGroup">
                    <wpg:wgp>
                      <wpg:cNvGrpSpPr/>
                      <wpg:grpSpPr bwMode="auto">
                        <a:xfrm>
                          <a:off x="0" y="0"/>
                          <a:ext cx="5743575" cy="2647950"/>
                          <a:chOff x="0" y="0"/>
                          <a:chExt cx="603" cy="278"/>
                        </a:xfrm>
                      </wpg:grpSpPr>
                      <wps:wsp>
                        <wps:cNvPr id="78" name="AutoShape 2"/>
                        <wps:cNvSpPr>
                          <a:spLocks noChangeAspect="1" noChangeArrowheads="1" noTextEdit="1"/>
                        </wps:cNvSpPr>
                        <wps:spPr bwMode="auto">
                          <a:xfrm>
                            <a:off x="0" y="0"/>
                            <a:ext cx="603" cy="2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B6E7C" w14:textId="77777777" w:rsidR="0083182E" w:rsidRDefault="0083182E" w:rsidP="00C95365">
                              <w:pPr>
                                <w:rPr>
                                  <w:rFonts w:eastAsia="Times New Roman"/>
                                </w:rPr>
                              </w:pPr>
                            </w:p>
                          </w:txbxContent>
                        </wps:txbx>
                        <wps:bodyPr/>
                      </wps:wsp>
                      <wps:wsp>
                        <wps:cNvPr id="79" name="Rectangle 79"/>
                        <wps:cNvSpPr>
                          <a:spLocks noChangeArrowheads="1"/>
                        </wps:cNvSpPr>
                        <wps:spPr bwMode="auto">
                          <a:xfrm>
                            <a:off x="0" y="0"/>
                            <a:ext cx="603" cy="2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F51162" w14:textId="77777777" w:rsidR="0083182E" w:rsidRDefault="0083182E" w:rsidP="00C95365">
                              <w:pPr>
                                <w:rPr>
                                  <w:rFonts w:eastAsia="Times New Roman"/>
                                </w:rPr>
                              </w:pPr>
                            </w:p>
                          </w:txbxContent>
                        </wps:txbx>
                        <wps:bodyPr/>
                      </wps:wsp>
                      <wps:wsp>
                        <wps:cNvPr id="80" name="Rectangle 80"/>
                        <wps:cNvSpPr>
                          <a:spLocks noChangeArrowheads="1"/>
                        </wps:cNvSpPr>
                        <wps:spPr bwMode="auto">
                          <a:xfrm>
                            <a:off x="35" y="11"/>
                            <a:ext cx="555" cy="2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CE1CDC" w14:textId="77777777" w:rsidR="0083182E" w:rsidRDefault="0083182E" w:rsidP="00C95365">
                              <w:pPr>
                                <w:rPr>
                                  <w:rFonts w:eastAsia="Times New Roman"/>
                                </w:rPr>
                              </w:pPr>
                            </w:p>
                          </w:txbxContent>
                        </wps:txbx>
                        <wps:bodyPr/>
                      </wps:wsp>
                      <wps:wsp>
                        <wps:cNvPr id="81" name="Rectangle 81"/>
                        <wps:cNvSpPr>
                          <a:spLocks noChangeArrowheads="1"/>
                        </wps:cNvSpPr>
                        <wps:spPr bwMode="auto">
                          <a:xfrm>
                            <a:off x="63" y="22"/>
                            <a:ext cx="37" cy="213"/>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F1490" w14:textId="77777777" w:rsidR="0083182E" w:rsidRDefault="0083182E" w:rsidP="00C95365">
                              <w:pPr>
                                <w:rPr>
                                  <w:rFonts w:eastAsia="Times New Roman"/>
                                </w:rPr>
                              </w:pPr>
                            </w:p>
                          </w:txbxContent>
                        </wps:txbx>
                        <wps:bodyPr/>
                      </wps:wsp>
                      <wps:wsp>
                        <wps:cNvPr id="82" name="Rectangle 82"/>
                        <wps:cNvSpPr>
                          <a:spLocks noChangeArrowheads="1"/>
                        </wps:cNvSpPr>
                        <wps:spPr bwMode="auto">
                          <a:xfrm>
                            <a:off x="340" y="152"/>
                            <a:ext cx="37" cy="3"/>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42F26B" w14:textId="77777777" w:rsidR="0083182E" w:rsidRDefault="0083182E" w:rsidP="00C95365">
                              <w:pPr>
                                <w:rPr>
                                  <w:rFonts w:eastAsia="Times New Roman"/>
                                </w:rPr>
                              </w:pPr>
                            </w:p>
                          </w:txbxContent>
                        </wps:txbx>
                        <wps:bodyPr/>
                      </wps:wsp>
                      <wps:wsp>
                        <wps:cNvPr id="83" name="Rectangle 83"/>
                        <wps:cNvSpPr>
                          <a:spLocks noChangeArrowheads="1"/>
                        </wps:cNvSpPr>
                        <wps:spPr bwMode="auto">
                          <a:xfrm>
                            <a:off x="525" y="164"/>
                            <a:ext cx="37" cy="71"/>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FA098" w14:textId="77777777" w:rsidR="0083182E" w:rsidRDefault="0083182E" w:rsidP="00C95365">
                              <w:pPr>
                                <w:rPr>
                                  <w:rFonts w:eastAsia="Times New Roman"/>
                                </w:rPr>
                              </w:pPr>
                            </w:p>
                          </w:txbxContent>
                        </wps:txbx>
                        <wps:bodyPr/>
                      </wps:wsp>
                      <wps:wsp>
                        <wps:cNvPr id="84" name="Freeform 84"/>
                        <wps:cNvSpPr>
                          <a:spLocks noEditPoints="1"/>
                        </wps:cNvSpPr>
                        <wps:spPr bwMode="auto">
                          <a:xfrm>
                            <a:off x="155" y="22"/>
                            <a:ext cx="315" cy="149"/>
                          </a:xfrm>
                          <a:custGeom>
                            <a:avLst/>
                            <a:gdLst>
                              <a:gd name="T0" fmla="*/ 0 w 315"/>
                              <a:gd name="T1" fmla="*/ 0 h 149"/>
                              <a:gd name="T2" fmla="*/ 37 w 315"/>
                              <a:gd name="T3" fmla="*/ 0 h 149"/>
                              <a:gd name="T4" fmla="*/ 37 w 315"/>
                              <a:gd name="T5" fmla="*/ 88 h 149"/>
                              <a:gd name="T6" fmla="*/ 0 w 315"/>
                              <a:gd name="T7" fmla="*/ 88 h 149"/>
                              <a:gd name="T8" fmla="*/ 0 w 315"/>
                              <a:gd name="T9" fmla="*/ 0 h 149"/>
                              <a:gd name="T10" fmla="*/ 93 w 315"/>
                              <a:gd name="T11" fmla="*/ 88 h 149"/>
                              <a:gd name="T12" fmla="*/ 130 w 315"/>
                              <a:gd name="T13" fmla="*/ 88 h 149"/>
                              <a:gd name="T14" fmla="*/ 130 w 315"/>
                              <a:gd name="T15" fmla="*/ 130 h 149"/>
                              <a:gd name="T16" fmla="*/ 93 w 315"/>
                              <a:gd name="T17" fmla="*/ 130 h 149"/>
                              <a:gd name="T18" fmla="*/ 93 w 315"/>
                              <a:gd name="T19" fmla="*/ 88 h 149"/>
                              <a:gd name="T20" fmla="*/ 278 w 315"/>
                              <a:gd name="T21" fmla="*/ 133 h 149"/>
                              <a:gd name="T22" fmla="*/ 315 w 315"/>
                              <a:gd name="T23" fmla="*/ 133 h 149"/>
                              <a:gd name="T24" fmla="*/ 315 w 315"/>
                              <a:gd name="T25" fmla="*/ 149 h 149"/>
                              <a:gd name="T26" fmla="*/ 278 w 315"/>
                              <a:gd name="T27" fmla="*/ 149 h 149"/>
                              <a:gd name="T28" fmla="*/ 278 w 315"/>
                              <a:gd name="T29" fmla="*/ 133 h 1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15" h="149">
                                <a:moveTo>
                                  <a:pt x="0" y="0"/>
                                </a:moveTo>
                                <a:lnTo>
                                  <a:pt x="37" y="0"/>
                                </a:lnTo>
                                <a:lnTo>
                                  <a:pt x="37" y="88"/>
                                </a:lnTo>
                                <a:lnTo>
                                  <a:pt x="0" y="88"/>
                                </a:lnTo>
                                <a:lnTo>
                                  <a:pt x="0" y="0"/>
                                </a:lnTo>
                                <a:close/>
                                <a:moveTo>
                                  <a:pt x="93" y="88"/>
                                </a:moveTo>
                                <a:lnTo>
                                  <a:pt x="130" y="88"/>
                                </a:lnTo>
                                <a:lnTo>
                                  <a:pt x="130" y="130"/>
                                </a:lnTo>
                                <a:lnTo>
                                  <a:pt x="93" y="130"/>
                                </a:lnTo>
                                <a:lnTo>
                                  <a:pt x="93" y="88"/>
                                </a:lnTo>
                                <a:close/>
                                <a:moveTo>
                                  <a:pt x="278" y="133"/>
                                </a:moveTo>
                                <a:lnTo>
                                  <a:pt x="315" y="133"/>
                                </a:lnTo>
                                <a:lnTo>
                                  <a:pt x="315" y="149"/>
                                </a:lnTo>
                                <a:lnTo>
                                  <a:pt x="278" y="149"/>
                                </a:lnTo>
                                <a:lnTo>
                                  <a:pt x="278" y="133"/>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F6346F4" w14:textId="77777777" w:rsidR="0083182E" w:rsidRDefault="0083182E" w:rsidP="00C95365">
                              <w:pPr>
                                <w:rPr>
                                  <w:rFonts w:eastAsia="Times New Roman"/>
                                </w:rPr>
                              </w:pPr>
                            </w:p>
                          </w:txbxContent>
                        </wps:txbx>
                        <wps:bodyPr/>
                      </wps:wsp>
                      <wps:wsp>
                        <wps:cNvPr id="85" name="Rectangle 85"/>
                        <wps:cNvSpPr>
                          <a:spLocks noChangeArrowheads="1"/>
                        </wps:cNvSpPr>
                        <wps:spPr bwMode="auto">
                          <a:xfrm>
                            <a:off x="35" y="11"/>
                            <a:ext cx="1" cy="224"/>
                          </a:xfrm>
                          <a:prstGeom prst="rect">
                            <a:avLst/>
                          </a:prstGeom>
                          <a:solidFill>
                            <a:srgbClr val="868686"/>
                          </a:solidFill>
                          <a:ln w="0" cap="flat">
                            <a:solidFill>
                              <a:srgbClr val="868686"/>
                            </a:solidFill>
                            <a:prstDash val="solid"/>
                            <a:bevel/>
                            <a:headEnd/>
                            <a:tailEnd/>
                          </a:ln>
                        </wps:spPr>
                        <wps:txbx>
                          <w:txbxContent>
                            <w:p w14:paraId="093591F7" w14:textId="77777777" w:rsidR="0083182E" w:rsidRDefault="0083182E" w:rsidP="00C95365">
                              <w:pPr>
                                <w:rPr>
                                  <w:rFonts w:eastAsia="Times New Roman"/>
                                </w:rPr>
                              </w:pPr>
                            </w:p>
                          </w:txbxContent>
                        </wps:txbx>
                        <wps:bodyPr/>
                      </wps:wsp>
                      <wps:wsp>
                        <wps:cNvPr id="86" name="Freeform 86"/>
                        <wps:cNvSpPr>
                          <a:spLocks noEditPoints="1"/>
                        </wps:cNvSpPr>
                        <wps:spPr bwMode="auto">
                          <a:xfrm>
                            <a:off x="32" y="10"/>
                            <a:ext cx="3" cy="225"/>
                          </a:xfrm>
                          <a:custGeom>
                            <a:avLst/>
                            <a:gdLst>
                              <a:gd name="T0" fmla="*/ 0 w 3"/>
                              <a:gd name="T1" fmla="*/ 224 h 225"/>
                              <a:gd name="T2" fmla="*/ 3 w 3"/>
                              <a:gd name="T3" fmla="*/ 224 h 225"/>
                              <a:gd name="T4" fmla="*/ 3 w 3"/>
                              <a:gd name="T5" fmla="*/ 225 h 225"/>
                              <a:gd name="T6" fmla="*/ 0 w 3"/>
                              <a:gd name="T7" fmla="*/ 225 h 225"/>
                              <a:gd name="T8" fmla="*/ 0 w 3"/>
                              <a:gd name="T9" fmla="*/ 224 h 225"/>
                              <a:gd name="T10" fmla="*/ 0 w 3"/>
                              <a:gd name="T11" fmla="*/ 199 h 225"/>
                              <a:gd name="T12" fmla="*/ 3 w 3"/>
                              <a:gd name="T13" fmla="*/ 199 h 225"/>
                              <a:gd name="T14" fmla="*/ 3 w 3"/>
                              <a:gd name="T15" fmla="*/ 200 h 225"/>
                              <a:gd name="T16" fmla="*/ 0 w 3"/>
                              <a:gd name="T17" fmla="*/ 200 h 225"/>
                              <a:gd name="T18" fmla="*/ 0 w 3"/>
                              <a:gd name="T19" fmla="*/ 199 h 225"/>
                              <a:gd name="T20" fmla="*/ 0 w 3"/>
                              <a:gd name="T21" fmla="*/ 174 h 225"/>
                              <a:gd name="T22" fmla="*/ 3 w 3"/>
                              <a:gd name="T23" fmla="*/ 174 h 225"/>
                              <a:gd name="T24" fmla="*/ 3 w 3"/>
                              <a:gd name="T25" fmla="*/ 175 h 225"/>
                              <a:gd name="T26" fmla="*/ 0 w 3"/>
                              <a:gd name="T27" fmla="*/ 175 h 225"/>
                              <a:gd name="T28" fmla="*/ 0 w 3"/>
                              <a:gd name="T29" fmla="*/ 174 h 225"/>
                              <a:gd name="T30" fmla="*/ 0 w 3"/>
                              <a:gd name="T31" fmla="*/ 150 h 225"/>
                              <a:gd name="T32" fmla="*/ 3 w 3"/>
                              <a:gd name="T33" fmla="*/ 150 h 225"/>
                              <a:gd name="T34" fmla="*/ 3 w 3"/>
                              <a:gd name="T35" fmla="*/ 150 h 225"/>
                              <a:gd name="T36" fmla="*/ 0 w 3"/>
                              <a:gd name="T37" fmla="*/ 150 h 225"/>
                              <a:gd name="T38" fmla="*/ 0 w 3"/>
                              <a:gd name="T39" fmla="*/ 150 h 225"/>
                              <a:gd name="T40" fmla="*/ 0 w 3"/>
                              <a:gd name="T41" fmla="*/ 125 h 225"/>
                              <a:gd name="T42" fmla="*/ 3 w 3"/>
                              <a:gd name="T43" fmla="*/ 125 h 225"/>
                              <a:gd name="T44" fmla="*/ 3 w 3"/>
                              <a:gd name="T45" fmla="*/ 125 h 225"/>
                              <a:gd name="T46" fmla="*/ 0 w 3"/>
                              <a:gd name="T47" fmla="*/ 125 h 225"/>
                              <a:gd name="T48" fmla="*/ 0 w 3"/>
                              <a:gd name="T49" fmla="*/ 125 h 225"/>
                              <a:gd name="T50" fmla="*/ 0 w 3"/>
                              <a:gd name="T51" fmla="*/ 100 h 225"/>
                              <a:gd name="T52" fmla="*/ 3 w 3"/>
                              <a:gd name="T53" fmla="*/ 100 h 225"/>
                              <a:gd name="T54" fmla="*/ 3 w 3"/>
                              <a:gd name="T55" fmla="*/ 100 h 225"/>
                              <a:gd name="T56" fmla="*/ 0 w 3"/>
                              <a:gd name="T57" fmla="*/ 100 h 225"/>
                              <a:gd name="T58" fmla="*/ 0 w 3"/>
                              <a:gd name="T59" fmla="*/ 100 h 225"/>
                              <a:gd name="T60" fmla="*/ 0 w 3"/>
                              <a:gd name="T61" fmla="*/ 75 h 225"/>
                              <a:gd name="T62" fmla="*/ 3 w 3"/>
                              <a:gd name="T63" fmla="*/ 75 h 225"/>
                              <a:gd name="T64" fmla="*/ 3 w 3"/>
                              <a:gd name="T65" fmla="*/ 76 h 225"/>
                              <a:gd name="T66" fmla="*/ 0 w 3"/>
                              <a:gd name="T67" fmla="*/ 76 h 225"/>
                              <a:gd name="T68" fmla="*/ 0 w 3"/>
                              <a:gd name="T69" fmla="*/ 75 h 225"/>
                              <a:gd name="T70" fmla="*/ 0 w 3"/>
                              <a:gd name="T71" fmla="*/ 50 h 225"/>
                              <a:gd name="T72" fmla="*/ 3 w 3"/>
                              <a:gd name="T73" fmla="*/ 50 h 225"/>
                              <a:gd name="T74" fmla="*/ 3 w 3"/>
                              <a:gd name="T75" fmla="*/ 51 h 225"/>
                              <a:gd name="T76" fmla="*/ 0 w 3"/>
                              <a:gd name="T77" fmla="*/ 51 h 225"/>
                              <a:gd name="T78" fmla="*/ 0 w 3"/>
                              <a:gd name="T79" fmla="*/ 50 h 225"/>
                              <a:gd name="T80" fmla="*/ 0 w 3"/>
                              <a:gd name="T81" fmla="*/ 25 h 225"/>
                              <a:gd name="T82" fmla="*/ 3 w 3"/>
                              <a:gd name="T83" fmla="*/ 25 h 225"/>
                              <a:gd name="T84" fmla="*/ 3 w 3"/>
                              <a:gd name="T85" fmla="*/ 26 h 225"/>
                              <a:gd name="T86" fmla="*/ 0 w 3"/>
                              <a:gd name="T87" fmla="*/ 26 h 225"/>
                              <a:gd name="T88" fmla="*/ 0 w 3"/>
                              <a:gd name="T89" fmla="*/ 25 h 225"/>
                              <a:gd name="T90" fmla="*/ 0 w 3"/>
                              <a:gd name="T91" fmla="*/ 0 h 225"/>
                              <a:gd name="T92" fmla="*/ 3 w 3"/>
                              <a:gd name="T93" fmla="*/ 0 h 225"/>
                              <a:gd name="T94" fmla="*/ 3 w 3"/>
                              <a:gd name="T95" fmla="*/ 1 h 225"/>
                              <a:gd name="T96" fmla="*/ 0 w 3"/>
                              <a:gd name="T97" fmla="*/ 1 h 225"/>
                              <a:gd name="T98" fmla="*/ 0 w 3"/>
                              <a:gd name="T99"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 h="225">
                                <a:moveTo>
                                  <a:pt x="0" y="224"/>
                                </a:moveTo>
                                <a:lnTo>
                                  <a:pt x="3" y="224"/>
                                </a:lnTo>
                                <a:lnTo>
                                  <a:pt x="3" y="225"/>
                                </a:lnTo>
                                <a:lnTo>
                                  <a:pt x="0" y="225"/>
                                </a:lnTo>
                                <a:lnTo>
                                  <a:pt x="0" y="224"/>
                                </a:lnTo>
                                <a:close/>
                                <a:moveTo>
                                  <a:pt x="0" y="199"/>
                                </a:moveTo>
                                <a:lnTo>
                                  <a:pt x="3" y="199"/>
                                </a:lnTo>
                                <a:lnTo>
                                  <a:pt x="3" y="200"/>
                                </a:lnTo>
                                <a:lnTo>
                                  <a:pt x="0" y="200"/>
                                </a:lnTo>
                                <a:lnTo>
                                  <a:pt x="0" y="199"/>
                                </a:lnTo>
                                <a:close/>
                                <a:moveTo>
                                  <a:pt x="0" y="174"/>
                                </a:moveTo>
                                <a:lnTo>
                                  <a:pt x="3" y="174"/>
                                </a:lnTo>
                                <a:lnTo>
                                  <a:pt x="3" y="175"/>
                                </a:lnTo>
                                <a:lnTo>
                                  <a:pt x="0" y="175"/>
                                </a:lnTo>
                                <a:lnTo>
                                  <a:pt x="0" y="174"/>
                                </a:lnTo>
                                <a:close/>
                                <a:moveTo>
                                  <a:pt x="0" y="150"/>
                                </a:moveTo>
                                <a:lnTo>
                                  <a:pt x="3" y="150"/>
                                </a:lnTo>
                                <a:lnTo>
                                  <a:pt x="3" y="150"/>
                                </a:lnTo>
                                <a:lnTo>
                                  <a:pt x="0" y="150"/>
                                </a:lnTo>
                                <a:lnTo>
                                  <a:pt x="0" y="150"/>
                                </a:lnTo>
                                <a:close/>
                                <a:moveTo>
                                  <a:pt x="0" y="125"/>
                                </a:moveTo>
                                <a:lnTo>
                                  <a:pt x="3" y="125"/>
                                </a:lnTo>
                                <a:lnTo>
                                  <a:pt x="3" y="125"/>
                                </a:lnTo>
                                <a:lnTo>
                                  <a:pt x="0" y="125"/>
                                </a:lnTo>
                                <a:lnTo>
                                  <a:pt x="0" y="125"/>
                                </a:lnTo>
                                <a:close/>
                                <a:moveTo>
                                  <a:pt x="0" y="100"/>
                                </a:moveTo>
                                <a:lnTo>
                                  <a:pt x="3" y="100"/>
                                </a:lnTo>
                                <a:lnTo>
                                  <a:pt x="3" y="100"/>
                                </a:lnTo>
                                <a:lnTo>
                                  <a:pt x="0" y="100"/>
                                </a:lnTo>
                                <a:lnTo>
                                  <a:pt x="0" y="100"/>
                                </a:lnTo>
                                <a:close/>
                                <a:moveTo>
                                  <a:pt x="0" y="75"/>
                                </a:moveTo>
                                <a:lnTo>
                                  <a:pt x="3" y="75"/>
                                </a:lnTo>
                                <a:lnTo>
                                  <a:pt x="3" y="76"/>
                                </a:lnTo>
                                <a:lnTo>
                                  <a:pt x="0" y="76"/>
                                </a:lnTo>
                                <a:lnTo>
                                  <a:pt x="0" y="75"/>
                                </a:lnTo>
                                <a:close/>
                                <a:moveTo>
                                  <a:pt x="0" y="50"/>
                                </a:moveTo>
                                <a:lnTo>
                                  <a:pt x="3" y="50"/>
                                </a:lnTo>
                                <a:lnTo>
                                  <a:pt x="3" y="51"/>
                                </a:lnTo>
                                <a:lnTo>
                                  <a:pt x="0" y="51"/>
                                </a:lnTo>
                                <a:lnTo>
                                  <a:pt x="0" y="50"/>
                                </a:lnTo>
                                <a:close/>
                                <a:moveTo>
                                  <a:pt x="0" y="25"/>
                                </a:moveTo>
                                <a:lnTo>
                                  <a:pt x="3" y="25"/>
                                </a:lnTo>
                                <a:lnTo>
                                  <a:pt x="3" y="26"/>
                                </a:lnTo>
                                <a:lnTo>
                                  <a:pt x="0" y="26"/>
                                </a:lnTo>
                                <a:lnTo>
                                  <a:pt x="0" y="25"/>
                                </a:lnTo>
                                <a:close/>
                                <a:moveTo>
                                  <a:pt x="0" y="0"/>
                                </a:moveTo>
                                <a:lnTo>
                                  <a:pt x="3" y="0"/>
                                </a:lnTo>
                                <a:lnTo>
                                  <a:pt x="3" y="1"/>
                                </a:lnTo>
                                <a:lnTo>
                                  <a:pt x="0" y="1"/>
                                </a:lnTo>
                                <a:lnTo>
                                  <a:pt x="0" y="0"/>
                                </a:lnTo>
                                <a:close/>
                              </a:path>
                            </a:pathLst>
                          </a:custGeom>
                          <a:solidFill>
                            <a:srgbClr val="868686"/>
                          </a:solidFill>
                          <a:ln w="0" cap="flat">
                            <a:solidFill>
                              <a:srgbClr val="868686"/>
                            </a:solidFill>
                            <a:prstDash val="solid"/>
                            <a:bevel/>
                            <a:headEnd/>
                            <a:tailEnd/>
                          </a:ln>
                        </wps:spPr>
                        <wps:txbx>
                          <w:txbxContent>
                            <w:p w14:paraId="54E585DB" w14:textId="77777777" w:rsidR="0083182E" w:rsidRDefault="0083182E" w:rsidP="00C95365">
                              <w:pPr>
                                <w:rPr>
                                  <w:rFonts w:eastAsia="Times New Roman"/>
                                </w:rPr>
                              </w:pPr>
                            </w:p>
                          </w:txbxContent>
                        </wps:txbx>
                        <wps:bodyPr/>
                      </wps:wsp>
                      <wps:wsp>
                        <wps:cNvPr id="87" name="Rectangle 87"/>
                        <wps:cNvSpPr>
                          <a:spLocks noChangeArrowheads="1"/>
                        </wps:cNvSpPr>
                        <wps:spPr bwMode="auto">
                          <a:xfrm>
                            <a:off x="35" y="234"/>
                            <a:ext cx="555" cy="1"/>
                          </a:xfrm>
                          <a:prstGeom prst="rect">
                            <a:avLst/>
                          </a:prstGeom>
                          <a:solidFill>
                            <a:srgbClr val="868686"/>
                          </a:solidFill>
                          <a:ln w="0" cap="flat">
                            <a:solidFill>
                              <a:srgbClr val="868686"/>
                            </a:solidFill>
                            <a:prstDash val="solid"/>
                            <a:bevel/>
                            <a:headEnd/>
                            <a:tailEnd/>
                          </a:ln>
                        </wps:spPr>
                        <wps:txbx>
                          <w:txbxContent>
                            <w:p w14:paraId="1761F367" w14:textId="77777777" w:rsidR="0083182E" w:rsidRDefault="0083182E" w:rsidP="00C95365">
                              <w:pPr>
                                <w:rPr>
                                  <w:rFonts w:eastAsia="Times New Roman"/>
                                </w:rPr>
                              </w:pPr>
                            </w:p>
                          </w:txbxContent>
                        </wps:txbx>
                        <wps:bodyPr/>
                      </wps:wsp>
                      <wps:wsp>
                        <wps:cNvPr id="88" name="Freeform 88"/>
                        <wps:cNvSpPr>
                          <a:spLocks noEditPoints="1"/>
                        </wps:cNvSpPr>
                        <wps:spPr bwMode="auto">
                          <a:xfrm>
                            <a:off x="35" y="235"/>
                            <a:ext cx="555" cy="2"/>
                          </a:xfrm>
                          <a:custGeom>
                            <a:avLst/>
                            <a:gdLst>
                              <a:gd name="T0" fmla="*/ 0 w 555"/>
                              <a:gd name="T1" fmla="*/ 0 h 2"/>
                              <a:gd name="T2" fmla="*/ 0 w 555"/>
                              <a:gd name="T3" fmla="*/ 2 h 2"/>
                              <a:gd name="T4" fmla="*/ 0 w 555"/>
                              <a:gd name="T5" fmla="*/ 2 h 2"/>
                              <a:gd name="T6" fmla="*/ 0 w 555"/>
                              <a:gd name="T7" fmla="*/ 0 h 2"/>
                              <a:gd name="T8" fmla="*/ 0 w 555"/>
                              <a:gd name="T9" fmla="*/ 0 h 2"/>
                              <a:gd name="T10" fmla="*/ 93 w 555"/>
                              <a:gd name="T11" fmla="*/ 0 h 2"/>
                              <a:gd name="T12" fmla="*/ 93 w 555"/>
                              <a:gd name="T13" fmla="*/ 2 h 2"/>
                              <a:gd name="T14" fmla="*/ 92 w 555"/>
                              <a:gd name="T15" fmla="*/ 2 h 2"/>
                              <a:gd name="T16" fmla="*/ 92 w 555"/>
                              <a:gd name="T17" fmla="*/ 0 h 2"/>
                              <a:gd name="T18" fmla="*/ 93 w 555"/>
                              <a:gd name="T19" fmla="*/ 0 h 2"/>
                              <a:gd name="T20" fmla="*/ 185 w 555"/>
                              <a:gd name="T21" fmla="*/ 0 h 2"/>
                              <a:gd name="T22" fmla="*/ 185 w 555"/>
                              <a:gd name="T23" fmla="*/ 2 h 2"/>
                              <a:gd name="T24" fmla="*/ 185 w 555"/>
                              <a:gd name="T25" fmla="*/ 2 h 2"/>
                              <a:gd name="T26" fmla="*/ 185 w 555"/>
                              <a:gd name="T27" fmla="*/ 0 h 2"/>
                              <a:gd name="T28" fmla="*/ 185 w 555"/>
                              <a:gd name="T29" fmla="*/ 0 h 2"/>
                              <a:gd name="T30" fmla="*/ 278 w 555"/>
                              <a:gd name="T31" fmla="*/ 0 h 2"/>
                              <a:gd name="T32" fmla="*/ 278 w 555"/>
                              <a:gd name="T33" fmla="*/ 2 h 2"/>
                              <a:gd name="T34" fmla="*/ 277 w 555"/>
                              <a:gd name="T35" fmla="*/ 2 h 2"/>
                              <a:gd name="T36" fmla="*/ 277 w 555"/>
                              <a:gd name="T37" fmla="*/ 0 h 2"/>
                              <a:gd name="T38" fmla="*/ 278 w 555"/>
                              <a:gd name="T39" fmla="*/ 0 h 2"/>
                              <a:gd name="T40" fmla="*/ 370 w 555"/>
                              <a:gd name="T41" fmla="*/ 0 h 2"/>
                              <a:gd name="T42" fmla="*/ 370 w 555"/>
                              <a:gd name="T43" fmla="*/ 2 h 2"/>
                              <a:gd name="T44" fmla="*/ 370 w 555"/>
                              <a:gd name="T45" fmla="*/ 2 h 2"/>
                              <a:gd name="T46" fmla="*/ 370 w 555"/>
                              <a:gd name="T47" fmla="*/ 0 h 2"/>
                              <a:gd name="T48" fmla="*/ 370 w 555"/>
                              <a:gd name="T49" fmla="*/ 0 h 2"/>
                              <a:gd name="T50" fmla="*/ 463 w 555"/>
                              <a:gd name="T51" fmla="*/ 0 h 2"/>
                              <a:gd name="T52" fmla="*/ 463 w 555"/>
                              <a:gd name="T53" fmla="*/ 2 h 2"/>
                              <a:gd name="T54" fmla="*/ 462 w 555"/>
                              <a:gd name="T55" fmla="*/ 2 h 2"/>
                              <a:gd name="T56" fmla="*/ 462 w 555"/>
                              <a:gd name="T57" fmla="*/ 0 h 2"/>
                              <a:gd name="T58" fmla="*/ 463 w 555"/>
                              <a:gd name="T59" fmla="*/ 0 h 2"/>
                              <a:gd name="T60" fmla="*/ 555 w 555"/>
                              <a:gd name="T61" fmla="*/ 0 h 2"/>
                              <a:gd name="T62" fmla="*/ 555 w 555"/>
                              <a:gd name="T63" fmla="*/ 2 h 2"/>
                              <a:gd name="T64" fmla="*/ 555 w 555"/>
                              <a:gd name="T65" fmla="*/ 2 h 2"/>
                              <a:gd name="T66" fmla="*/ 555 w 555"/>
                              <a:gd name="T67" fmla="*/ 0 h 2"/>
                              <a:gd name="T68" fmla="*/ 555 w 555"/>
                              <a:gd name="T69" fmla="*/ 0 h 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55" h="2">
                                <a:moveTo>
                                  <a:pt x="0" y="0"/>
                                </a:moveTo>
                                <a:lnTo>
                                  <a:pt x="0" y="2"/>
                                </a:lnTo>
                                <a:lnTo>
                                  <a:pt x="0" y="2"/>
                                </a:lnTo>
                                <a:lnTo>
                                  <a:pt x="0" y="0"/>
                                </a:lnTo>
                                <a:lnTo>
                                  <a:pt x="0" y="0"/>
                                </a:lnTo>
                                <a:close/>
                                <a:moveTo>
                                  <a:pt x="93" y="0"/>
                                </a:moveTo>
                                <a:lnTo>
                                  <a:pt x="93" y="2"/>
                                </a:lnTo>
                                <a:lnTo>
                                  <a:pt x="92" y="2"/>
                                </a:lnTo>
                                <a:lnTo>
                                  <a:pt x="92" y="0"/>
                                </a:lnTo>
                                <a:lnTo>
                                  <a:pt x="93" y="0"/>
                                </a:lnTo>
                                <a:close/>
                                <a:moveTo>
                                  <a:pt x="185" y="0"/>
                                </a:moveTo>
                                <a:lnTo>
                                  <a:pt x="185" y="2"/>
                                </a:lnTo>
                                <a:lnTo>
                                  <a:pt x="185" y="2"/>
                                </a:lnTo>
                                <a:lnTo>
                                  <a:pt x="185" y="0"/>
                                </a:lnTo>
                                <a:lnTo>
                                  <a:pt x="185" y="0"/>
                                </a:lnTo>
                                <a:close/>
                                <a:moveTo>
                                  <a:pt x="278" y="0"/>
                                </a:moveTo>
                                <a:lnTo>
                                  <a:pt x="278" y="2"/>
                                </a:lnTo>
                                <a:lnTo>
                                  <a:pt x="277" y="2"/>
                                </a:lnTo>
                                <a:lnTo>
                                  <a:pt x="277" y="0"/>
                                </a:lnTo>
                                <a:lnTo>
                                  <a:pt x="278" y="0"/>
                                </a:lnTo>
                                <a:close/>
                                <a:moveTo>
                                  <a:pt x="370" y="0"/>
                                </a:moveTo>
                                <a:lnTo>
                                  <a:pt x="370" y="2"/>
                                </a:lnTo>
                                <a:lnTo>
                                  <a:pt x="370" y="2"/>
                                </a:lnTo>
                                <a:lnTo>
                                  <a:pt x="370" y="0"/>
                                </a:lnTo>
                                <a:lnTo>
                                  <a:pt x="370" y="0"/>
                                </a:lnTo>
                                <a:close/>
                                <a:moveTo>
                                  <a:pt x="463" y="0"/>
                                </a:moveTo>
                                <a:lnTo>
                                  <a:pt x="463" y="2"/>
                                </a:lnTo>
                                <a:lnTo>
                                  <a:pt x="462" y="2"/>
                                </a:lnTo>
                                <a:lnTo>
                                  <a:pt x="462" y="0"/>
                                </a:lnTo>
                                <a:lnTo>
                                  <a:pt x="463" y="0"/>
                                </a:lnTo>
                                <a:close/>
                                <a:moveTo>
                                  <a:pt x="555" y="0"/>
                                </a:moveTo>
                                <a:lnTo>
                                  <a:pt x="555" y="2"/>
                                </a:lnTo>
                                <a:lnTo>
                                  <a:pt x="555" y="2"/>
                                </a:lnTo>
                                <a:lnTo>
                                  <a:pt x="555" y="0"/>
                                </a:lnTo>
                                <a:lnTo>
                                  <a:pt x="555" y="0"/>
                                </a:lnTo>
                                <a:close/>
                              </a:path>
                            </a:pathLst>
                          </a:custGeom>
                          <a:solidFill>
                            <a:srgbClr val="868686"/>
                          </a:solidFill>
                          <a:ln w="0" cap="flat">
                            <a:solidFill>
                              <a:srgbClr val="868686"/>
                            </a:solidFill>
                            <a:prstDash val="solid"/>
                            <a:bevel/>
                            <a:headEnd/>
                            <a:tailEnd/>
                          </a:ln>
                        </wps:spPr>
                        <wps:txbx>
                          <w:txbxContent>
                            <w:p w14:paraId="1DB925B9" w14:textId="77777777" w:rsidR="0083182E" w:rsidRDefault="0083182E" w:rsidP="00C95365">
                              <w:pPr>
                                <w:rPr>
                                  <w:rFonts w:eastAsia="Times New Roman"/>
                                </w:rPr>
                              </w:pPr>
                            </w:p>
                          </w:txbxContent>
                        </wps:txbx>
                        <wps:bodyPr/>
                      </wps:wsp>
                      <wps:wsp>
                        <wps:cNvPr id="89" name="Rectangle 89"/>
                        <wps:cNvSpPr>
                          <a:spLocks noChangeArrowheads="1"/>
                        </wps:cNvSpPr>
                        <wps:spPr bwMode="auto">
                          <a:xfrm>
                            <a:off x="74" y="7"/>
                            <a:ext cx="14"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AEA9B" w14:textId="77777777" w:rsidR="0083182E" w:rsidRDefault="0083182E" w:rsidP="00C95365">
                              <w:pPr>
                                <w:pStyle w:val="NormalWeb"/>
                                <w:spacing w:before="0" w:beforeAutospacing="0" w:after="0" w:afterAutospacing="0"/>
                              </w:pPr>
                              <w:r>
                                <w:rPr>
                                  <w:b/>
                                  <w:bCs/>
                                  <w:color w:val="000000"/>
                                  <w:sz w:val="14"/>
                                  <w:szCs w:val="14"/>
                                </w:rPr>
                                <w:t xml:space="preserve">427 </w:t>
                              </w:r>
                            </w:p>
                          </w:txbxContent>
                        </wps:txbx>
                        <wps:bodyPr wrap="none" lIns="0" tIns="0" rIns="0" bIns="0" anchor="t">
                          <a:spAutoFit/>
                        </wps:bodyPr>
                      </wps:wsp>
                      <wps:wsp>
                        <wps:cNvPr id="90" name="Rectangle 90"/>
                        <wps:cNvSpPr>
                          <a:spLocks noChangeArrowheads="1"/>
                        </wps:cNvSpPr>
                        <wps:spPr bwMode="auto">
                          <a:xfrm>
                            <a:off x="165" y="10"/>
                            <a:ext cx="16" cy="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4294F" w14:textId="77777777" w:rsidR="0083182E" w:rsidRDefault="0083182E" w:rsidP="00C95365">
                              <w:pPr>
                                <w:pStyle w:val="NormalWeb"/>
                                <w:spacing w:before="0" w:beforeAutospacing="0" w:after="0" w:afterAutospacing="0"/>
                              </w:pPr>
                              <w:r>
                                <w:rPr>
                                  <w:b/>
                                  <w:bCs/>
                                  <w:color w:val="000000"/>
                                  <w:sz w:val="16"/>
                                  <w:szCs w:val="16"/>
                                </w:rPr>
                                <w:t xml:space="preserve">177 </w:t>
                              </w:r>
                            </w:p>
                          </w:txbxContent>
                        </wps:txbx>
                        <wps:bodyPr wrap="none" lIns="0" tIns="0" rIns="0" bIns="0" anchor="t">
                          <a:spAutoFit/>
                        </wps:bodyPr>
                      </wps:wsp>
                      <wps:wsp>
                        <wps:cNvPr id="91" name="Rectangle 91"/>
                        <wps:cNvSpPr>
                          <a:spLocks noChangeArrowheads="1"/>
                        </wps:cNvSpPr>
                        <wps:spPr bwMode="auto">
                          <a:xfrm>
                            <a:off x="262" y="96"/>
                            <a:ext cx="9"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59BA2" w14:textId="77777777" w:rsidR="0083182E" w:rsidRDefault="0083182E" w:rsidP="00C95365">
                              <w:pPr>
                                <w:pStyle w:val="NormalWeb"/>
                                <w:spacing w:before="0" w:beforeAutospacing="0" w:after="0" w:afterAutospacing="0"/>
                              </w:pPr>
                              <w:r>
                                <w:rPr>
                                  <w:b/>
                                  <w:bCs/>
                                  <w:color w:val="000000"/>
                                  <w:sz w:val="14"/>
                                  <w:szCs w:val="14"/>
                                </w:rPr>
                                <w:t xml:space="preserve">84 </w:t>
                              </w:r>
                            </w:p>
                          </w:txbxContent>
                        </wps:txbx>
                        <wps:bodyPr wrap="none" lIns="0" tIns="0" rIns="0" bIns="0" anchor="t">
                          <a:spAutoFit/>
                        </wps:bodyPr>
                      </wps:wsp>
                      <wps:wsp>
                        <wps:cNvPr id="92" name="Rectangle 92"/>
                        <wps:cNvSpPr>
                          <a:spLocks noChangeArrowheads="1"/>
                        </wps:cNvSpPr>
                        <wps:spPr bwMode="auto">
                          <a:xfrm>
                            <a:off x="336" y="129"/>
                            <a:ext cx="51" cy="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37F69" w14:textId="77777777" w:rsidR="0083182E" w:rsidRDefault="0083182E" w:rsidP="00C95365">
                              <w:pPr>
                                <w:pStyle w:val="NormalWeb"/>
                                <w:spacing w:before="0" w:beforeAutospacing="0" w:after="0" w:afterAutospacing="0"/>
                              </w:pPr>
                              <w:r>
                                <w:rPr>
                                  <w:b/>
                                  <w:bCs/>
                                  <w:color w:val="000000"/>
                                  <w:sz w:val="14"/>
                                  <w:szCs w:val="14"/>
                                  <w:lang w:val="sr-Cyrl-RS"/>
                                </w:rPr>
                                <w:t xml:space="preserve">      </w:t>
                              </w:r>
                              <w:r>
                                <w:rPr>
                                  <w:b/>
                                  <w:bCs/>
                                  <w:color w:val="000000"/>
                                  <w:sz w:val="14"/>
                                  <w:szCs w:val="14"/>
                                </w:rPr>
                                <w:t xml:space="preserve">+ 7 </w:t>
                              </w:r>
                            </w:p>
                          </w:txbxContent>
                        </wps:txbx>
                        <wps:bodyPr wrap="square" lIns="0" tIns="0" rIns="0" bIns="0" anchor="t">
                          <a:noAutofit/>
                        </wps:bodyPr>
                      </wps:wsp>
                      <wps:wsp>
                        <wps:cNvPr id="93" name="Rectangle 93"/>
                        <wps:cNvSpPr>
                          <a:spLocks noChangeArrowheads="1"/>
                        </wps:cNvSpPr>
                        <wps:spPr bwMode="auto">
                          <a:xfrm>
                            <a:off x="447" y="139"/>
                            <a:ext cx="11" cy="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B3206" w14:textId="77777777" w:rsidR="0083182E" w:rsidRDefault="0083182E" w:rsidP="00C95365">
                              <w:pPr>
                                <w:pStyle w:val="NormalWeb"/>
                                <w:spacing w:before="0" w:beforeAutospacing="0" w:after="0" w:afterAutospacing="0"/>
                              </w:pPr>
                              <w:r>
                                <w:rPr>
                                  <w:b/>
                                  <w:bCs/>
                                  <w:color w:val="000000"/>
                                  <w:sz w:val="16"/>
                                  <w:szCs w:val="16"/>
                                </w:rPr>
                                <w:t xml:space="preserve">32 </w:t>
                              </w:r>
                            </w:p>
                          </w:txbxContent>
                        </wps:txbx>
                        <wps:bodyPr wrap="none" lIns="0" tIns="0" rIns="0" bIns="0" anchor="t">
                          <a:spAutoFit/>
                        </wps:bodyPr>
                      </wps:wsp>
                      <wps:wsp>
                        <wps:cNvPr id="94" name="Rectangle 94"/>
                        <wps:cNvSpPr>
                          <a:spLocks noChangeArrowheads="1"/>
                        </wps:cNvSpPr>
                        <wps:spPr bwMode="auto">
                          <a:xfrm>
                            <a:off x="537" y="150"/>
                            <a:ext cx="16" cy="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A0CA6" w14:textId="77777777" w:rsidR="0083182E" w:rsidRDefault="0083182E" w:rsidP="00C95365">
                              <w:pPr>
                                <w:pStyle w:val="NormalWeb"/>
                                <w:spacing w:before="0" w:beforeAutospacing="0" w:after="0" w:afterAutospacing="0"/>
                              </w:pPr>
                              <w:r>
                                <w:rPr>
                                  <w:b/>
                                  <w:bCs/>
                                  <w:color w:val="000000"/>
                                  <w:sz w:val="16"/>
                                  <w:szCs w:val="16"/>
                                </w:rPr>
                                <w:t xml:space="preserve">141 </w:t>
                              </w:r>
                            </w:p>
                          </w:txbxContent>
                        </wps:txbx>
                        <wps:bodyPr wrap="none" lIns="0" tIns="0" rIns="0" bIns="0" anchor="t">
                          <a:spAutoFit/>
                        </wps:bodyPr>
                      </wps:wsp>
                      <wps:wsp>
                        <wps:cNvPr id="95" name="Rectangle 95"/>
                        <wps:cNvSpPr>
                          <a:spLocks noChangeArrowheads="1"/>
                        </wps:cNvSpPr>
                        <wps:spPr bwMode="auto">
                          <a:xfrm>
                            <a:off x="20" y="227"/>
                            <a:ext cx="5"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43C14" w14:textId="77777777" w:rsidR="0083182E" w:rsidRDefault="0083182E" w:rsidP="00C95365">
                              <w:pPr>
                                <w:pStyle w:val="NormalWeb"/>
                                <w:spacing w:before="0" w:beforeAutospacing="0" w:after="0" w:afterAutospacing="0"/>
                              </w:pPr>
                              <w:r>
                                <w:rPr>
                                  <w:b/>
                                  <w:bCs/>
                                  <w:color w:val="000000"/>
                                  <w:sz w:val="14"/>
                                  <w:szCs w:val="14"/>
                                </w:rPr>
                                <w:t>0</w:t>
                              </w:r>
                            </w:p>
                          </w:txbxContent>
                        </wps:txbx>
                        <wps:bodyPr wrap="none" lIns="0" tIns="0" rIns="0" bIns="0" anchor="t">
                          <a:spAutoFit/>
                        </wps:bodyPr>
                      </wps:wsp>
                      <wps:wsp>
                        <wps:cNvPr id="96" name="Rectangle 96"/>
                        <wps:cNvSpPr>
                          <a:spLocks noChangeArrowheads="1"/>
                        </wps:cNvSpPr>
                        <wps:spPr bwMode="auto">
                          <a:xfrm>
                            <a:off x="14" y="203"/>
                            <a:ext cx="11" cy="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E82BA" w14:textId="77777777" w:rsidR="0083182E" w:rsidRDefault="0083182E" w:rsidP="00C95365">
                              <w:pPr>
                                <w:pStyle w:val="NormalWeb"/>
                                <w:spacing w:before="0" w:beforeAutospacing="0" w:after="0" w:afterAutospacing="0"/>
                              </w:pPr>
                              <w:r>
                                <w:rPr>
                                  <w:b/>
                                  <w:bCs/>
                                  <w:color w:val="000000"/>
                                  <w:sz w:val="16"/>
                                  <w:szCs w:val="16"/>
                                </w:rPr>
                                <w:t>50</w:t>
                              </w:r>
                            </w:p>
                          </w:txbxContent>
                        </wps:txbx>
                        <wps:bodyPr wrap="none" lIns="0" tIns="0" rIns="0" bIns="0" anchor="t">
                          <a:spAutoFit/>
                        </wps:bodyPr>
                      </wps:wsp>
                      <wps:wsp>
                        <wps:cNvPr id="97" name="Rectangle 97"/>
                        <wps:cNvSpPr>
                          <a:spLocks noChangeArrowheads="1"/>
                        </wps:cNvSpPr>
                        <wps:spPr bwMode="auto">
                          <a:xfrm>
                            <a:off x="8" y="177"/>
                            <a:ext cx="16" cy="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FB35" w14:textId="77777777" w:rsidR="0083182E" w:rsidRDefault="0083182E" w:rsidP="00C95365">
                              <w:pPr>
                                <w:pStyle w:val="NormalWeb"/>
                                <w:spacing w:before="0" w:beforeAutospacing="0" w:after="0" w:afterAutospacing="0"/>
                              </w:pPr>
                              <w:r>
                                <w:rPr>
                                  <w:b/>
                                  <w:bCs/>
                                  <w:color w:val="000000"/>
                                  <w:sz w:val="16"/>
                                  <w:szCs w:val="16"/>
                                </w:rPr>
                                <w:t>100</w:t>
                              </w:r>
                            </w:p>
                          </w:txbxContent>
                        </wps:txbx>
                        <wps:bodyPr wrap="none" lIns="0" tIns="0" rIns="0" bIns="0" anchor="t">
                          <a:spAutoFit/>
                        </wps:bodyPr>
                      </wps:wsp>
                      <wps:wsp>
                        <wps:cNvPr id="98" name="Rectangle 98"/>
                        <wps:cNvSpPr>
                          <a:spLocks noChangeArrowheads="1"/>
                        </wps:cNvSpPr>
                        <wps:spPr bwMode="auto">
                          <a:xfrm>
                            <a:off x="8" y="153"/>
                            <a:ext cx="14"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A186A" w14:textId="77777777" w:rsidR="0083182E" w:rsidRDefault="0083182E" w:rsidP="00C95365">
                              <w:pPr>
                                <w:pStyle w:val="NormalWeb"/>
                                <w:spacing w:before="0" w:beforeAutospacing="0" w:after="0" w:afterAutospacing="0"/>
                              </w:pPr>
                              <w:r>
                                <w:rPr>
                                  <w:b/>
                                  <w:bCs/>
                                  <w:color w:val="000000"/>
                                  <w:sz w:val="14"/>
                                  <w:szCs w:val="14"/>
                                </w:rPr>
                                <w:t>150</w:t>
                              </w:r>
                            </w:p>
                          </w:txbxContent>
                        </wps:txbx>
                        <wps:bodyPr wrap="none" lIns="0" tIns="0" rIns="0" bIns="0" anchor="t">
                          <a:spAutoFit/>
                        </wps:bodyPr>
                      </wps:wsp>
                      <wps:wsp>
                        <wps:cNvPr id="99" name="Rectangle 99"/>
                        <wps:cNvSpPr>
                          <a:spLocks noChangeArrowheads="1"/>
                        </wps:cNvSpPr>
                        <wps:spPr bwMode="auto">
                          <a:xfrm>
                            <a:off x="8" y="128"/>
                            <a:ext cx="14"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E259D" w14:textId="77777777" w:rsidR="0083182E" w:rsidRDefault="0083182E" w:rsidP="00C95365">
                              <w:pPr>
                                <w:pStyle w:val="NormalWeb"/>
                                <w:spacing w:before="0" w:beforeAutospacing="0" w:after="0" w:afterAutospacing="0"/>
                              </w:pPr>
                              <w:r>
                                <w:rPr>
                                  <w:b/>
                                  <w:bCs/>
                                  <w:color w:val="000000"/>
                                  <w:sz w:val="14"/>
                                  <w:szCs w:val="14"/>
                                </w:rPr>
                                <w:t>200</w:t>
                              </w:r>
                            </w:p>
                          </w:txbxContent>
                        </wps:txbx>
                        <wps:bodyPr wrap="none" lIns="0" tIns="0" rIns="0" bIns="0" anchor="t">
                          <a:spAutoFit/>
                        </wps:bodyPr>
                      </wps:wsp>
                      <wps:wsp>
                        <wps:cNvPr id="100" name="Rectangle 100"/>
                        <wps:cNvSpPr>
                          <a:spLocks noChangeArrowheads="1"/>
                        </wps:cNvSpPr>
                        <wps:spPr bwMode="auto">
                          <a:xfrm>
                            <a:off x="8" y="103"/>
                            <a:ext cx="14"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D0132" w14:textId="77777777" w:rsidR="0083182E" w:rsidRDefault="0083182E" w:rsidP="00C95365">
                              <w:pPr>
                                <w:pStyle w:val="NormalWeb"/>
                                <w:spacing w:before="0" w:beforeAutospacing="0" w:after="0" w:afterAutospacing="0"/>
                              </w:pPr>
                              <w:r>
                                <w:rPr>
                                  <w:b/>
                                  <w:bCs/>
                                  <w:color w:val="000000"/>
                                  <w:sz w:val="14"/>
                                  <w:szCs w:val="14"/>
                                </w:rPr>
                                <w:t>250</w:t>
                              </w:r>
                            </w:p>
                          </w:txbxContent>
                        </wps:txbx>
                        <wps:bodyPr wrap="none" lIns="0" tIns="0" rIns="0" bIns="0" anchor="t">
                          <a:spAutoFit/>
                        </wps:bodyPr>
                      </wps:wsp>
                      <wps:wsp>
                        <wps:cNvPr id="101" name="Rectangle 101"/>
                        <wps:cNvSpPr>
                          <a:spLocks noChangeArrowheads="1"/>
                        </wps:cNvSpPr>
                        <wps:spPr bwMode="auto">
                          <a:xfrm>
                            <a:off x="8" y="78"/>
                            <a:ext cx="14"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38413" w14:textId="77777777" w:rsidR="0083182E" w:rsidRDefault="0083182E" w:rsidP="00C95365">
                              <w:pPr>
                                <w:pStyle w:val="NormalWeb"/>
                                <w:spacing w:before="0" w:beforeAutospacing="0" w:after="0" w:afterAutospacing="0"/>
                              </w:pPr>
                              <w:r>
                                <w:rPr>
                                  <w:b/>
                                  <w:bCs/>
                                  <w:color w:val="000000"/>
                                  <w:sz w:val="14"/>
                                  <w:szCs w:val="14"/>
                                </w:rPr>
                                <w:t>300</w:t>
                              </w:r>
                            </w:p>
                          </w:txbxContent>
                        </wps:txbx>
                        <wps:bodyPr wrap="none" lIns="0" tIns="0" rIns="0" bIns="0" anchor="t">
                          <a:spAutoFit/>
                        </wps:bodyPr>
                      </wps:wsp>
                      <wps:wsp>
                        <wps:cNvPr id="102" name="Rectangle 102"/>
                        <wps:cNvSpPr>
                          <a:spLocks noChangeArrowheads="1"/>
                        </wps:cNvSpPr>
                        <wps:spPr bwMode="auto">
                          <a:xfrm>
                            <a:off x="8" y="53"/>
                            <a:ext cx="14"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880E" w14:textId="77777777" w:rsidR="0083182E" w:rsidRDefault="0083182E" w:rsidP="00C95365">
                              <w:pPr>
                                <w:pStyle w:val="NormalWeb"/>
                                <w:spacing w:before="0" w:beforeAutospacing="0" w:after="0" w:afterAutospacing="0"/>
                              </w:pPr>
                              <w:r>
                                <w:rPr>
                                  <w:b/>
                                  <w:bCs/>
                                  <w:color w:val="000000"/>
                                  <w:sz w:val="14"/>
                                  <w:szCs w:val="14"/>
                                </w:rPr>
                                <w:t>350</w:t>
                              </w:r>
                            </w:p>
                          </w:txbxContent>
                        </wps:txbx>
                        <wps:bodyPr wrap="none" lIns="0" tIns="0" rIns="0" bIns="0" anchor="t">
                          <a:spAutoFit/>
                        </wps:bodyPr>
                      </wps:wsp>
                      <wps:wsp>
                        <wps:cNvPr id="103" name="Rectangle 103"/>
                        <wps:cNvSpPr>
                          <a:spLocks noChangeArrowheads="1"/>
                        </wps:cNvSpPr>
                        <wps:spPr bwMode="auto">
                          <a:xfrm>
                            <a:off x="8" y="28"/>
                            <a:ext cx="14"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AF441" w14:textId="77777777" w:rsidR="0083182E" w:rsidRDefault="0083182E" w:rsidP="00C95365">
                              <w:pPr>
                                <w:pStyle w:val="NormalWeb"/>
                                <w:spacing w:before="0" w:beforeAutospacing="0" w:after="0" w:afterAutospacing="0"/>
                              </w:pPr>
                              <w:r>
                                <w:rPr>
                                  <w:b/>
                                  <w:bCs/>
                                  <w:color w:val="000000"/>
                                  <w:sz w:val="14"/>
                                  <w:szCs w:val="14"/>
                                </w:rPr>
                                <w:t>400</w:t>
                              </w:r>
                            </w:p>
                          </w:txbxContent>
                        </wps:txbx>
                        <wps:bodyPr wrap="none" lIns="0" tIns="0" rIns="0" bIns="0" anchor="t">
                          <a:spAutoFit/>
                        </wps:bodyPr>
                      </wps:wsp>
                      <wps:wsp>
                        <wps:cNvPr id="104" name="Rectangle 104"/>
                        <wps:cNvSpPr>
                          <a:spLocks noChangeArrowheads="1"/>
                        </wps:cNvSpPr>
                        <wps:spPr bwMode="auto">
                          <a:xfrm>
                            <a:off x="8" y="3"/>
                            <a:ext cx="14"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F2FEF" w14:textId="77777777" w:rsidR="0083182E" w:rsidRDefault="0083182E" w:rsidP="00C95365">
                              <w:pPr>
                                <w:pStyle w:val="NormalWeb"/>
                                <w:spacing w:before="0" w:beforeAutospacing="0" w:after="0" w:afterAutospacing="0"/>
                              </w:pPr>
                              <w:r>
                                <w:rPr>
                                  <w:b/>
                                  <w:bCs/>
                                  <w:color w:val="000000"/>
                                  <w:sz w:val="14"/>
                                  <w:szCs w:val="14"/>
                                </w:rPr>
                                <w:t>450</w:t>
                              </w:r>
                            </w:p>
                          </w:txbxContent>
                        </wps:txbx>
                        <wps:bodyPr wrap="none" lIns="0" tIns="0" rIns="0" bIns="0" anchor="t">
                          <a:spAutoFit/>
                        </wps:bodyPr>
                      </wps:wsp>
                      <wps:wsp>
                        <wps:cNvPr id="105" name="Rectangle 105"/>
                        <wps:cNvSpPr>
                          <a:spLocks noChangeArrowheads="1"/>
                        </wps:cNvSpPr>
                        <wps:spPr bwMode="auto">
                          <a:xfrm>
                            <a:off x="58" y="238"/>
                            <a:ext cx="37"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16EA0" w14:textId="77777777" w:rsidR="0083182E" w:rsidRDefault="0083182E" w:rsidP="00C95365">
                              <w:pPr>
                                <w:pStyle w:val="NormalWeb"/>
                                <w:spacing w:before="0" w:beforeAutospacing="0" w:after="0" w:afterAutospacing="0"/>
                              </w:pPr>
                              <w:r>
                                <w:rPr>
                                  <w:b/>
                                  <w:bCs/>
                                  <w:color w:val="000000"/>
                                  <w:sz w:val="14"/>
                                  <w:szCs w:val="14"/>
                                </w:rPr>
                                <w:t>31.8.2015</w:t>
                              </w:r>
                            </w:p>
                          </w:txbxContent>
                        </wps:txbx>
                        <wps:bodyPr wrap="none" lIns="0" tIns="0" rIns="0" bIns="0" anchor="t">
                          <a:spAutoFit/>
                        </wps:bodyPr>
                      </wps:wsp>
                      <wps:wsp>
                        <wps:cNvPr id="106" name="Rectangle 106"/>
                        <wps:cNvSpPr>
                          <a:spLocks noChangeArrowheads="1"/>
                        </wps:cNvSpPr>
                        <wps:spPr bwMode="auto">
                          <a:xfrm>
                            <a:off x="160" y="238"/>
                            <a:ext cx="41" cy="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CC4C1" w14:textId="77777777" w:rsidR="0083182E" w:rsidRDefault="0083182E" w:rsidP="00C95365">
                              <w:pPr>
                                <w:pStyle w:val="NormalWeb"/>
                                <w:spacing w:before="0" w:beforeAutospacing="0" w:after="0" w:afterAutospacing="0"/>
                              </w:pPr>
                              <w:r>
                                <w:rPr>
                                  <w:b/>
                                  <w:bCs/>
                                  <w:color w:val="000000"/>
                                  <w:sz w:val="14"/>
                                  <w:szCs w:val="14"/>
                                  <w:lang w:val="sr-Cyrl-RS"/>
                                </w:rPr>
                                <w:t>Отпис</w:t>
                              </w:r>
                            </w:p>
                          </w:txbxContent>
                        </wps:txbx>
                        <wps:bodyPr wrap="square" lIns="0" tIns="0" rIns="0" bIns="0" anchor="t">
                          <a:noAutofit/>
                        </wps:bodyPr>
                      </wps:wsp>
                      <wps:wsp>
                        <wps:cNvPr id="107" name="Rectangle 107"/>
                        <wps:cNvSpPr>
                          <a:spLocks noChangeArrowheads="1"/>
                        </wps:cNvSpPr>
                        <wps:spPr bwMode="auto">
                          <a:xfrm>
                            <a:off x="241" y="238"/>
                            <a:ext cx="42"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B3161" w14:textId="77777777" w:rsidR="0083182E" w:rsidRDefault="0083182E" w:rsidP="00C95365">
                              <w:pPr>
                                <w:pStyle w:val="NormalWeb"/>
                                <w:spacing w:before="0" w:beforeAutospacing="0" w:after="0" w:afterAutospacing="0"/>
                              </w:pPr>
                              <w:r>
                                <w:rPr>
                                  <w:b/>
                                  <w:bCs/>
                                  <w:color w:val="000000"/>
                                  <w:sz w:val="14"/>
                                  <w:szCs w:val="14"/>
                                  <w:lang w:val="sr-Cyrl-RS"/>
                                </w:rPr>
                                <w:t>Уступања</w:t>
                              </w:r>
                            </w:p>
                          </w:txbxContent>
                        </wps:txbx>
                        <wps:bodyPr wrap="none" lIns="0" tIns="0" rIns="0" bIns="0" anchor="t">
                          <a:spAutoFit/>
                        </wps:bodyPr>
                      </wps:wsp>
                      <wps:wsp>
                        <wps:cNvPr id="108" name="Rectangle 108"/>
                        <wps:cNvSpPr>
                          <a:spLocks noChangeArrowheads="1"/>
                        </wps:cNvSpPr>
                        <wps:spPr bwMode="auto">
                          <a:xfrm>
                            <a:off x="334" y="238"/>
                            <a:ext cx="57"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01253" w14:textId="77777777" w:rsidR="0083182E" w:rsidRDefault="0083182E" w:rsidP="00C95365">
                              <w:pPr>
                                <w:pStyle w:val="NormalWeb"/>
                                <w:spacing w:before="0" w:beforeAutospacing="0" w:after="0" w:afterAutospacing="0"/>
                              </w:pPr>
                              <w:r>
                                <w:rPr>
                                  <w:b/>
                                  <w:bCs/>
                                  <w:color w:val="000000"/>
                                  <w:sz w:val="14"/>
                                  <w:szCs w:val="14"/>
                                  <w:lang w:val="sr-Cyrl-RS"/>
                                </w:rPr>
                                <w:t>Нови НПЛ</w:t>
                              </w:r>
                            </w:p>
                          </w:txbxContent>
                        </wps:txbx>
                        <wps:bodyPr wrap="square" lIns="0" tIns="0" rIns="0" bIns="0" anchor="t">
                          <a:spAutoFit/>
                        </wps:bodyPr>
                      </wps:wsp>
                      <wps:wsp>
                        <wps:cNvPr id="109" name="Rectangle 109"/>
                        <wps:cNvSpPr>
                          <a:spLocks noChangeArrowheads="1"/>
                        </wps:cNvSpPr>
                        <wps:spPr bwMode="auto">
                          <a:xfrm>
                            <a:off x="330" y="249"/>
                            <a:ext cx="60"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332E8" w14:textId="77777777" w:rsidR="0083182E" w:rsidRDefault="0083182E" w:rsidP="00C95365">
                              <w:pPr>
                                <w:pStyle w:val="NormalWeb"/>
                                <w:spacing w:before="0" w:beforeAutospacing="0" w:after="0" w:afterAutospacing="0"/>
                              </w:pPr>
                              <w:r>
                                <w:rPr>
                                  <w:b/>
                                  <w:bCs/>
                                  <w:color w:val="000000"/>
                                  <w:sz w:val="14"/>
                                  <w:szCs w:val="14"/>
                                  <w:lang w:val="sr-Cyrl-RS"/>
                                </w:rPr>
                                <w:t xml:space="preserve">  умањен за</w:t>
                              </w:r>
                            </w:p>
                          </w:txbxContent>
                        </wps:txbx>
                        <wps:bodyPr wrap="square" lIns="0" tIns="0" rIns="0" bIns="0" anchor="t">
                          <a:spAutoFit/>
                        </wps:bodyPr>
                      </wps:wsp>
                      <wps:wsp>
                        <wps:cNvPr id="110" name="Rectangle 110"/>
                        <wps:cNvSpPr>
                          <a:spLocks noChangeArrowheads="1"/>
                        </wps:cNvSpPr>
                        <wps:spPr bwMode="auto">
                          <a:xfrm>
                            <a:off x="340" y="260"/>
                            <a:ext cx="35"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CAFF2" w14:textId="77777777" w:rsidR="0083182E" w:rsidRDefault="0083182E" w:rsidP="00C95365">
                              <w:pPr>
                                <w:pStyle w:val="NormalWeb"/>
                                <w:spacing w:before="0" w:beforeAutospacing="0" w:after="0" w:afterAutospacing="0"/>
                              </w:pPr>
                              <w:r>
                                <w:rPr>
                                  <w:b/>
                                  <w:bCs/>
                                  <w:color w:val="000000"/>
                                  <w:sz w:val="14"/>
                                  <w:szCs w:val="14"/>
                                  <w:lang w:val="sr-Cyrl-RS"/>
                                </w:rPr>
                                <w:t>наплату</w:t>
                              </w:r>
                            </w:p>
                          </w:txbxContent>
                        </wps:txbx>
                        <wps:bodyPr wrap="none" lIns="0" tIns="0" rIns="0" bIns="0" anchor="t">
                          <a:spAutoFit/>
                        </wps:bodyPr>
                      </wps:wsp>
                      <wps:wsp>
                        <wps:cNvPr id="111" name="Rectangle 111"/>
                        <wps:cNvSpPr>
                          <a:spLocks noChangeArrowheads="1"/>
                        </wps:cNvSpPr>
                        <wps:spPr bwMode="auto">
                          <a:xfrm>
                            <a:off x="435" y="238"/>
                            <a:ext cx="31"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F9F82" w14:textId="77777777" w:rsidR="0083182E" w:rsidRDefault="0083182E" w:rsidP="00C95365">
                              <w:pPr>
                                <w:pStyle w:val="NormalWeb"/>
                                <w:spacing w:before="0" w:beforeAutospacing="0" w:after="0" w:afterAutospacing="0"/>
                              </w:pPr>
                              <w:r>
                                <w:rPr>
                                  <w:b/>
                                  <w:bCs/>
                                  <w:color w:val="000000"/>
                                  <w:sz w:val="14"/>
                                  <w:szCs w:val="14"/>
                                  <w:lang w:val="sr-Cyrl-RS"/>
                                </w:rPr>
                                <w:t>Остало</w:t>
                              </w:r>
                            </w:p>
                          </w:txbxContent>
                        </wps:txbx>
                        <wps:bodyPr wrap="none" lIns="0" tIns="0" rIns="0" bIns="0" anchor="t">
                          <a:spAutoFit/>
                        </wps:bodyPr>
                      </wps:wsp>
                      <wps:wsp>
                        <wps:cNvPr id="112" name="Rectangle 112"/>
                        <wps:cNvSpPr>
                          <a:spLocks noChangeArrowheads="1"/>
                        </wps:cNvSpPr>
                        <wps:spPr bwMode="auto">
                          <a:xfrm>
                            <a:off x="521" y="238"/>
                            <a:ext cx="37" cy="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9C3F2" w14:textId="77777777" w:rsidR="0083182E" w:rsidRDefault="0083182E" w:rsidP="00C95365">
                              <w:pPr>
                                <w:pStyle w:val="NormalWeb"/>
                                <w:spacing w:before="0" w:beforeAutospacing="0" w:after="0" w:afterAutospacing="0"/>
                              </w:pPr>
                              <w:r>
                                <w:rPr>
                                  <w:b/>
                                  <w:bCs/>
                                  <w:color w:val="000000"/>
                                  <w:sz w:val="14"/>
                                  <w:szCs w:val="14"/>
                                </w:rPr>
                                <w:t>30.9.2018</w:t>
                              </w:r>
                            </w:p>
                          </w:txbxContent>
                        </wps:txbx>
                        <wps:bodyPr wrap="none" lIns="0" tIns="0" rIns="0" bIns="0" anchor="t">
                          <a:spAutoFit/>
                        </wps:bodyPr>
                      </wps:wsp>
                      <wps:wsp>
                        <wps:cNvPr id="113" name="Rectangle 113"/>
                        <wps:cNvSpPr>
                          <a:spLocks noChangeArrowheads="1"/>
                        </wps:cNvSpPr>
                        <wps:spPr bwMode="auto">
                          <a:xfrm>
                            <a:off x="0" y="0"/>
                            <a:ext cx="603" cy="278"/>
                          </a:xfrm>
                          <a:prstGeom prst="rect">
                            <a:avLst/>
                          </a:prstGeom>
                          <a:noFill/>
                          <a:ln w="9525" cap="flat">
                            <a:solidFill>
                              <a:srgbClr val="868686"/>
                            </a:solidFill>
                            <a:prstDash val="solid"/>
                            <a:round/>
                            <a:headEnd/>
                            <a:tailEnd/>
                          </a:ln>
                          <a:extLst>
                            <a:ext uri="{909E8E84-426E-40DD-AFC4-6F175D3DCCD1}">
                              <a14:hiddenFill xmlns:a14="http://schemas.microsoft.com/office/drawing/2010/main">
                                <a:solidFill>
                                  <a:srgbClr val="FFFFFF"/>
                                </a:solidFill>
                              </a14:hiddenFill>
                            </a:ext>
                          </a:extLst>
                        </wps:spPr>
                        <wps:txbx>
                          <w:txbxContent>
                            <w:p w14:paraId="51C2D5D4" w14:textId="77777777" w:rsidR="0083182E" w:rsidRDefault="0083182E" w:rsidP="00C95365">
                              <w:pPr>
                                <w:rPr>
                                  <w:rFonts w:eastAsia="Times New Roman"/>
                                </w:rPr>
                              </w:pPr>
                            </w:p>
                          </w:txbxContent>
                        </wps:txbx>
                        <wps:bodyPr/>
                      </wps:wsp>
                    </wpg:wgp>
                  </a:graphicData>
                </a:graphic>
              </wp:anchor>
            </w:drawing>
          </mc:Choice>
          <mc:Fallback>
            <w:pict>
              <v:group w14:anchorId="5907EA70" id="Group 3" o:spid="_x0000_s1026" style="position:absolute;left:0;text-align:left;margin-left:-4.75pt;margin-top:-8.2pt;width:452.25pt;height:208.5pt;z-index:251659264" coordsize="603,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">
                <v:rect id="AutoShape 2" o:spid="_x0000_s1027" style="position:absolute;width:603;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" filled="f" stroked="f">
                  <o:lock v:ext="edit" aspectratio="t" text="t"/>
                  <v:textbox>
                    <w:txbxContent>
                      <w:p w14:paraId="6B3B6E7C" w14:textId="77777777" w:rsidR="0083182E" w:rsidRDefault="0083182E" w:rsidP="00C95365">
                        <w:pPr>
                          <w:rPr>
                            <w:rFonts w:eastAsia="Times New Roman"/>
                          </w:rPr>
                        </w:pPr>
                      </w:p>
                    </w:txbxContent>
                  </v:textbox>
                </v:rect>
                <v:rect id="Rectangle 79" o:spid="_x0000_s1028" style="position:absolute;width:603;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" stroked="f">
                  <v:textbox>
                    <w:txbxContent>
                      <w:p w14:paraId="45F51162" w14:textId="77777777" w:rsidR="0083182E" w:rsidRDefault="0083182E" w:rsidP="00C95365">
                        <w:pPr>
                          <w:rPr>
                            <w:rFonts w:eastAsia="Times New Roman"/>
                          </w:rPr>
                        </w:pPr>
                      </w:p>
                    </w:txbxContent>
                  </v:textbox>
                </v:rect>
                <v:rect id="Rectangle 80" o:spid="_x0000_s1029" style="position:absolute;left:35;top:11;width:55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" stroked="f">
                  <v:textbox>
                    <w:txbxContent>
                      <w:p w14:paraId="11CE1CDC" w14:textId="77777777" w:rsidR="0083182E" w:rsidRDefault="0083182E" w:rsidP="00C95365">
                        <w:pPr>
                          <w:rPr>
                            <w:rFonts w:eastAsia="Times New Roman"/>
                          </w:rPr>
                        </w:pPr>
                      </w:p>
                    </w:txbxContent>
                  </v:textbox>
                </v:rect>
                <v:rect id="Rectangle 81" o:spid="_x0000_s1030" style="position:absolute;left:63;top:22;width:37;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" fillcolor="#92d050" stroked="f">
                  <v:textbox>
                    <w:txbxContent>
                      <w:p w14:paraId="4BAF1490" w14:textId="77777777" w:rsidR="0083182E" w:rsidRDefault="0083182E" w:rsidP="00C95365">
                        <w:pPr>
                          <w:rPr>
                            <w:rFonts w:eastAsia="Times New Roman"/>
                          </w:rPr>
                        </w:pPr>
                      </w:p>
                    </w:txbxContent>
                  </v:textbox>
                </v:rect>
                <v:rect id="Rectangle 82" o:spid="_x0000_s1031" style="position:absolute;left:340;top:152;width:37;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" fillcolor="red" stroked="f">
                  <v:textbox>
                    <w:txbxContent>
                      <w:p w14:paraId="2D42F26B" w14:textId="77777777" w:rsidR="0083182E" w:rsidRDefault="0083182E" w:rsidP="00C95365">
                        <w:pPr>
                          <w:rPr>
                            <w:rFonts w:eastAsia="Times New Roman"/>
                          </w:rPr>
                        </w:pPr>
                      </w:p>
                    </w:txbxContent>
                  </v:textbox>
                </v:rect>
                <v:rect id="Rectangle 83" o:spid="_x0000_s1032" style="position:absolute;left:525;top:164;width:3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" fillcolor="#92d050" stroked="f">
                  <v:textbox>
                    <w:txbxContent>
                      <w:p w14:paraId="414FA098" w14:textId="77777777" w:rsidR="0083182E" w:rsidRDefault="0083182E" w:rsidP="00C95365">
                        <w:pPr>
                          <w:rPr>
                            <w:rFonts w:eastAsia="Times New Roman"/>
                          </w:rPr>
                        </w:pPr>
                      </w:p>
                    </w:txbxContent>
                  </v:textbox>
                </v:rect>
                <v:shape id="Freeform 84" o:spid="_x0000_s1033" style="position:absolute;left:155;top:22;width:315;height:149;visibility:visible;mso-wrap-style:square;v-text-anchor:top" coordsize="315,1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" adj="-11796480,,5400" path="m,l37,r,88l,88,,xm93,88r37,l130,130r-37,l93,88xm278,133r37,l315,149r-37,l278,133xe" fillcolor="#4f81bd" stroked="f">
                  <v:stroke joinstyle="round"/>
                  <v:formulas/>
                  <v:path arrowok="t" o:connecttype="custom" o:connectlocs="0,0;37,0;37,88;0,88;0,0;93,88;130,88;130,130;93,130;93,88;278,133;315,133;315,149;278,149;278,133" o:connectangles="0,0,0,0,0,0,0,0,0,0,0,0,0,0,0" textboxrect="0,0,315,149"/>
                  <o:lock v:ext="edit" verticies="t"/>
                  <v:textbox>
                    <w:txbxContent>
                      <w:p w14:paraId="2F6346F4" w14:textId="77777777" w:rsidR="0083182E" w:rsidRDefault="0083182E" w:rsidP="00C95365">
                        <w:pPr>
                          <w:rPr>
                            <w:rFonts w:eastAsia="Times New Roman"/>
                          </w:rPr>
                        </w:pPr>
                      </w:p>
                    </w:txbxContent>
                  </v:textbox>
                </v:shape>
                <v:rect id="Rectangle 85" o:spid="_x0000_s1034" style="position:absolute;left:35;top:11;width:1;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" fillcolor="#868686" strokecolor="#868686" strokeweight="0">
                  <v:stroke joinstyle="bevel"/>
                  <v:textbox>
                    <w:txbxContent>
                      <w:p w14:paraId="093591F7" w14:textId="77777777" w:rsidR="0083182E" w:rsidRDefault="0083182E" w:rsidP="00C95365">
                        <w:pPr>
                          <w:rPr>
                            <w:rFonts w:eastAsia="Times New Roman"/>
                          </w:rPr>
                        </w:pPr>
                      </w:p>
                    </w:txbxContent>
                  </v:textbox>
                </v:rect>
                <v:shape id="Freeform 86" o:spid="_x0000_s1035" style="position:absolute;left:32;top:10;width:3;height:225;visibility:visible;mso-wrap-style:square;v-text-anchor:top" coordsize="3,2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" adj="-11796480,,5400" path="m,224r3,l3,225r-3,l,224xm,199r3,l3,200r-3,l,199xm,174r3,l3,175r-3,l,174xm,150r3,l3,150r-3,l,150xm,125r3,l3,125r-3,l,125xm,100r3,l3,100r-3,l,100xm,75r3,l3,76,,76,,75xm,50r3,l3,51,,51,,50xm,25r3,l3,26,,26,,25xm,l3,r,1l,1,,xe" fillcolor="#868686" strokecolor="#868686" strokeweight="0">
                  <v:stroke joinstyle="bevel"/>
                  <v:formulas/>
                  <v:path arrowok="t" o:connecttype="custom" o:connectlocs="0,224;3,224;3,225;0,225;0,224;0,199;3,199;3,200;0,200;0,199;0,174;3,174;3,175;0,175;0,174;0,150;3,150;3,150;0,150;0,150;0,125;3,125;3,125;0,125;0,125;0,100;3,100;3,100;0,100;0,100;0,75;3,75;3,76;0,76;0,75;0,50;3,50;3,51;0,51;0,50;0,25;3,25;3,26;0,26;0,25;0,0;3,0;3,1;0,1;0,0" o:connectangles="0,0,0,0,0,0,0,0,0,0,0,0,0,0,0,0,0,0,0,0,0,0,0,0,0,0,0,0,0,0,0,0,0,0,0,0,0,0,0,0,0,0,0,0,0,0,0,0,0,0" textboxrect="0,0,3,225"/>
                  <o:lock v:ext="edit" verticies="t"/>
                  <v:textbox>
                    <w:txbxContent>
                      <w:p w14:paraId="54E585DB" w14:textId="77777777" w:rsidR="0083182E" w:rsidRDefault="0083182E" w:rsidP="00C95365">
                        <w:pPr>
                          <w:rPr>
                            <w:rFonts w:eastAsia="Times New Roman"/>
                          </w:rPr>
                        </w:pPr>
                      </w:p>
                    </w:txbxContent>
                  </v:textbox>
                </v:shape>
                <v:rect id="Rectangle 87" o:spid="_x0000_s1036" style="position:absolute;left:35;top:234;width:555;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" fillcolor="#868686" strokecolor="#868686" strokeweight="0">
                  <v:stroke joinstyle="bevel"/>
                  <v:textbox>
                    <w:txbxContent>
                      <w:p w14:paraId="1761F367" w14:textId="77777777" w:rsidR="0083182E" w:rsidRDefault="0083182E" w:rsidP="00C95365">
                        <w:pPr>
                          <w:rPr>
                            <w:rFonts w:eastAsia="Times New Roman"/>
                          </w:rPr>
                        </w:pPr>
                      </w:p>
                    </w:txbxContent>
                  </v:textbox>
                </v:rect>
                <v:shape id="Freeform 88" o:spid="_x0000_s1037" style="position:absolute;left:35;top:235;width:555;height:2;visibility:visible;mso-wrap-style:square;v-text-anchor:top" coordsize="55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" adj="-11796480,,5400" path="m,l,2r,l,,,xm93,r,2l92,2,92,r1,xm185,r,2l185,2r,-2l185,xm278,r,2l277,2r,-2l278,xm370,r,2l370,2r,-2l370,xm463,r,2l462,2r,-2l463,xm555,r,2l555,2r,-2l555,xe" fillcolor="#868686" strokecolor="#868686" strokeweight="0">
                  <v:stroke joinstyle="bevel"/>
                  <v:formulas/>
                  <v:path arrowok="t" o:connecttype="custom" o:connectlocs="0,0;0,2;0,2;0,0;0,0;93,0;93,2;92,2;92,0;93,0;185,0;185,2;185,2;185,0;185,0;278,0;278,2;277,2;277,0;278,0;370,0;370,2;370,2;370,0;370,0;463,0;463,2;462,2;462,0;463,0;555,0;555,2;555,2;555,0;555,0" o:connectangles="0,0,0,0,0,0,0,0,0,0,0,0,0,0,0,0,0,0,0,0,0,0,0,0,0,0,0,0,0,0,0,0,0,0,0" textboxrect="0,0,555,2"/>
                  <o:lock v:ext="edit" verticies="t"/>
                  <v:textbox>
                    <w:txbxContent>
                      <w:p w14:paraId="1DB925B9" w14:textId="77777777" w:rsidR="0083182E" w:rsidRDefault="0083182E" w:rsidP="00C95365">
                        <w:pPr>
                          <w:rPr>
                            <w:rFonts w:eastAsia="Times New Roman"/>
                          </w:rPr>
                        </w:pPr>
                      </w:p>
                    </w:txbxContent>
                  </v:textbox>
                </v:shape>
                <v:rect id="Rectangle 89" o:spid="_x0000_s1038" style="position:absolute;left:74;top:7;width:14;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1E2AEA9B" w14:textId="77777777" w:rsidR="0083182E" w:rsidRDefault="0083182E" w:rsidP="00C95365">
                        <w:pPr>
                          <w:pStyle w:val="NormalWeb"/>
                          <w:spacing w:before="0" w:beforeAutospacing="0" w:after="0" w:afterAutospacing="0"/>
                        </w:pPr>
                        <w:r>
                          <w:rPr>
                            <w:b/>
                            <w:bCs/>
                            <w:color w:val="000000"/>
                            <w:sz w:val="14"/>
                            <w:szCs w:val="14"/>
                          </w:rPr>
                          <w:t xml:space="preserve">427 </w:t>
                        </w:r>
                      </w:p>
                    </w:txbxContent>
                  </v:textbox>
                </v:rect>
                <v:rect id="Rectangle 90" o:spid="_x0000_s1039" style="position:absolute;left:165;top:10;width:16;height: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4324294F" w14:textId="77777777" w:rsidR="0083182E" w:rsidRDefault="0083182E" w:rsidP="00C95365">
                        <w:pPr>
                          <w:pStyle w:val="NormalWeb"/>
                          <w:spacing w:before="0" w:beforeAutospacing="0" w:after="0" w:afterAutospacing="0"/>
                        </w:pPr>
                        <w:r>
                          <w:rPr>
                            <w:b/>
                            <w:bCs/>
                            <w:color w:val="000000"/>
                            <w:sz w:val="16"/>
                            <w:szCs w:val="16"/>
                          </w:rPr>
                          <w:t xml:space="preserve">177 </w:t>
                        </w:r>
                      </w:p>
                    </w:txbxContent>
                  </v:textbox>
                </v:rect>
                <v:rect id="Rectangle 91" o:spid="_x0000_s1040" style="position:absolute;left:262;top:96;width:9;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1E559BA2" w14:textId="77777777" w:rsidR="0083182E" w:rsidRDefault="0083182E" w:rsidP="00C95365">
                        <w:pPr>
                          <w:pStyle w:val="NormalWeb"/>
                          <w:spacing w:before="0" w:beforeAutospacing="0" w:after="0" w:afterAutospacing="0"/>
                        </w:pPr>
                        <w:r>
                          <w:rPr>
                            <w:b/>
                            <w:bCs/>
                            <w:color w:val="000000"/>
                            <w:sz w:val="14"/>
                            <w:szCs w:val="14"/>
                          </w:rPr>
                          <w:t xml:space="preserve">84 </w:t>
                        </w:r>
                      </w:p>
                    </w:txbxContent>
                  </v:textbox>
                </v:rect>
                <v:rect id="Rectangle 92" o:spid="_x0000_s1041" style="position:absolute;left:336;top:129;width:51;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" filled="f" stroked="f">
                  <v:textbox inset="0,0,0,0">
                    <w:txbxContent>
                      <w:p w14:paraId="22437F69" w14:textId="77777777" w:rsidR="0083182E" w:rsidRDefault="0083182E" w:rsidP="00C95365">
                        <w:pPr>
                          <w:pStyle w:val="NormalWeb"/>
                          <w:spacing w:before="0" w:beforeAutospacing="0" w:after="0" w:afterAutospacing="0"/>
                        </w:pPr>
                        <w:r>
                          <w:rPr>
                            <w:b/>
                            <w:bCs/>
                            <w:color w:val="000000"/>
                            <w:sz w:val="14"/>
                            <w:szCs w:val="14"/>
                            <w:lang w:val="sr-Cyrl-RS"/>
                          </w:rPr>
                          <w:t xml:space="preserve">      </w:t>
                        </w:r>
                        <w:r>
                          <w:rPr>
                            <w:b/>
                            <w:bCs/>
                            <w:color w:val="000000"/>
                            <w:sz w:val="14"/>
                            <w:szCs w:val="14"/>
                          </w:rPr>
                          <w:t xml:space="preserve">+ 7 </w:t>
                        </w:r>
                      </w:p>
                    </w:txbxContent>
                  </v:textbox>
                </v:rect>
                <v:rect id="Rectangle 93" o:spid="_x0000_s1042" style="position:absolute;left:447;top:139;width:11;height: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297B3206" w14:textId="77777777" w:rsidR="0083182E" w:rsidRDefault="0083182E" w:rsidP="00C95365">
                        <w:pPr>
                          <w:pStyle w:val="NormalWeb"/>
                          <w:spacing w:before="0" w:beforeAutospacing="0" w:after="0" w:afterAutospacing="0"/>
                        </w:pPr>
                        <w:r>
                          <w:rPr>
                            <w:b/>
                            <w:bCs/>
                            <w:color w:val="000000"/>
                            <w:sz w:val="16"/>
                            <w:szCs w:val="16"/>
                          </w:rPr>
                          <w:t xml:space="preserve">32 </w:t>
                        </w:r>
                      </w:p>
                    </w:txbxContent>
                  </v:textbox>
                </v:rect>
                <v:rect id="Rectangle 94" o:spid="_x0000_s1043" style="position:absolute;left:537;top:150;width:16;height: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483A0CA6" w14:textId="77777777" w:rsidR="0083182E" w:rsidRDefault="0083182E" w:rsidP="00C95365">
                        <w:pPr>
                          <w:pStyle w:val="NormalWeb"/>
                          <w:spacing w:before="0" w:beforeAutospacing="0" w:after="0" w:afterAutospacing="0"/>
                        </w:pPr>
                        <w:r>
                          <w:rPr>
                            <w:b/>
                            <w:bCs/>
                            <w:color w:val="000000"/>
                            <w:sz w:val="16"/>
                            <w:szCs w:val="16"/>
                          </w:rPr>
                          <w:t xml:space="preserve">141 </w:t>
                        </w:r>
                      </w:p>
                    </w:txbxContent>
                  </v:textbox>
                </v:rect>
                <v:rect id="Rectangle 95" o:spid="_x0000_s1044" style="position:absolute;left:20;top:227;width:5;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18843C14" w14:textId="77777777" w:rsidR="0083182E" w:rsidRDefault="0083182E" w:rsidP="00C95365">
                        <w:pPr>
                          <w:pStyle w:val="NormalWeb"/>
                          <w:spacing w:before="0" w:beforeAutospacing="0" w:after="0" w:afterAutospacing="0"/>
                        </w:pPr>
                        <w:r>
                          <w:rPr>
                            <w:b/>
                            <w:bCs/>
                            <w:color w:val="000000"/>
                            <w:sz w:val="14"/>
                            <w:szCs w:val="14"/>
                          </w:rPr>
                          <w:t>0</w:t>
                        </w:r>
                      </w:p>
                    </w:txbxContent>
                  </v:textbox>
                </v:rect>
                <v:rect id="Rectangle 96" o:spid="_x0000_s1045" style="position:absolute;left:14;top:203;width:11;height: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14:paraId="699E82BA" w14:textId="77777777" w:rsidR="0083182E" w:rsidRDefault="0083182E" w:rsidP="00C95365">
                        <w:pPr>
                          <w:pStyle w:val="NormalWeb"/>
                          <w:spacing w:before="0" w:beforeAutospacing="0" w:after="0" w:afterAutospacing="0"/>
                        </w:pPr>
                        <w:r>
                          <w:rPr>
                            <w:b/>
                            <w:bCs/>
                            <w:color w:val="000000"/>
                            <w:sz w:val="16"/>
                            <w:szCs w:val="16"/>
                          </w:rPr>
                          <w:t>50</w:t>
                        </w:r>
                      </w:p>
                    </w:txbxContent>
                  </v:textbox>
                </v:rect>
                <v:rect id="Rectangle 97" o:spid="_x0000_s1046" style="position:absolute;left:8;top:177;width:16;height: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7804FB35" w14:textId="77777777" w:rsidR="0083182E" w:rsidRDefault="0083182E" w:rsidP="00C95365">
                        <w:pPr>
                          <w:pStyle w:val="NormalWeb"/>
                          <w:spacing w:before="0" w:beforeAutospacing="0" w:after="0" w:afterAutospacing="0"/>
                        </w:pPr>
                        <w:r>
                          <w:rPr>
                            <w:b/>
                            <w:bCs/>
                            <w:color w:val="000000"/>
                            <w:sz w:val="16"/>
                            <w:szCs w:val="16"/>
                          </w:rPr>
                          <w:t>100</w:t>
                        </w:r>
                      </w:p>
                    </w:txbxContent>
                  </v:textbox>
                </v:rect>
                <v:rect id="Rectangle 98" o:spid="_x0000_s1047" style="position:absolute;left:8;top:153;width:14;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3A1A186A" w14:textId="77777777" w:rsidR="0083182E" w:rsidRDefault="0083182E" w:rsidP="00C95365">
                        <w:pPr>
                          <w:pStyle w:val="NormalWeb"/>
                          <w:spacing w:before="0" w:beforeAutospacing="0" w:after="0" w:afterAutospacing="0"/>
                        </w:pPr>
                        <w:r>
                          <w:rPr>
                            <w:b/>
                            <w:bCs/>
                            <w:color w:val="000000"/>
                            <w:sz w:val="14"/>
                            <w:szCs w:val="14"/>
                          </w:rPr>
                          <w:t>150</w:t>
                        </w:r>
                      </w:p>
                    </w:txbxContent>
                  </v:textbox>
                </v:rect>
                <v:rect id="Rectangle 99" o:spid="_x0000_s1048" style="position:absolute;left:8;top:128;width:14;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06E259D" w14:textId="77777777" w:rsidR="0083182E" w:rsidRDefault="0083182E" w:rsidP="00C95365">
                        <w:pPr>
                          <w:pStyle w:val="NormalWeb"/>
                          <w:spacing w:before="0" w:beforeAutospacing="0" w:after="0" w:afterAutospacing="0"/>
                        </w:pPr>
                        <w:r>
                          <w:rPr>
                            <w:b/>
                            <w:bCs/>
                            <w:color w:val="000000"/>
                            <w:sz w:val="14"/>
                            <w:szCs w:val="14"/>
                          </w:rPr>
                          <w:t>200</w:t>
                        </w:r>
                      </w:p>
                    </w:txbxContent>
                  </v:textbox>
                </v:rect>
                <v:rect id="Rectangle 100" o:spid="_x0000_s1049" style="position:absolute;left:8;top:103;width:14;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C2D0132" w14:textId="77777777" w:rsidR="0083182E" w:rsidRDefault="0083182E" w:rsidP="00C95365">
                        <w:pPr>
                          <w:pStyle w:val="NormalWeb"/>
                          <w:spacing w:before="0" w:beforeAutospacing="0" w:after="0" w:afterAutospacing="0"/>
                        </w:pPr>
                        <w:r>
                          <w:rPr>
                            <w:b/>
                            <w:bCs/>
                            <w:color w:val="000000"/>
                            <w:sz w:val="14"/>
                            <w:szCs w:val="14"/>
                          </w:rPr>
                          <w:t>250</w:t>
                        </w:r>
                      </w:p>
                    </w:txbxContent>
                  </v:textbox>
                </v:rect>
                <v:rect id="Rectangle 101" o:spid="_x0000_s1050" style="position:absolute;left:8;top:78;width:14;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09738413" w14:textId="77777777" w:rsidR="0083182E" w:rsidRDefault="0083182E" w:rsidP="00C95365">
                        <w:pPr>
                          <w:pStyle w:val="NormalWeb"/>
                          <w:spacing w:before="0" w:beforeAutospacing="0" w:after="0" w:afterAutospacing="0"/>
                        </w:pPr>
                        <w:r>
                          <w:rPr>
                            <w:b/>
                            <w:bCs/>
                            <w:color w:val="000000"/>
                            <w:sz w:val="14"/>
                            <w:szCs w:val="14"/>
                          </w:rPr>
                          <w:t>300</w:t>
                        </w:r>
                      </w:p>
                    </w:txbxContent>
                  </v:textbox>
                </v:rect>
                <v:rect id="Rectangle 102" o:spid="_x0000_s1051" style="position:absolute;left:8;top:53;width:14;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14:paraId="71B6880E" w14:textId="77777777" w:rsidR="0083182E" w:rsidRDefault="0083182E" w:rsidP="00C95365">
                        <w:pPr>
                          <w:pStyle w:val="NormalWeb"/>
                          <w:spacing w:before="0" w:beforeAutospacing="0" w:after="0" w:afterAutospacing="0"/>
                        </w:pPr>
                        <w:r>
                          <w:rPr>
                            <w:b/>
                            <w:bCs/>
                            <w:color w:val="000000"/>
                            <w:sz w:val="14"/>
                            <w:szCs w:val="14"/>
                          </w:rPr>
                          <w:t>350</w:t>
                        </w:r>
                      </w:p>
                    </w:txbxContent>
                  </v:textbox>
                </v:rect>
                <v:rect id="Rectangle 103" o:spid="_x0000_s1052" style="position:absolute;left:8;top:28;width:14;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2D5AF441" w14:textId="77777777" w:rsidR="0083182E" w:rsidRDefault="0083182E" w:rsidP="00C95365">
                        <w:pPr>
                          <w:pStyle w:val="NormalWeb"/>
                          <w:spacing w:before="0" w:beforeAutospacing="0" w:after="0" w:afterAutospacing="0"/>
                        </w:pPr>
                        <w:r>
                          <w:rPr>
                            <w:b/>
                            <w:bCs/>
                            <w:color w:val="000000"/>
                            <w:sz w:val="14"/>
                            <w:szCs w:val="14"/>
                          </w:rPr>
                          <w:t>400</w:t>
                        </w:r>
                      </w:p>
                    </w:txbxContent>
                  </v:textbox>
                </v:rect>
                <v:rect id="Rectangle 104" o:spid="_x0000_s1053" style="position:absolute;left:8;top:3;width:14;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195F2FEF" w14:textId="77777777" w:rsidR="0083182E" w:rsidRDefault="0083182E" w:rsidP="00C95365">
                        <w:pPr>
                          <w:pStyle w:val="NormalWeb"/>
                          <w:spacing w:before="0" w:beforeAutospacing="0" w:after="0" w:afterAutospacing="0"/>
                        </w:pPr>
                        <w:r>
                          <w:rPr>
                            <w:b/>
                            <w:bCs/>
                            <w:color w:val="000000"/>
                            <w:sz w:val="14"/>
                            <w:szCs w:val="14"/>
                          </w:rPr>
                          <w:t>450</w:t>
                        </w:r>
                      </w:p>
                    </w:txbxContent>
                  </v:textbox>
                </v:rect>
                <v:rect id="Rectangle 105" o:spid="_x0000_s1054" style="position:absolute;left:58;top:238;width:37;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72716EA0" w14:textId="77777777" w:rsidR="0083182E" w:rsidRDefault="0083182E" w:rsidP="00C95365">
                        <w:pPr>
                          <w:pStyle w:val="NormalWeb"/>
                          <w:spacing w:before="0" w:beforeAutospacing="0" w:after="0" w:afterAutospacing="0"/>
                        </w:pPr>
                        <w:r>
                          <w:rPr>
                            <w:b/>
                            <w:bCs/>
                            <w:color w:val="000000"/>
                            <w:sz w:val="14"/>
                            <w:szCs w:val="14"/>
                          </w:rPr>
                          <w:t>31.8.2015</w:t>
                        </w:r>
                      </w:p>
                    </w:txbxContent>
                  </v:textbox>
                </v:rect>
                <v:rect id="Rectangle 106" o:spid="_x0000_s1055" style="position:absolute;left:160;top:238;width:41;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14:paraId="1C0CC4C1" w14:textId="77777777" w:rsidR="0083182E" w:rsidRDefault="0083182E" w:rsidP="00C95365">
                        <w:pPr>
                          <w:pStyle w:val="NormalWeb"/>
                          <w:spacing w:before="0" w:beforeAutospacing="0" w:after="0" w:afterAutospacing="0"/>
                        </w:pPr>
                        <w:r>
                          <w:rPr>
                            <w:b/>
                            <w:bCs/>
                            <w:color w:val="000000"/>
                            <w:sz w:val="14"/>
                            <w:szCs w:val="14"/>
                            <w:lang w:val="sr-Cyrl-RS"/>
                          </w:rPr>
                          <w:t>Отпис</w:t>
                        </w:r>
                      </w:p>
                    </w:txbxContent>
                  </v:textbox>
                </v:rect>
                <v:rect id="Rectangle 107" o:spid="_x0000_s1056" style="position:absolute;left:241;top:238;width:42;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564B3161" w14:textId="77777777" w:rsidR="0083182E" w:rsidRDefault="0083182E" w:rsidP="00C95365">
                        <w:pPr>
                          <w:pStyle w:val="NormalWeb"/>
                          <w:spacing w:before="0" w:beforeAutospacing="0" w:after="0" w:afterAutospacing="0"/>
                        </w:pPr>
                        <w:r>
                          <w:rPr>
                            <w:b/>
                            <w:bCs/>
                            <w:color w:val="000000"/>
                            <w:sz w:val="14"/>
                            <w:szCs w:val="14"/>
                            <w:lang w:val="sr-Cyrl-RS"/>
                          </w:rPr>
                          <w:t>Уступања</w:t>
                        </w:r>
                      </w:p>
                    </w:txbxContent>
                  </v:textbox>
                </v:rect>
                <v:rect id="Rectangle 108" o:spid="_x0000_s1057" style="position:absolute;left:334;top:238;width:57;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" filled="f" stroked="f">
                  <v:textbox style="mso-fit-shape-to-text:t" inset="0,0,0,0">
                    <w:txbxContent>
                      <w:p w14:paraId="59301253" w14:textId="77777777" w:rsidR="0083182E" w:rsidRDefault="0083182E" w:rsidP="00C95365">
                        <w:pPr>
                          <w:pStyle w:val="NormalWeb"/>
                          <w:spacing w:before="0" w:beforeAutospacing="0" w:after="0" w:afterAutospacing="0"/>
                        </w:pPr>
                        <w:r>
                          <w:rPr>
                            <w:b/>
                            <w:bCs/>
                            <w:color w:val="000000"/>
                            <w:sz w:val="14"/>
                            <w:szCs w:val="14"/>
                            <w:lang w:val="sr-Cyrl-RS"/>
                          </w:rPr>
                          <w:t>Нови НПЛ</w:t>
                        </w:r>
                      </w:p>
                    </w:txbxContent>
                  </v:textbox>
                </v:rect>
                <v:rect id="Rectangle 109" o:spid="_x0000_s1058" style="position:absolute;left:330;top:249;width:6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" filled="f" stroked="f">
                  <v:textbox style="mso-fit-shape-to-text:t" inset="0,0,0,0">
                    <w:txbxContent>
                      <w:p w14:paraId="256332E8" w14:textId="77777777" w:rsidR="0083182E" w:rsidRDefault="0083182E" w:rsidP="00C95365">
                        <w:pPr>
                          <w:pStyle w:val="NormalWeb"/>
                          <w:spacing w:before="0" w:beforeAutospacing="0" w:after="0" w:afterAutospacing="0"/>
                        </w:pPr>
                        <w:r>
                          <w:rPr>
                            <w:b/>
                            <w:bCs/>
                            <w:color w:val="000000"/>
                            <w:sz w:val="14"/>
                            <w:szCs w:val="14"/>
                            <w:lang w:val="sr-Cyrl-RS"/>
                          </w:rPr>
                          <w:t xml:space="preserve">  умањен за</w:t>
                        </w:r>
                      </w:p>
                    </w:txbxContent>
                  </v:textbox>
                </v:rect>
                <v:rect id="Rectangle 110" o:spid="_x0000_s1059" style="position:absolute;left:340;top:260;width:35;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6D5CAFF2" w14:textId="77777777" w:rsidR="0083182E" w:rsidRDefault="0083182E" w:rsidP="00C95365">
                        <w:pPr>
                          <w:pStyle w:val="NormalWeb"/>
                          <w:spacing w:before="0" w:beforeAutospacing="0" w:after="0" w:afterAutospacing="0"/>
                        </w:pPr>
                        <w:r>
                          <w:rPr>
                            <w:b/>
                            <w:bCs/>
                            <w:color w:val="000000"/>
                            <w:sz w:val="14"/>
                            <w:szCs w:val="14"/>
                            <w:lang w:val="sr-Cyrl-RS"/>
                          </w:rPr>
                          <w:t>наплату</w:t>
                        </w:r>
                      </w:p>
                    </w:txbxContent>
                  </v:textbox>
                </v:rect>
                <v:rect id="Rectangle 111" o:spid="_x0000_s1060" style="position:absolute;left:435;top:238;width:31;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264F9F82" w14:textId="77777777" w:rsidR="0083182E" w:rsidRDefault="0083182E" w:rsidP="00C95365">
                        <w:pPr>
                          <w:pStyle w:val="NormalWeb"/>
                          <w:spacing w:before="0" w:beforeAutospacing="0" w:after="0" w:afterAutospacing="0"/>
                        </w:pPr>
                        <w:r>
                          <w:rPr>
                            <w:b/>
                            <w:bCs/>
                            <w:color w:val="000000"/>
                            <w:sz w:val="14"/>
                            <w:szCs w:val="14"/>
                            <w:lang w:val="sr-Cyrl-RS"/>
                          </w:rPr>
                          <w:t>Остало</w:t>
                        </w:r>
                      </w:p>
                    </w:txbxContent>
                  </v:textbox>
                </v:rect>
                <v:rect id="Rectangle 112" o:spid="_x0000_s1061" style="position:absolute;left:521;top:238;width:37;height: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F19C3F2" w14:textId="77777777" w:rsidR="0083182E" w:rsidRDefault="0083182E" w:rsidP="00C95365">
                        <w:pPr>
                          <w:pStyle w:val="NormalWeb"/>
                          <w:spacing w:before="0" w:beforeAutospacing="0" w:after="0" w:afterAutospacing="0"/>
                        </w:pPr>
                        <w:r>
                          <w:rPr>
                            <w:b/>
                            <w:bCs/>
                            <w:color w:val="000000"/>
                            <w:sz w:val="14"/>
                            <w:szCs w:val="14"/>
                          </w:rPr>
                          <w:t>30.9.2018</w:t>
                        </w:r>
                      </w:p>
                    </w:txbxContent>
                  </v:textbox>
                </v:rect>
                <v:rect id="Rectangle 113" o:spid="_x0000_s1062" style="position:absolute;width:603;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" filled="f" strokecolor="#868686">
                  <v:stroke joinstyle="round"/>
                  <v:textbox>
                    <w:txbxContent>
                      <w:p w14:paraId="51C2D5D4" w14:textId="77777777" w:rsidR="0083182E" w:rsidRDefault="0083182E" w:rsidP="00C95365">
                        <w:pPr>
                          <w:rPr>
                            <w:rFonts w:eastAsia="Times New Roman"/>
                          </w:rPr>
                        </w:pPr>
                      </w:p>
                    </w:txbxContent>
                  </v:textbox>
                </v:rect>
              </v:group>
            </w:pict>
          </mc:Fallback>
        </mc:AlternateContent>
      </w:r>
    </w:p>
    <w:p w14:paraId="3864FF99" w14:textId="77777777" w:rsidR="00527CD8" w:rsidRPr="00B27245" w:rsidRDefault="00527CD8" w:rsidP="002F1AA1">
      <w:pPr>
        <w:jc w:val="both"/>
        <w:rPr>
          <w:rFonts w:ascii="Times New Roman" w:hAnsi="Times New Roman" w:cs="Times New Roman"/>
          <w:sz w:val="24"/>
          <w:szCs w:val="24"/>
          <w:lang w:val="sr-Cyrl-CS"/>
        </w:rPr>
      </w:pPr>
    </w:p>
    <w:p w14:paraId="15AE573E" w14:textId="77777777" w:rsidR="00527CD8" w:rsidRPr="00B27245" w:rsidRDefault="00527CD8" w:rsidP="002F1AA1">
      <w:pPr>
        <w:jc w:val="both"/>
        <w:rPr>
          <w:rFonts w:ascii="Times New Roman" w:hAnsi="Times New Roman" w:cs="Times New Roman"/>
          <w:sz w:val="24"/>
          <w:szCs w:val="24"/>
          <w:lang w:val="sr-Cyrl-CS"/>
        </w:rPr>
      </w:pPr>
    </w:p>
    <w:p w14:paraId="5C55A403" w14:textId="77777777" w:rsidR="00527CD8" w:rsidRPr="00B27245" w:rsidRDefault="00527CD8" w:rsidP="002F1AA1">
      <w:pPr>
        <w:jc w:val="both"/>
        <w:rPr>
          <w:rFonts w:ascii="Times New Roman" w:hAnsi="Times New Roman" w:cs="Times New Roman"/>
          <w:sz w:val="24"/>
          <w:szCs w:val="24"/>
          <w:lang w:val="sr-Cyrl-CS"/>
        </w:rPr>
      </w:pPr>
    </w:p>
    <w:p w14:paraId="5C81F3A9" w14:textId="77777777" w:rsidR="00527CD8" w:rsidRPr="00B27245" w:rsidRDefault="00527CD8" w:rsidP="002F1AA1">
      <w:pPr>
        <w:jc w:val="both"/>
        <w:rPr>
          <w:rFonts w:ascii="Times New Roman" w:hAnsi="Times New Roman" w:cs="Times New Roman"/>
          <w:sz w:val="24"/>
          <w:szCs w:val="24"/>
          <w:lang w:val="sr-Cyrl-CS"/>
        </w:rPr>
      </w:pPr>
    </w:p>
    <w:p w14:paraId="006D7BCE" w14:textId="77777777" w:rsidR="00527CD8" w:rsidRPr="00B27245" w:rsidRDefault="00527CD8" w:rsidP="002F1AA1">
      <w:pPr>
        <w:jc w:val="both"/>
        <w:rPr>
          <w:rFonts w:ascii="Times New Roman" w:hAnsi="Times New Roman" w:cs="Times New Roman"/>
          <w:sz w:val="24"/>
          <w:szCs w:val="24"/>
          <w:lang w:val="sr-Cyrl-CS"/>
        </w:rPr>
      </w:pPr>
    </w:p>
    <w:p w14:paraId="03334669" w14:textId="77777777" w:rsidR="00527CD8" w:rsidRPr="00B27245" w:rsidRDefault="00527CD8" w:rsidP="002F1AA1">
      <w:pPr>
        <w:jc w:val="both"/>
        <w:rPr>
          <w:rFonts w:ascii="Times New Roman" w:hAnsi="Times New Roman" w:cs="Times New Roman"/>
          <w:sz w:val="24"/>
          <w:szCs w:val="24"/>
          <w:lang w:val="sr-Cyrl-CS"/>
        </w:rPr>
      </w:pPr>
    </w:p>
    <w:p w14:paraId="6120E2F1" w14:textId="77777777" w:rsidR="0059249F" w:rsidRPr="00B27245" w:rsidRDefault="0059249F" w:rsidP="002F1AA1">
      <w:pPr>
        <w:jc w:val="both"/>
        <w:rPr>
          <w:rFonts w:ascii="Times New Roman" w:hAnsi="Times New Roman" w:cs="Times New Roman"/>
          <w:sz w:val="24"/>
          <w:szCs w:val="24"/>
          <w:lang w:val="sr-Cyrl-CS"/>
        </w:rPr>
      </w:pPr>
    </w:p>
    <w:p w14:paraId="45AF10C0" w14:textId="77777777" w:rsidR="0059249F" w:rsidRPr="00B27245" w:rsidRDefault="0059249F" w:rsidP="002F1AA1">
      <w:pPr>
        <w:jc w:val="both"/>
        <w:rPr>
          <w:rFonts w:ascii="Times New Roman" w:hAnsi="Times New Roman" w:cs="Times New Roman"/>
          <w:sz w:val="24"/>
          <w:szCs w:val="24"/>
          <w:lang w:val="sr-Cyrl-CS"/>
        </w:rPr>
      </w:pPr>
    </w:p>
    <w:p w14:paraId="68227522" w14:textId="77777777" w:rsidR="00527CD8" w:rsidRPr="00B27245" w:rsidRDefault="00527CD8" w:rsidP="002F1AA1">
      <w:pPr>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Извор: НБС</w:t>
      </w:r>
    </w:p>
    <w:p w14:paraId="0CF47BF6" w14:textId="60B2F5EC" w:rsidR="00216660" w:rsidRPr="00B27245" w:rsidRDefault="00216660" w:rsidP="00572F07">
      <w:pPr>
        <w:spacing w:after="0"/>
        <w:ind w:firstLine="71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У наставку је кратак опис доприноса сваке од наведених група разлога</w:t>
      </w:r>
      <w:r w:rsidR="000803B2" w:rsidRPr="00B27245">
        <w:rPr>
          <w:rFonts w:ascii="Times New Roman" w:hAnsi="Times New Roman" w:cs="Times New Roman"/>
          <w:sz w:val="24"/>
          <w:szCs w:val="24"/>
          <w:lang w:val="sr-Cyrl-CS"/>
        </w:rPr>
        <w:t xml:space="preserve"> у периоду од 30.</w:t>
      </w:r>
      <w:r w:rsidR="0040153E" w:rsidRPr="00B27245">
        <w:rPr>
          <w:rFonts w:ascii="Times New Roman" w:hAnsi="Times New Roman" w:cs="Times New Roman"/>
          <w:sz w:val="24"/>
          <w:szCs w:val="24"/>
          <w:lang w:val="sr-Cyrl-CS"/>
        </w:rPr>
        <w:t xml:space="preserve"> августа 2015. године до 30. септембра </w:t>
      </w:r>
      <w:r w:rsidR="000803B2" w:rsidRPr="00B27245">
        <w:rPr>
          <w:rFonts w:ascii="Times New Roman" w:hAnsi="Times New Roman" w:cs="Times New Roman"/>
          <w:sz w:val="24"/>
          <w:szCs w:val="24"/>
          <w:lang w:val="sr-Cyrl-CS"/>
        </w:rPr>
        <w:t>2018. године</w:t>
      </w:r>
      <w:r w:rsidRPr="00B27245">
        <w:rPr>
          <w:rFonts w:ascii="Times New Roman" w:hAnsi="Times New Roman" w:cs="Times New Roman"/>
          <w:sz w:val="24"/>
          <w:szCs w:val="24"/>
          <w:lang w:val="sr-Cyrl-CS"/>
        </w:rPr>
        <w:t>:</w:t>
      </w:r>
      <w:r w:rsidR="00572F07" w:rsidRPr="00B27245">
        <w:rPr>
          <w:rFonts w:ascii="Times New Roman" w:hAnsi="Times New Roman" w:cs="Times New Roman"/>
          <w:sz w:val="24"/>
          <w:szCs w:val="24"/>
          <w:lang w:val="sr-Cyrl-CS"/>
        </w:rPr>
        <w:t xml:space="preserve"> </w:t>
      </w:r>
    </w:p>
    <w:p w14:paraId="1A444158" w14:textId="1712037D" w:rsidR="00216660" w:rsidRPr="00B27245" w:rsidRDefault="00572F07" w:rsidP="00572F07">
      <w:pPr>
        <w:spacing w:after="0" w:line="256" w:lineRule="auto"/>
        <w:ind w:right="118" w:firstLine="71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1.</w:t>
      </w:r>
      <w:r w:rsidR="00EA5DF1" w:rsidRPr="00B27245">
        <w:rPr>
          <w:rFonts w:ascii="Times New Roman" w:hAnsi="Times New Roman" w:cs="Times New Roman"/>
          <w:sz w:val="24"/>
          <w:szCs w:val="24"/>
          <w:lang w:val="sr-Cyrl-CS"/>
        </w:rPr>
        <w:t xml:space="preserve"> </w:t>
      </w:r>
      <w:r w:rsidR="00216660" w:rsidRPr="00B27245">
        <w:rPr>
          <w:rFonts w:ascii="Times New Roman" w:hAnsi="Times New Roman" w:cs="Times New Roman"/>
          <w:sz w:val="24"/>
          <w:szCs w:val="24"/>
          <w:lang w:val="sr-Cyrl-CS"/>
        </w:rPr>
        <w:t>Отпис потраживања. Захваљујући изменама законске регулативе којом је обезбеђен повољнији порески третман отписа (отпис кредита се признаје као расход, под одређеним условима)</w:t>
      </w:r>
      <w:r w:rsidR="00352939" w:rsidRPr="00B27245">
        <w:rPr>
          <w:rFonts w:ascii="Times New Roman" w:hAnsi="Times New Roman" w:cs="Times New Roman"/>
          <w:sz w:val="24"/>
          <w:szCs w:val="24"/>
          <w:lang w:val="sr-Cyrl-CS"/>
        </w:rPr>
        <w:t xml:space="preserve">, а </w:t>
      </w:r>
      <w:r w:rsidR="000338F6" w:rsidRPr="00B27245">
        <w:rPr>
          <w:rFonts w:ascii="Times New Roman" w:hAnsi="Times New Roman" w:cs="Times New Roman"/>
          <w:sz w:val="24"/>
          <w:szCs w:val="24"/>
          <w:lang w:val="sr-Cyrl-CS"/>
        </w:rPr>
        <w:t>пре свега</w:t>
      </w:r>
      <w:r w:rsidR="0059249F" w:rsidRPr="00B27245">
        <w:rPr>
          <w:rFonts w:ascii="Times New Roman" w:hAnsi="Times New Roman" w:cs="Times New Roman"/>
          <w:sz w:val="24"/>
          <w:szCs w:val="24"/>
          <w:lang w:val="sr-Cyrl-CS"/>
        </w:rPr>
        <w:t>,</w:t>
      </w:r>
      <w:r w:rsidR="000338F6" w:rsidRPr="00B27245">
        <w:rPr>
          <w:rFonts w:ascii="Times New Roman" w:hAnsi="Times New Roman" w:cs="Times New Roman"/>
          <w:sz w:val="24"/>
          <w:szCs w:val="24"/>
          <w:lang w:val="sr-Cyrl-CS"/>
        </w:rPr>
        <w:t xml:space="preserve"> применом Одлуке о рачуноводственом отпису билансне активе</w:t>
      </w:r>
      <w:r w:rsidR="00374FF2" w:rsidRPr="00B27245">
        <w:rPr>
          <w:rFonts w:ascii="Times New Roman" w:hAnsi="Times New Roman" w:cs="Times New Roman"/>
          <w:sz w:val="24"/>
          <w:szCs w:val="24"/>
          <w:lang w:val="sr-Cyrl-CS"/>
        </w:rPr>
        <w:t>,</w:t>
      </w:r>
      <w:r w:rsidR="000338F6" w:rsidRPr="00B27245">
        <w:rPr>
          <w:rFonts w:ascii="Times New Roman" w:hAnsi="Times New Roman" w:cs="Times New Roman"/>
          <w:sz w:val="24"/>
          <w:szCs w:val="24"/>
          <w:lang w:val="sr-Cyrl-CS"/>
        </w:rPr>
        <w:t xml:space="preserve"> </w:t>
      </w:r>
      <w:r w:rsidR="00216660" w:rsidRPr="00B27245">
        <w:rPr>
          <w:rFonts w:ascii="Times New Roman" w:hAnsi="Times New Roman" w:cs="Times New Roman"/>
          <w:sz w:val="24"/>
          <w:szCs w:val="24"/>
          <w:lang w:val="sr-Cyrl-CS"/>
        </w:rPr>
        <w:t>износ отп</w:t>
      </w:r>
      <w:r w:rsidR="0014736E" w:rsidRPr="00B27245">
        <w:rPr>
          <w:rFonts w:ascii="Times New Roman" w:hAnsi="Times New Roman" w:cs="Times New Roman"/>
          <w:sz w:val="24"/>
          <w:szCs w:val="24"/>
          <w:lang w:val="sr-Cyrl-CS"/>
        </w:rPr>
        <w:t>исаних проблематичних кредита</w:t>
      </w:r>
      <w:r w:rsidR="00216660" w:rsidRPr="00B27245">
        <w:rPr>
          <w:rFonts w:ascii="Times New Roman" w:hAnsi="Times New Roman" w:cs="Times New Roman"/>
          <w:sz w:val="24"/>
          <w:szCs w:val="24"/>
          <w:lang w:val="sr-Cyrl-CS"/>
        </w:rPr>
        <w:t xml:space="preserve"> у </w:t>
      </w:r>
      <w:r w:rsidR="00B4766B" w:rsidRPr="00B27245">
        <w:rPr>
          <w:rFonts w:ascii="Times New Roman" w:hAnsi="Times New Roman" w:cs="Times New Roman"/>
          <w:sz w:val="24"/>
          <w:szCs w:val="24"/>
          <w:lang w:val="sr-Cyrl-CS"/>
        </w:rPr>
        <w:t>посматраном периоду</w:t>
      </w:r>
      <w:r w:rsidR="00216660" w:rsidRPr="00B27245">
        <w:rPr>
          <w:rFonts w:ascii="Times New Roman" w:hAnsi="Times New Roman" w:cs="Times New Roman"/>
          <w:sz w:val="24"/>
          <w:szCs w:val="24"/>
          <w:lang w:val="sr-Cyrl-CS"/>
        </w:rPr>
        <w:t xml:space="preserve"> </w:t>
      </w:r>
      <w:r w:rsidR="00374FF2" w:rsidRPr="00B27245">
        <w:rPr>
          <w:rFonts w:ascii="Times New Roman" w:hAnsi="Times New Roman" w:cs="Times New Roman"/>
          <w:sz w:val="24"/>
          <w:szCs w:val="24"/>
          <w:lang w:val="sr-Cyrl-CS"/>
        </w:rPr>
        <w:t xml:space="preserve">износио </w:t>
      </w:r>
      <w:r w:rsidR="00ED66F8" w:rsidRPr="00B27245">
        <w:rPr>
          <w:rFonts w:ascii="Times New Roman" w:hAnsi="Times New Roman" w:cs="Times New Roman"/>
          <w:sz w:val="24"/>
          <w:szCs w:val="24"/>
          <w:lang w:val="sr-Cyrl-CS"/>
        </w:rPr>
        <w:t xml:space="preserve">је </w:t>
      </w:r>
      <w:r w:rsidR="00374FF2" w:rsidRPr="00B27245">
        <w:rPr>
          <w:rFonts w:ascii="Times New Roman" w:hAnsi="Times New Roman" w:cs="Times New Roman"/>
          <w:sz w:val="24"/>
          <w:szCs w:val="24"/>
          <w:lang w:val="sr-Cyrl-CS"/>
        </w:rPr>
        <w:t xml:space="preserve">176,8 млрд динара. Након усвајања Одлуке, банке су интензивирале директне </w:t>
      </w:r>
      <w:r w:rsidR="00EA5DF1" w:rsidRPr="00B27245">
        <w:rPr>
          <w:rFonts w:ascii="Times New Roman" w:hAnsi="Times New Roman" w:cs="Times New Roman"/>
          <w:sz w:val="24"/>
          <w:szCs w:val="24"/>
          <w:lang w:val="sr-Cyrl-CS"/>
        </w:rPr>
        <w:t xml:space="preserve">отписе почев од 30. септембра </w:t>
      </w:r>
      <w:r w:rsidR="00374FF2" w:rsidRPr="00B27245">
        <w:rPr>
          <w:rFonts w:ascii="Times New Roman" w:hAnsi="Times New Roman" w:cs="Times New Roman"/>
          <w:sz w:val="24"/>
          <w:szCs w:val="24"/>
          <w:lang w:val="sr-Cyrl-CS"/>
        </w:rPr>
        <w:t>2017. годин</w:t>
      </w:r>
      <w:r w:rsidR="00EA5DF1" w:rsidRPr="00B27245">
        <w:rPr>
          <w:rFonts w:ascii="Times New Roman" w:hAnsi="Times New Roman" w:cs="Times New Roman"/>
          <w:sz w:val="24"/>
          <w:szCs w:val="24"/>
          <w:lang w:val="sr-Cyrl-CS"/>
        </w:rPr>
        <w:t xml:space="preserve">е, тако да је закључно са 30. септембром </w:t>
      </w:r>
      <w:r w:rsidR="00374FF2" w:rsidRPr="00B27245">
        <w:rPr>
          <w:rFonts w:ascii="Times New Roman" w:hAnsi="Times New Roman" w:cs="Times New Roman"/>
          <w:sz w:val="24"/>
          <w:szCs w:val="24"/>
          <w:lang w:val="sr-Cyrl-CS"/>
        </w:rPr>
        <w:t>2018. године</w:t>
      </w:r>
      <w:r w:rsidR="000803B2" w:rsidRPr="00B27245">
        <w:rPr>
          <w:rFonts w:ascii="Times New Roman" w:hAnsi="Times New Roman" w:cs="Times New Roman"/>
          <w:sz w:val="24"/>
          <w:szCs w:val="24"/>
          <w:lang w:val="sr-Cyrl-CS"/>
        </w:rPr>
        <w:t>, укупно отписано 113,3 млрд динара (што чини 65% укупних отписа у претходне три године).</w:t>
      </w:r>
      <w:r w:rsidR="00374FF2" w:rsidRPr="00B27245">
        <w:rPr>
          <w:rFonts w:ascii="Times New Roman" w:hAnsi="Times New Roman" w:cs="Times New Roman"/>
          <w:sz w:val="24"/>
          <w:szCs w:val="24"/>
          <w:lang w:val="sr-Cyrl-CS"/>
        </w:rPr>
        <w:t xml:space="preserve"> </w:t>
      </w:r>
    </w:p>
    <w:p w14:paraId="478B908E" w14:textId="25881D6E" w:rsidR="00216660" w:rsidRPr="00B27245" w:rsidRDefault="00572F07" w:rsidP="00572F07">
      <w:pPr>
        <w:spacing w:after="5" w:line="256" w:lineRule="auto"/>
        <w:ind w:right="118" w:firstLine="71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2.</w:t>
      </w:r>
      <w:r w:rsidR="00EA5DF1" w:rsidRPr="00B27245">
        <w:rPr>
          <w:rFonts w:ascii="Times New Roman" w:hAnsi="Times New Roman" w:cs="Times New Roman"/>
          <w:sz w:val="24"/>
          <w:szCs w:val="24"/>
          <w:lang w:val="sr-Cyrl-CS"/>
        </w:rPr>
        <w:t xml:space="preserve"> </w:t>
      </w:r>
      <w:r w:rsidR="000803B2" w:rsidRPr="00B27245">
        <w:rPr>
          <w:rFonts w:ascii="Times New Roman" w:hAnsi="Times New Roman" w:cs="Times New Roman"/>
          <w:sz w:val="24"/>
          <w:szCs w:val="24"/>
          <w:lang w:val="sr-Cyrl-CS"/>
        </w:rPr>
        <w:t>Уступање</w:t>
      </w:r>
      <w:r w:rsidR="00216660" w:rsidRPr="00B27245">
        <w:rPr>
          <w:rFonts w:ascii="Times New Roman" w:hAnsi="Times New Roman" w:cs="Times New Roman"/>
          <w:sz w:val="24"/>
          <w:szCs w:val="24"/>
          <w:lang w:val="sr-Cyrl-CS"/>
        </w:rPr>
        <w:t xml:space="preserve"> (продаја потраживања). Приметан је пораст броја и обима трансакција на тржишту проблематичних кредита. </w:t>
      </w:r>
      <w:r w:rsidR="002F1AA1" w:rsidRPr="00B27245">
        <w:rPr>
          <w:rFonts w:ascii="Times New Roman" w:hAnsi="Times New Roman" w:cs="Times New Roman"/>
          <w:sz w:val="24"/>
          <w:szCs w:val="24"/>
          <w:lang w:val="sr-Cyrl-CS"/>
        </w:rPr>
        <w:t xml:space="preserve">У </w:t>
      </w:r>
      <w:r w:rsidR="000803B2" w:rsidRPr="00B27245">
        <w:rPr>
          <w:rFonts w:ascii="Times New Roman" w:hAnsi="Times New Roman" w:cs="Times New Roman"/>
          <w:sz w:val="24"/>
          <w:szCs w:val="24"/>
          <w:lang w:val="sr-Cyrl-CS"/>
        </w:rPr>
        <w:t xml:space="preserve">посматраном </w:t>
      </w:r>
      <w:r w:rsidR="002F1AA1" w:rsidRPr="00B27245">
        <w:rPr>
          <w:rFonts w:ascii="Times New Roman" w:hAnsi="Times New Roman" w:cs="Times New Roman"/>
          <w:sz w:val="24"/>
          <w:szCs w:val="24"/>
          <w:lang w:val="sr-Cyrl-CS"/>
        </w:rPr>
        <w:t xml:space="preserve">периоду </w:t>
      </w:r>
      <w:r w:rsidR="00EF4241" w:rsidRPr="00B27245">
        <w:rPr>
          <w:rFonts w:ascii="Times New Roman" w:hAnsi="Times New Roman" w:cs="Times New Roman"/>
          <w:sz w:val="24"/>
          <w:szCs w:val="24"/>
          <w:lang w:val="sr-Cyrl-CS"/>
        </w:rPr>
        <w:t xml:space="preserve">нето </w:t>
      </w:r>
      <w:r w:rsidR="00216660" w:rsidRPr="00B27245">
        <w:rPr>
          <w:rFonts w:ascii="Times New Roman" w:hAnsi="Times New Roman" w:cs="Times New Roman"/>
          <w:sz w:val="24"/>
          <w:szCs w:val="24"/>
          <w:lang w:val="sr-Cyrl-CS"/>
        </w:rPr>
        <w:t xml:space="preserve">износ потраживања банака продатих лицима ван банкарског сектора достигао је </w:t>
      </w:r>
      <w:r w:rsidR="00361D92" w:rsidRPr="00B27245">
        <w:rPr>
          <w:rFonts w:ascii="Times New Roman" w:hAnsi="Times New Roman" w:cs="Times New Roman"/>
          <w:sz w:val="24"/>
          <w:szCs w:val="24"/>
          <w:lang w:val="sr-Cyrl-CS"/>
        </w:rPr>
        <w:t>84,4</w:t>
      </w:r>
      <w:r w:rsidR="00361D92" w:rsidRPr="00B27245">
        <w:rPr>
          <w:rStyle w:val="FootnoteReference"/>
          <w:rFonts w:ascii="Times New Roman" w:hAnsi="Times New Roman" w:cs="Times New Roman"/>
          <w:sz w:val="24"/>
          <w:szCs w:val="24"/>
          <w:lang w:val="sr-Cyrl-CS"/>
        </w:rPr>
        <w:footnoteReference w:id="4"/>
      </w:r>
      <w:r w:rsidR="00216660" w:rsidRPr="00B27245">
        <w:rPr>
          <w:rFonts w:ascii="Times New Roman" w:hAnsi="Times New Roman" w:cs="Times New Roman"/>
          <w:sz w:val="24"/>
          <w:szCs w:val="24"/>
          <w:lang w:val="sr-Cyrl-CS"/>
        </w:rPr>
        <w:t xml:space="preserve"> </w:t>
      </w:r>
      <w:r w:rsidR="00352939" w:rsidRPr="00B27245">
        <w:rPr>
          <w:rFonts w:ascii="Times New Roman" w:hAnsi="Times New Roman" w:cs="Times New Roman"/>
          <w:sz w:val="24"/>
          <w:szCs w:val="24"/>
          <w:lang w:val="sr-Cyrl-CS"/>
        </w:rPr>
        <w:t>милијард</w:t>
      </w:r>
      <w:r w:rsidR="00361D92" w:rsidRPr="00B27245">
        <w:rPr>
          <w:rFonts w:ascii="Times New Roman" w:hAnsi="Times New Roman" w:cs="Times New Roman"/>
          <w:sz w:val="24"/>
          <w:szCs w:val="24"/>
          <w:lang w:val="sr-Cyrl-CS"/>
        </w:rPr>
        <w:t>е</w:t>
      </w:r>
      <w:r w:rsidR="00216660" w:rsidRPr="00B27245">
        <w:rPr>
          <w:rFonts w:ascii="Times New Roman" w:hAnsi="Times New Roman" w:cs="Times New Roman"/>
          <w:sz w:val="24"/>
          <w:szCs w:val="24"/>
          <w:lang w:val="sr-Cyrl-CS"/>
        </w:rPr>
        <w:t xml:space="preserve"> динара. </w:t>
      </w:r>
    </w:p>
    <w:p w14:paraId="50356B48" w14:textId="756F4564" w:rsidR="00216660" w:rsidRPr="00B27245" w:rsidRDefault="00572F07" w:rsidP="00572F07">
      <w:pPr>
        <w:spacing w:after="5" w:line="256" w:lineRule="auto"/>
        <w:ind w:right="118" w:firstLine="71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3.</w:t>
      </w:r>
      <w:r w:rsidR="00EA5DF1" w:rsidRPr="00B27245">
        <w:rPr>
          <w:rFonts w:ascii="Times New Roman" w:hAnsi="Times New Roman" w:cs="Times New Roman"/>
          <w:sz w:val="24"/>
          <w:szCs w:val="24"/>
          <w:lang w:val="sr-Cyrl-CS"/>
        </w:rPr>
        <w:t xml:space="preserve"> </w:t>
      </w:r>
      <w:r w:rsidR="00216660" w:rsidRPr="00B27245">
        <w:rPr>
          <w:rFonts w:ascii="Times New Roman" w:hAnsi="Times New Roman" w:cs="Times New Roman"/>
          <w:sz w:val="24"/>
          <w:szCs w:val="24"/>
          <w:lang w:val="sr-Cyrl-CS"/>
        </w:rPr>
        <w:t>Наплата</w:t>
      </w:r>
      <w:r w:rsidR="00361D92" w:rsidRPr="00B27245">
        <w:rPr>
          <w:rFonts w:ascii="Times New Roman" w:hAnsi="Times New Roman" w:cs="Times New Roman"/>
          <w:sz w:val="24"/>
          <w:szCs w:val="24"/>
          <w:lang w:val="sr-Cyrl-CS"/>
        </w:rPr>
        <w:t xml:space="preserve"> потраживања. У посматраном трогодишњем периоду</w:t>
      </w:r>
      <w:r w:rsidR="005A17DC" w:rsidRPr="00B27245">
        <w:rPr>
          <w:rFonts w:ascii="Times New Roman" w:hAnsi="Times New Roman" w:cs="Times New Roman"/>
          <w:sz w:val="24"/>
          <w:szCs w:val="24"/>
          <w:lang w:val="sr-Cyrl-CS"/>
        </w:rPr>
        <w:t>,</w:t>
      </w:r>
      <w:r w:rsidR="00361D92" w:rsidRPr="00B27245">
        <w:rPr>
          <w:rFonts w:ascii="Times New Roman" w:hAnsi="Times New Roman" w:cs="Times New Roman"/>
          <w:sz w:val="24"/>
          <w:szCs w:val="24"/>
          <w:lang w:val="sr-Cyrl-CS"/>
        </w:rPr>
        <w:t xml:space="preserve"> укупан износ наплаћених потраживања износи</w:t>
      </w:r>
      <w:r w:rsidR="005A17DC" w:rsidRPr="00B27245">
        <w:rPr>
          <w:rFonts w:ascii="Times New Roman" w:hAnsi="Times New Roman" w:cs="Times New Roman"/>
          <w:sz w:val="24"/>
          <w:szCs w:val="24"/>
          <w:lang w:val="sr-Cyrl-CS"/>
        </w:rPr>
        <w:t>о је</w:t>
      </w:r>
      <w:r w:rsidR="00361D92" w:rsidRPr="00B27245">
        <w:rPr>
          <w:rFonts w:ascii="Times New Roman" w:hAnsi="Times New Roman" w:cs="Times New Roman"/>
          <w:sz w:val="24"/>
          <w:szCs w:val="24"/>
          <w:lang w:val="sr-Cyrl-CS"/>
        </w:rPr>
        <w:t xml:space="preserve"> 240,3 млрд динара.</w:t>
      </w:r>
      <w:r w:rsidR="00216660" w:rsidRPr="00B27245">
        <w:rPr>
          <w:rFonts w:ascii="Times New Roman" w:hAnsi="Times New Roman" w:cs="Times New Roman"/>
          <w:sz w:val="24"/>
          <w:szCs w:val="24"/>
          <w:lang w:val="sr-Cyrl-CS"/>
        </w:rPr>
        <w:t xml:space="preserve"> </w:t>
      </w:r>
      <w:r w:rsidR="005A17DC" w:rsidRPr="00B27245">
        <w:rPr>
          <w:rFonts w:ascii="Times New Roman" w:hAnsi="Times New Roman" w:cs="Times New Roman"/>
          <w:sz w:val="24"/>
          <w:szCs w:val="24"/>
          <w:lang w:val="sr-Cyrl-CS"/>
        </w:rPr>
        <w:t xml:space="preserve">У истом периоду, забележен је и пораст по основу нових проблематичних кредита у износу од 259,7 млрд динара. </w:t>
      </w:r>
    </w:p>
    <w:p w14:paraId="2C617EE0" w14:textId="57CEDA2A" w:rsidR="005A17DC" w:rsidRPr="00B27245" w:rsidRDefault="00572F07" w:rsidP="00572F07">
      <w:pPr>
        <w:spacing w:after="5" w:line="256" w:lineRule="auto"/>
        <w:ind w:right="118" w:firstLine="71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4.</w:t>
      </w:r>
      <w:r w:rsidR="00EA5DF1" w:rsidRPr="00B27245">
        <w:rPr>
          <w:rFonts w:ascii="Times New Roman" w:hAnsi="Times New Roman" w:cs="Times New Roman"/>
          <w:sz w:val="24"/>
          <w:szCs w:val="24"/>
          <w:lang w:val="sr-Cyrl-CS"/>
        </w:rPr>
        <w:t xml:space="preserve"> </w:t>
      </w:r>
      <w:r w:rsidR="00216660" w:rsidRPr="00B27245">
        <w:rPr>
          <w:rFonts w:ascii="Times New Roman" w:hAnsi="Times New Roman" w:cs="Times New Roman"/>
          <w:sz w:val="24"/>
          <w:szCs w:val="24"/>
          <w:lang w:val="sr-Cyrl-CS"/>
        </w:rPr>
        <w:t>Економски опоравак</w:t>
      </w:r>
      <w:r w:rsidR="00A81053" w:rsidRPr="00B27245">
        <w:rPr>
          <w:rFonts w:ascii="Times New Roman" w:hAnsi="Times New Roman" w:cs="Times New Roman"/>
          <w:sz w:val="24"/>
          <w:szCs w:val="24"/>
          <w:lang w:val="sr-Cyrl-CS"/>
        </w:rPr>
        <w:t>.</w:t>
      </w:r>
      <w:r w:rsidR="00216660" w:rsidRPr="00B27245">
        <w:rPr>
          <w:rFonts w:ascii="Times New Roman" w:hAnsi="Times New Roman" w:cs="Times New Roman"/>
          <w:sz w:val="24"/>
          <w:szCs w:val="24"/>
          <w:lang w:val="sr-Cyrl-CS"/>
        </w:rPr>
        <w:t xml:space="preserve"> Учешће </w:t>
      </w:r>
      <w:r w:rsidR="00ED66F8" w:rsidRPr="00B27245">
        <w:rPr>
          <w:rFonts w:ascii="Times New Roman" w:hAnsi="Times New Roman" w:cs="Times New Roman"/>
          <w:sz w:val="24"/>
          <w:szCs w:val="24"/>
          <w:lang w:val="sr-Cyrl-CS"/>
        </w:rPr>
        <w:t xml:space="preserve">проблематичних кредита </w:t>
      </w:r>
      <w:r w:rsidR="00216660" w:rsidRPr="00B27245">
        <w:rPr>
          <w:rFonts w:ascii="Times New Roman" w:hAnsi="Times New Roman" w:cs="Times New Roman"/>
          <w:sz w:val="24"/>
          <w:szCs w:val="24"/>
          <w:lang w:val="sr-Cyrl-CS"/>
        </w:rPr>
        <w:t xml:space="preserve">се најбрже смањује у секторима који бележе највећи раст активности (грађевинарство, пољопривреда, индустрија, трговина). Тај пад је био најизраженији у грађевинарству, где је овај показатељ у </w:t>
      </w:r>
      <w:r w:rsidR="00EA5DF1" w:rsidRPr="00B27245">
        <w:rPr>
          <w:rFonts w:ascii="Times New Roman" w:hAnsi="Times New Roman" w:cs="Times New Roman"/>
          <w:sz w:val="24"/>
          <w:szCs w:val="24"/>
          <w:lang w:val="sr-Cyrl-CS"/>
        </w:rPr>
        <w:t xml:space="preserve">периоду од </w:t>
      </w:r>
      <w:r w:rsidR="00570512" w:rsidRPr="00B27245">
        <w:rPr>
          <w:rFonts w:ascii="Times New Roman" w:hAnsi="Times New Roman" w:cs="Times New Roman"/>
          <w:sz w:val="24"/>
          <w:szCs w:val="24"/>
          <w:lang w:val="sr-Cyrl-CS"/>
        </w:rPr>
        <w:t>31. марта 2017</w:t>
      </w:r>
      <w:r w:rsidR="00EA5DF1" w:rsidRPr="00B27245">
        <w:rPr>
          <w:rFonts w:ascii="Times New Roman" w:hAnsi="Times New Roman" w:cs="Times New Roman"/>
          <w:sz w:val="24"/>
          <w:szCs w:val="24"/>
          <w:lang w:val="sr-Cyrl-CS"/>
        </w:rPr>
        <w:t>. до 31.</w:t>
      </w:r>
      <w:r w:rsidR="00570512" w:rsidRPr="00B27245">
        <w:rPr>
          <w:rFonts w:ascii="Times New Roman" w:hAnsi="Times New Roman" w:cs="Times New Roman"/>
          <w:sz w:val="24"/>
          <w:szCs w:val="24"/>
          <w:lang w:val="sr-Cyrl-CS"/>
        </w:rPr>
        <w:t xml:space="preserve"> </w:t>
      </w:r>
      <w:r w:rsidR="00EA5DF1" w:rsidRPr="00B27245">
        <w:rPr>
          <w:rFonts w:ascii="Times New Roman" w:hAnsi="Times New Roman" w:cs="Times New Roman"/>
          <w:sz w:val="24"/>
          <w:szCs w:val="24"/>
          <w:lang w:val="sr-Cyrl-CS"/>
        </w:rPr>
        <w:t xml:space="preserve">марта </w:t>
      </w:r>
      <w:r w:rsidR="00570512" w:rsidRPr="00B27245">
        <w:rPr>
          <w:rFonts w:ascii="Times New Roman" w:hAnsi="Times New Roman" w:cs="Times New Roman"/>
          <w:sz w:val="24"/>
          <w:szCs w:val="24"/>
          <w:lang w:val="sr-Cyrl-CS"/>
        </w:rPr>
        <w:t>2018</w:t>
      </w:r>
      <w:r w:rsidR="00EA5DF1" w:rsidRPr="00B27245">
        <w:rPr>
          <w:rFonts w:ascii="Times New Roman" w:hAnsi="Times New Roman" w:cs="Times New Roman"/>
          <w:sz w:val="24"/>
          <w:szCs w:val="24"/>
          <w:lang w:val="sr-Cyrl-CS"/>
        </w:rPr>
        <w:t>.</w:t>
      </w:r>
      <w:r w:rsidR="00516E12" w:rsidRPr="00B27245">
        <w:rPr>
          <w:rFonts w:ascii="Times New Roman" w:hAnsi="Times New Roman" w:cs="Times New Roman"/>
          <w:sz w:val="24"/>
          <w:szCs w:val="24"/>
          <w:lang w:val="sr-Cyrl-CS"/>
        </w:rPr>
        <w:t xml:space="preserve">  године </w:t>
      </w:r>
      <w:r w:rsidR="00216660" w:rsidRPr="00B27245">
        <w:rPr>
          <w:rFonts w:ascii="Times New Roman" w:hAnsi="Times New Roman" w:cs="Times New Roman"/>
          <w:sz w:val="24"/>
          <w:szCs w:val="24"/>
          <w:lang w:val="sr-Cyrl-CS"/>
        </w:rPr>
        <w:t xml:space="preserve">снижен за </w:t>
      </w:r>
      <w:r w:rsidR="00516E12" w:rsidRPr="00B27245">
        <w:rPr>
          <w:rFonts w:ascii="Times New Roman" w:hAnsi="Times New Roman" w:cs="Times New Roman"/>
          <w:sz w:val="24"/>
          <w:szCs w:val="24"/>
          <w:lang w:val="sr-Cyrl-CS"/>
        </w:rPr>
        <w:t>14</w:t>
      </w:r>
      <w:r w:rsidR="00216660" w:rsidRPr="00B27245">
        <w:rPr>
          <w:rFonts w:ascii="Times New Roman" w:hAnsi="Times New Roman" w:cs="Times New Roman"/>
          <w:sz w:val="24"/>
          <w:szCs w:val="24"/>
          <w:lang w:val="sr-Cyrl-CS"/>
        </w:rPr>
        <w:t>,</w:t>
      </w:r>
      <w:r w:rsidR="00516E12" w:rsidRPr="00B27245">
        <w:rPr>
          <w:rFonts w:ascii="Times New Roman" w:hAnsi="Times New Roman" w:cs="Times New Roman"/>
          <w:sz w:val="24"/>
          <w:szCs w:val="24"/>
          <w:lang w:val="sr-Cyrl-CS"/>
        </w:rPr>
        <w:t>4</w:t>
      </w:r>
      <w:r w:rsidR="00ED66F8" w:rsidRPr="00B27245">
        <w:rPr>
          <w:rFonts w:ascii="Times New Roman" w:hAnsi="Times New Roman" w:cs="Times New Roman"/>
          <w:sz w:val="24"/>
          <w:szCs w:val="24"/>
          <w:lang w:val="sr-Cyrl-CS"/>
        </w:rPr>
        <w:t xml:space="preserve"> п.п</w:t>
      </w:r>
      <w:r w:rsidR="00216660" w:rsidRPr="00B27245">
        <w:rPr>
          <w:rFonts w:ascii="Times New Roman" w:hAnsi="Times New Roman" w:cs="Times New Roman"/>
          <w:sz w:val="24"/>
          <w:szCs w:val="24"/>
          <w:lang w:val="sr-Cyrl-CS"/>
        </w:rPr>
        <w:t xml:space="preserve">, на </w:t>
      </w:r>
      <w:r w:rsidR="00516E12" w:rsidRPr="00B27245">
        <w:rPr>
          <w:rFonts w:ascii="Times New Roman" w:hAnsi="Times New Roman" w:cs="Times New Roman"/>
          <w:sz w:val="24"/>
          <w:szCs w:val="24"/>
          <w:lang w:val="sr-Cyrl-CS"/>
        </w:rPr>
        <w:t>13</w:t>
      </w:r>
      <w:r w:rsidR="00216660" w:rsidRPr="00B27245">
        <w:rPr>
          <w:rFonts w:ascii="Times New Roman" w:hAnsi="Times New Roman" w:cs="Times New Roman"/>
          <w:sz w:val="24"/>
          <w:szCs w:val="24"/>
          <w:lang w:val="sr-Cyrl-CS"/>
        </w:rPr>
        <w:t>,</w:t>
      </w:r>
      <w:r w:rsidR="00516E12" w:rsidRPr="00B27245">
        <w:rPr>
          <w:rFonts w:ascii="Times New Roman" w:hAnsi="Times New Roman" w:cs="Times New Roman"/>
          <w:sz w:val="24"/>
          <w:szCs w:val="24"/>
          <w:lang w:val="sr-Cyrl-CS"/>
        </w:rPr>
        <w:t>9</w:t>
      </w:r>
      <w:r w:rsidR="00216660" w:rsidRPr="00B27245">
        <w:rPr>
          <w:rFonts w:ascii="Times New Roman" w:hAnsi="Times New Roman" w:cs="Times New Roman"/>
          <w:sz w:val="24"/>
          <w:szCs w:val="24"/>
          <w:lang w:val="sr-Cyrl-CS"/>
        </w:rPr>
        <w:t>%.</w:t>
      </w:r>
      <w:r w:rsidR="00516E12" w:rsidRPr="00B27245">
        <w:rPr>
          <w:rStyle w:val="FootnoteReference"/>
          <w:rFonts w:ascii="Times New Roman" w:hAnsi="Times New Roman" w:cs="Times New Roman"/>
          <w:sz w:val="24"/>
          <w:szCs w:val="24"/>
          <w:lang w:val="sr-Cyrl-CS"/>
        </w:rPr>
        <w:footnoteReference w:id="5"/>
      </w:r>
      <w:r w:rsidR="00216660" w:rsidRPr="00B27245">
        <w:rPr>
          <w:rFonts w:ascii="Times New Roman" w:hAnsi="Times New Roman" w:cs="Times New Roman"/>
          <w:sz w:val="24"/>
          <w:szCs w:val="24"/>
          <w:lang w:val="sr-Cyrl-CS"/>
        </w:rPr>
        <w:t xml:space="preserve"> </w:t>
      </w:r>
    </w:p>
    <w:p w14:paraId="334D296C" w14:textId="77777777" w:rsidR="00ED66F8" w:rsidRPr="00B27245" w:rsidRDefault="00ED66F8" w:rsidP="00ED66F8">
      <w:pPr>
        <w:pStyle w:val="ListParagraph"/>
        <w:spacing w:after="5" w:line="256" w:lineRule="auto"/>
        <w:ind w:left="1070" w:right="118"/>
        <w:jc w:val="both"/>
        <w:rPr>
          <w:rFonts w:ascii="Times New Roman" w:hAnsi="Times New Roman" w:cs="Times New Roman"/>
          <w:sz w:val="24"/>
          <w:szCs w:val="24"/>
          <w:lang w:val="sr-Cyrl-CS"/>
        </w:rPr>
      </w:pPr>
    </w:p>
    <w:p w14:paraId="323AEA1A" w14:textId="77777777" w:rsidR="0059249F" w:rsidRPr="00B27245" w:rsidRDefault="005A17DC" w:rsidP="00EA5DF1">
      <w:pPr>
        <w:spacing w:after="0"/>
        <w:ind w:firstLine="71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Важан показатељ успешности </w:t>
      </w:r>
      <w:r w:rsidR="00A12D44" w:rsidRPr="00B27245">
        <w:rPr>
          <w:rFonts w:ascii="Times New Roman" w:hAnsi="Times New Roman" w:cs="Times New Roman"/>
          <w:sz w:val="24"/>
          <w:szCs w:val="24"/>
          <w:lang w:val="sr-Cyrl-CS"/>
        </w:rPr>
        <w:t>Стратегије, у</w:t>
      </w:r>
      <w:r w:rsidRPr="00B27245">
        <w:rPr>
          <w:rFonts w:ascii="Times New Roman" w:hAnsi="Times New Roman" w:cs="Times New Roman"/>
          <w:sz w:val="24"/>
          <w:szCs w:val="24"/>
          <w:lang w:val="sr-Cyrl-CS"/>
        </w:rPr>
        <w:t xml:space="preserve"> сегменту развоја тржишта проблематичних кредита у Србији, представља и укупан износ продатих потраживања, билансних и ванбилансних, лицима ван, као и унутар банкарског сектора, који је у посматраном трогодишњем периоду износио 194,3 млрд динара. Од овог износа, 81% потраживања продато је лицима ван банкарског сектора (156,6 млрд динара). </w:t>
      </w:r>
    </w:p>
    <w:p w14:paraId="1933C76E" w14:textId="79214DAD" w:rsidR="00216660" w:rsidRPr="00B27245" w:rsidRDefault="0040153E" w:rsidP="00EA5DF1">
      <w:pPr>
        <w:spacing w:after="0"/>
        <w:ind w:firstLine="71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Према и</w:t>
      </w:r>
      <w:r w:rsidR="00216660" w:rsidRPr="00B27245">
        <w:rPr>
          <w:rFonts w:ascii="Times New Roman" w:hAnsi="Times New Roman" w:cs="Times New Roman"/>
          <w:sz w:val="24"/>
          <w:szCs w:val="24"/>
          <w:lang w:val="sr-Cyrl-CS"/>
        </w:rPr>
        <w:t>звештају НБС, и поред релативно високог нивоа проблематичних кредита, стабилност финансијског система Србије није била ни у једном тренутку угрожена, јер су резервисања за билансну изложеност премашивала износ бруто проблематичних кредита, а показатељ адекватности капитала увек је био знатно изнад регулаторног минимума. Показатељ адекватности капитала од 2</w:t>
      </w:r>
      <w:r w:rsidR="00B86DDC" w:rsidRPr="00B27245">
        <w:rPr>
          <w:rFonts w:ascii="Times New Roman" w:hAnsi="Times New Roman" w:cs="Times New Roman"/>
          <w:sz w:val="24"/>
          <w:szCs w:val="24"/>
          <w:lang w:val="sr-Cyrl-CS"/>
        </w:rPr>
        <w:t>2</w:t>
      </w:r>
      <w:r w:rsidR="00216660" w:rsidRPr="00B27245">
        <w:rPr>
          <w:rFonts w:ascii="Times New Roman" w:hAnsi="Times New Roman" w:cs="Times New Roman"/>
          <w:sz w:val="24"/>
          <w:szCs w:val="24"/>
          <w:lang w:val="sr-Cyrl-CS"/>
        </w:rPr>
        <w:t xml:space="preserve">,8% на нивоу банкарског сектора у </w:t>
      </w:r>
      <w:r w:rsidR="00FE77D2" w:rsidRPr="00B27245">
        <w:rPr>
          <w:rFonts w:ascii="Times New Roman" w:hAnsi="Times New Roman" w:cs="Times New Roman"/>
          <w:sz w:val="24"/>
          <w:szCs w:val="24"/>
          <w:lang w:val="sr-Cyrl-CS"/>
        </w:rPr>
        <w:t xml:space="preserve">септембру </w:t>
      </w:r>
      <w:r w:rsidR="00216660" w:rsidRPr="00B27245">
        <w:rPr>
          <w:rFonts w:ascii="Times New Roman" w:hAnsi="Times New Roman" w:cs="Times New Roman"/>
          <w:sz w:val="24"/>
          <w:szCs w:val="24"/>
          <w:lang w:val="sr-Cyrl-CS"/>
        </w:rPr>
        <w:t>201</w:t>
      </w:r>
      <w:r w:rsidR="00FE77D2" w:rsidRPr="00B27245">
        <w:rPr>
          <w:rFonts w:ascii="Times New Roman" w:hAnsi="Times New Roman" w:cs="Times New Roman"/>
          <w:sz w:val="24"/>
          <w:szCs w:val="24"/>
          <w:lang w:val="sr-Cyrl-CS"/>
        </w:rPr>
        <w:t>8</w:t>
      </w:r>
      <w:r w:rsidR="00216660" w:rsidRPr="00B27245">
        <w:rPr>
          <w:rFonts w:ascii="Times New Roman" w:hAnsi="Times New Roman" w:cs="Times New Roman"/>
          <w:sz w:val="24"/>
          <w:szCs w:val="24"/>
          <w:lang w:val="sr-Cyrl-CS"/>
        </w:rPr>
        <w:t xml:space="preserve">. године указује на континуирану високу капитализованост банкарског сектора. Исправка вредности укупних кредита </w:t>
      </w:r>
      <w:r w:rsidR="000F0CB2" w:rsidRPr="00B27245">
        <w:rPr>
          <w:rFonts w:ascii="Times New Roman" w:hAnsi="Times New Roman" w:cs="Times New Roman"/>
          <w:sz w:val="24"/>
          <w:szCs w:val="24"/>
          <w:lang w:val="sr-Cyrl-CS"/>
        </w:rPr>
        <w:t>у септембру</w:t>
      </w:r>
      <w:r w:rsidR="00570512" w:rsidRPr="00B27245">
        <w:rPr>
          <w:rFonts w:ascii="Times New Roman" w:hAnsi="Times New Roman" w:cs="Times New Roman"/>
          <w:sz w:val="24"/>
          <w:szCs w:val="24"/>
          <w:lang w:val="sr-Cyrl-CS"/>
        </w:rPr>
        <w:t xml:space="preserve"> 2018. године</w:t>
      </w:r>
      <w:r w:rsidR="000F0CB2" w:rsidRPr="00B27245">
        <w:rPr>
          <w:rFonts w:ascii="Times New Roman" w:hAnsi="Times New Roman" w:cs="Times New Roman"/>
          <w:sz w:val="24"/>
          <w:szCs w:val="24"/>
          <w:lang w:val="sr-Cyrl-CS"/>
        </w:rPr>
        <w:t xml:space="preserve"> је </w:t>
      </w:r>
      <w:r w:rsidR="00FE77D2" w:rsidRPr="00B27245">
        <w:rPr>
          <w:rFonts w:ascii="Times New Roman" w:hAnsi="Times New Roman" w:cs="Times New Roman"/>
          <w:sz w:val="24"/>
          <w:szCs w:val="24"/>
          <w:lang w:val="sr-Cyrl-CS"/>
        </w:rPr>
        <w:t>износ</w:t>
      </w:r>
      <w:r w:rsidR="000F0CB2" w:rsidRPr="00B27245">
        <w:rPr>
          <w:rFonts w:ascii="Times New Roman" w:hAnsi="Times New Roman" w:cs="Times New Roman"/>
          <w:sz w:val="24"/>
          <w:szCs w:val="24"/>
          <w:lang w:val="sr-Cyrl-CS"/>
        </w:rPr>
        <w:t>ила</w:t>
      </w:r>
      <w:r w:rsidR="00216660" w:rsidRPr="00B27245">
        <w:rPr>
          <w:rFonts w:ascii="Times New Roman" w:hAnsi="Times New Roman" w:cs="Times New Roman"/>
          <w:sz w:val="24"/>
          <w:szCs w:val="24"/>
          <w:lang w:val="sr-Cyrl-CS"/>
        </w:rPr>
        <w:t xml:space="preserve"> </w:t>
      </w:r>
      <w:r w:rsidR="000F0CB2" w:rsidRPr="00B27245">
        <w:rPr>
          <w:rFonts w:ascii="Times New Roman" w:hAnsi="Times New Roman" w:cs="Times New Roman"/>
          <w:sz w:val="24"/>
          <w:szCs w:val="24"/>
          <w:lang w:val="sr-Cyrl-CS"/>
        </w:rPr>
        <w:t>78,2</w:t>
      </w:r>
      <w:r w:rsidR="00216660" w:rsidRPr="00B27245">
        <w:rPr>
          <w:rFonts w:ascii="Times New Roman" w:hAnsi="Times New Roman" w:cs="Times New Roman"/>
          <w:sz w:val="24"/>
          <w:szCs w:val="24"/>
          <w:lang w:val="sr-Cyrl-CS"/>
        </w:rPr>
        <w:t xml:space="preserve">%  проблематичних кредита (што је за </w:t>
      </w:r>
      <w:r w:rsidR="000F0CB2" w:rsidRPr="00B27245">
        <w:rPr>
          <w:rFonts w:ascii="Times New Roman" w:hAnsi="Times New Roman" w:cs="Times New Roman"/>
          <w:sz w:val="24"/>
          <w:szCs w:val="24"/>
          <w:lang w:val="sr-Cyrl-CS"/>
        </w:rPr>
        <w:t>9,1</w:t>
      </w:r>
      <w:r w:rsidR="00216660" w:rsidRPr="00B27245">
        <w:rPr>
          <w:rFonts w:ascii="Times New Roman" w:hAnsi="Times New Roman" w:cs="Times New Roman"/>
          <w:sz w:val="24"/>
          <w:szCs w:val="24"/>
          <w:lang w:val="sr-Cyrl-CS"/>
        </w:rPr>
        <w:t xml:space="preserve"> п.п. више него пре годину дана), а регулаторна резервисања за билансну изложеност и даље у потпуности покривају износ бруто проблематичних кредита и у </w:t>
      </w:r>
      <w:r w:rsidR="00FE77D2" w:rsidRPr="00B27245">
        <w:rPr>
          <w:rFonts w:ascii="Times New Roman" w:hAnsi="Times New Roman" w:cs="Times New Roman"/>
          <w:sz w:val="24"/>
          <w:szCs w:val="24"/>
          <w:lang w:val="sr-Cyrl-CS"/>
        </w:rPr>
        <w:t>септ</w:t>
      </w:r>
      <w:r w:rsidR="00216660" w:rsidRPr="00B27245">
        <w:rPr>
          <w:rFonts w:ascii="Times New Roman" w:hAnsi="Times New Roman" w:cs="Times New Roman"/>
          <w:sz w:val="24"/>
          <w:szCs w:val="24"/>
          <w:lang w:val="sr-Cyrl-CS"/>
        </w:rPr>
        <w:t xml:space="preserve">ембру </w:t>
      </w:r>
      <w:r w:rsidR="00FE77D2" w:rsidRPr="00B27245">
        <w:rPr>
          <w:rFonts w:ascii="Times New Roman" w:hAnsi="Times New Roman" w:cs="Times New Roman"/>
          <w:sz w:val="24"/>
          <w:szCs w:val="24"/>
          <w:lang w:val="sr-Cyrl-CS"/>
        </w:rPr>
        <w:t xml:space="preserve">2018. године </w:t>
      </w:r>
      <w:r w:rsidR="00216660" w:rsidRPr="00B27245">
        <w:rPr>
          <w:rFonts w:ascii="Times New Roman" w:hAnsi="Times New Roman" w:cs="Times New Roman"/>
          <w:sz w:val="24"/>
          <w:szCs w:val="24"/>
          <w:lang w:val="sr-Cyrl-CS"/>
        </w:rPr>
        <w:t xml:space="preserve">су износила </w:t>
      </w:r>
      <w:r w:rsidR="000F0CB2" w:rsidRPr="00B27245">
        <w:rPr>
          <w:rFonts w:ascii="Times New Roman" w:hAnsi="Times New Roman" w:cs="Times New Roman"/>
          <w:sz w:val="24"/>
          <w:szCs w:val="24"/>
          <w:lang w:val="sr-Cyrl-CS"/>
        </w:rPr>
        <w:t>153,3%</w:t>
      </w:r>
      <w:r w:rsidR="00A12D44" w:rsidRPr="00B27245">
        <w:rPr>
          <w:rFonts w:ascii="Times New Roman" w:hAnsi="Times New Roman" w:cs="Times New Roman"/>
          <w:sz w:val="24"/>
          <w:szCs w:val="24"/>
          <w:lang w:val="sr-Cyrl-CS"/>
        </w:rPr>
        <w:t>.</w:t>
      </w:r>
    </w:p>
    <w:p w14:paraId="4844F54E" w14:textId="77777777" w:rsidR="00EA5DF1" w:rsidRPr="00B27245" w:rsidRDefault="00EA5DF1" w:rsidP="00EA5DF1">
      <w:pPr>
        <w:spacing w:after="0"/>
        <w:ind w:firstLine="710"/>
        <w:jc w:val="both"/>
        <w:rPr>
          <w:rFonts w:ascii="Times New Roman" w:hAnsi="Times New Roman" w:cs="Times New Roman"/>
          <w:sz w:val="24"/>
          <w:szCs w:val="24"/>
          <w:lang w:val="sr-Cyrl-CS"/>
        </w:rPr>
      </w:pPr>
    </w:p>
    <w:p w14:paraId="72769495" w14:textId="2534F994" w:rsidR="00B50FBA" w:rsidRPr="00B27245" w:rsidRDefault="00C95365" w:rsidP="004375AC">
      <w:pPr>
        <w:pStyle w:val="ListParagraph"/>
        <w:numPr>
          <w:ilvl w:val="1"/>
          <w:numId w:val="1"/>
        </w:numPr>
        <w:jc w:val="center"/>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Спроведене активности </w:t>
      </w:r>
      <w:r w:rsidR="0040153E" w:rsidRPr="00B27245">
        <w:rPr>
          <w:rFonts w:ascii="Times New Roman" w:hAnsi="Times New Roman" w:cs="Times New Roman"/>
          <w:sz w:val="24"/>
          <w:szCs w:val="24"/>
          <w:lang w:val="sr-Cyrl-CS"/>
        </w:rPr>
        <w:t>током примене Стратегије</w:t>
      </w:r>
    </w:p>
    <w:p w14:paraId="44E83C95" w14:textId="2562EAAB" w:rsidR="00EF4241" w:rsidRPr="00B27245" w:rsidRDefault="0040153E" w:rsidP="001D5715">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У</w:t>
      </w:r>
      <w:r w:rsidR="00EF4241" w:rsidRPr="00B27245">
        <w:rPr>
          <w:rFonts w:ascii="Times New Roman" w:hAnsi="Times New Roman" w:cs="Times New Roman"/>
          <w:sz w:val="24"/>
          <w:szCs w:val="24"/>
          <w:lang w:val="sr-Cyrl-CS"/>
        </w:rPr>
        <w:t xml:space="preserve"> трогодишњем периоду примене Стратегије, усвојен је и измењен већи број законских и подзаконских аката, унапређен је институционални капацитет и спроведене су бројне мере за лакши отпис и пренос ненаплативих потраживања. Највећи део активности из Акцио</w:t>
      </w:r>
      <w:r w:rsidRPr="00B27245">
        <w:rPr>
          <w:rFonts w:ascii="Times New Roman" w:hAnsi="Times New Roman" w:cs="Times New Roman"/>
          <w:sz w:val="24"/>
          <w:szCs w:val="24"/>
          <w:lang w:val="sr-Cyrl-CS"/>
        </w:rPr>
        <w:t>ног плана Владе</w:t>
      </w:r>
      <w:r w:rsidR="001F1D71" w:rsidRPr="00B27245">
        <w:rPr>
          <w:rFonts w:ascii="Times New Roman" w:hAnsi="Times New Roman" w:cs="Times New Roman"/>
          <w:sz w:val="24"/>
          <w:szCs w:val="24"/>
          <w:lang w:val="sr-Cyrl-CS"/>
        </w:rPr>
        <w:t xml:space="preserve"> за спровођење Стратегије</w:t>
      </w:r>
      <w:r w:rsidR="00EF4241" w:rsidRPr="00B27245">
        <w:rPr>
          <w:rFonts w:ascii="Times New Roman" w:hAnsi="Times New Roman" w:cs="Times New Roman"/>
          <w:sz w:val="24"/>
          <w:szCs w:val="24"/>
          <w:lang w:val="sr-Cyrl-CS"/>
        </w:rPr>
        <w:t xml:space="preserve"> је реализован у предвиђеном року, уз неколико активности чија реализација је у току. НБС је током 2016. године у потпуности реализовала све активности и циљеве предвиђене Акционим планом </w:t>
      </w:r>
      <w:r w:rsidR="001F1D71" w:rsidRPr="00B27245">
        <w:rPr>
          <w:rFonts w:ascii="Times New Roman" w:hAnsi="Times New Roman" w:cs="Times New Roman"/>
          <w:sz w:val="24"/>
          <w:szCs w:val="24"/>
          <w:lang w:val="sr-Cyrl-CS"/>
        </w:rPr>
        <w:t>НБС-а за спровођење Стратегије</w:t>
      </w:r>
      <w:r w:rsidR="00EF4241" w:rsidRPr="00B27245">
        <w:rPr>
          <w:rFonts w:ascii="Times New Roman" w:hAnsi="Times New Roman" w:cs="Times New Roman"/>
          <w:sz w:val="24"/>
          <w:szCs w:val="24"/>
          <w:lang w:val="sr-Cyrl-CS"/>
        </w:rPr>
        <w:t xml:space="preserve">. </w:t>
      </w:r>
    </w:p>
    <w:p w14:paraId="0CCDBABB" w14:textId="4C749555" w:rsidR="00E45664" w:rsidRPr="00B27245" w:rsidRDefault="00E45664" w:rsidP="001D5715">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Најважније спроведене активности у оквиру Акцио</w:t>
      </w:r>
      <w:r w:rsidR="0040153E" w:rsidRPr="00B27245">
        <w:rPr>
          <w:rFonts w:ascii="Times New Roman" w:hAnsi="Times New Roman" w:cs="Times New Roman"/>
          <w:sz w:val="24"/>
          <w:szCs w:val="24"/>
          <w:lang w:val="sr-Cyrl-CS"/>
        </w:rPr>
        <w:t>ног плана Владе</w:t>
      </w:r>
      <w:r w:rsidR="001D5715" w:rsidRPr="00B27245">
        <w:rPr>
          <w:rFonts w:ascii="Times New Roman" w:hAnsi="Times New Roman" w:cs="Times New Roman"/>
          <w:sz w:val="24"/>
          <w:szCs w:val="24"/>
          <w:lang w:val="sr-Cyrl-CS"/>
        </w:rPr>
        <w:t xml:space="preserve"> за спровођење </w:t>
      </w:r>
      <w:r w:rsidRPr="00B27245">
        <w:rPr>
          <w:rFonts w:ascii="Times New Roman" w:hAnsi="Times New Roman" w:cs="Times New Roman"/>
          <w:sz w:val="24"/>
          <w:szCs w:val="24"/>
          <w:lang w:val="sr-Cyrl-CS"/>
        </w:rPr>
        <w:t xml:space="preserve"> Стратегије, представљају:</w:t>
      </w:r>
      <w:r w:rsidR="001D5715" w:rsidRPr="00B27245">
        <w:rPr>
          <w:rFonts w:ascii="Times New Roman" w:hAnsi="Times New Roman" w:cs="Times New Roman"/>
          <w:sz w:val="24"/>
          <w:szCs w:val="24"/>
          <w:lang w:val="sr-Cyrl-CS"/>
        </w:rPr>
        <w:t xml:space="preserve"> </w:t>
      </w:r>
    </w:p>
    <w:p w14:paraId="4B81566C" w14:textId="2897F51F" w:rsidR="00E45664" w:rsidRPr="00B27245" w:rsidRDefault="001D5715" w:rsidP="001D5715">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 </w:t>
      </w:r>
      <w:r w:rsidR="007137FD" w:rsidRPr="00B27245">
        <w:rPr>
          <w:rFonts w:ascii="Times New Roman" w:hAnsi="Times New Roman" w:cs="Times New Roman"/>
          <w:sz w:val="24"/>
          <w:szCs w:val="24"/>
          <w:lang w:val="sr-Cyrl-CS"/>
        </w:rPr>
        <w:t>У</w:t>
      </w:r>
      <w:r w:rsidR="00E45664" w:rsidRPr="00B27245">
        <w:rPr>
          <w:rFonts w:ascii="Times New Roman" w:hAnsi="Times New Roman" w:cs="Times New Roman"/>
          <w:sz w:val="24"/>
          <w:szCs w:val="24"/>
          <w:lang w:val="sr-Cyrl-CS"/>
        </w:rPr>
        <w:t>свајање Закона о проценитељима вредности непокретности и свих подзаконских аката, усвајање Националних стандарда и формирање Стручног одбора, као регулаторног тела из ове области и издавање 132 лиценце за проценитеље вредности непокретности</w:t>
      </w:r>
      <w:r w:rsidRPr="00B27245">
        <w:rPr>
          <w:rFonts w:ascii="Times New Roman" w:hAnsi="Times New Roman" w:cs="Times New Roman"/>
          <w:sz w:val="24"/>
          <w:szCs w:val="24"/>
          <w:lang w:val="sr-Cyrl-CS"/>
        </w:rPr>
        <w:t xml:space="preserve">. </w:t>
      </w:r>
      <w:r w:rsidR="00E45664" w:rsidRPr="00B27245">
        <w:rPr>
          <w:rFonts w:ascii="Times New Roman" w:hAnsi="Times New Roman" w:cs="Times New Roman"/>
          <w:sz w:val="24"/>
          <w:szCs w:val="24"/>
          <w:lang w:val="sr-Cyrl-CS"/>
        </w:rPr>
        <w:t>Област процене вредности непокретности је први пут регулаторно и институционално уређена, што би требало да до</w:t>
      </w:r>
      <w:r w:rsidR="00EF4241" w:rsidRPr="00B27245">
        <w:rPr>
          <w:rFonts w:ascii="Times New Roman" w:hAnsi="Times New Roman" w:cs="Times New Roman"/>
          <w:sz w:val="24"/>
          <w:szCs w:val="24"/>
          <w:lang w:val="sr-Cyrl-CS"/>
        </w:rPr>
        <w:t>при</w:t>
      </w:r>
      <w:r w:rsidR="00E45664" w:rsidRPr="00B27245">
        <w:rPr>
          <w:rFonts w:ascii="Times New Roman" w:hAnsi="Times New Roman" w:cs="Times New Roman"/>
          <w:sz w:val="24"/>
          <w:szCs w:val="24"/>
          <w:lang w:val="sr-Cyrl-CS"/>
        </w:rPr>
        <w:t>несе већој транспарент</w:t>
      </w:r>
      <w:r w:rsidR="00F12E73" w:rsidRPr="00B27245">
        <w:rPr>
          <w:rFonts w:ascii="Times New Roman" w:hAnsi="Times New Roman" w:cs="Times New Roman"/>
          <w:sz w:val="24"/>
          <w:szCs w:val="24"/>
          <w:lang w:val="sr-Cyrl-CS"/>
        </w:rPr>
        <w:t>ности и мањем системском ризику,</w:t>
      </w:r>
    </w:p>
    <w:p w14:paraId="3BDD59CE" w14:textId="062828E7" w:rsidR="00E45664" w:rsidRPr="00B27245" w:rsidRDefault="001D5715" w:rsidP="001D5715">
      <w:pPr>
        <w:spacing w:after="0" w:line="240" w:lineRule="auto"/>
        <w:ind w:firstLine="720"/>
        <w:jc w:val="both"/>
        <w:rPr>
          <w:rFonts w:ascii="Times New Roman" w:hAnsi="Times New Roman"/>
          <w:lang w:val="sr-Cyrl-CS"/>
        </w:rPr>
      </w:pPr>
      <w:r w:rsidRPr="00B27245">
        <w:rPr>
          <w:rFonts w:ascii="Times New Roman" w:hAnsi="Times New Roman" w:cs="Times New Roman"/>
          <w:sz w:val="24"/>
          <w:szCs w:val="24"/>
          <w:lang w:val="sr-Cyrl-CS"/>
        </w:rPr>
        <w:t xml:space="preserve">2) </w:t>
      </w:r>
      <w:r w:rsidR="007137FD" w:rsidRPr="00B27245">
        <w:rPr>
          <w:rFonts w:ascii="Times New Roman" w:hAnsi="Times New Roman" w:cs="Times New Roman"/>
          <w:sz w:val="24"/>
          <w:szCs w:val="24"/>
          <w:lang w:val="sr-Cyrl-CS"/>
        </w:rPr>
        <w:t>У</w:t>
      </w:r>
      <w:r w:rsidR="00E45664" w:rsidRPr="00B27245">
        <w:rPr>
          <w:rFonts w:ascii="Times New Roman" w:hAnsi="Times New Roman" w:cs="Times New Roman"/>
          <w:sz w:val="24"/>
          <w:szCs w:val="24"/>
          <w:lang w:val="sr-Cyrl-CS"/>
        </w:rPr>
        <w:t xml:space="preserve"> децембру 2015. </w:t>
      </w:r>
      <w:r w:rsidR="008C5EA1" w:rsidRPr="00B27245">
        <w:rPr>
          <w:rFonts w:ascii="Times New Roman" w:hAnsi="Times New Roman" w:cs="Times New Roman"/>
          <w:sz w:val="24"/>
          <w:szCs w:val="24"/>
          <w:lang w:val="sr-Cyrl-CS"/>
        </w:rPr>
        <w:t>г</w:t>
      </w:r>
      <w:r w:rsidR="00E45664" w:rsidRPr="00B27245">
        <w:rPr>
          <w:rFonts w:ascii="Times New Roman" w:hAnsi="Times New Roman" w:cs="Times New Roman"/>
          <w:sz w:val="24"/>
          <w:szCs w:val="24"/>
          <w:lang w:val="sr-Cyrl-CS"/>
        </w:rPr>
        <w:t>одине</w:t>
      </w:r>
      <w:r w:rsidR="008C5EA1" w:rsidRPr="00B27245">
        <w:rPr>
          <w:rFonts w:ascii="Times New Roman" w:hAnsi="Times New Roman" w:cs="Times New Roman"/>
          <w:sz w:val="24"/>
          <w:szCs w:val="24"/>
          <w:lang w:val="sr-Cyrl-CS"/>
        </w:rPr>
        <w:t>, као и крајем 2017. године,</w:t>
      </w:r>
      <w:r w:rsidR="00E45664" w:rsidRPr="00B27245">
        <w:rPr>
          <w:rFonts w:ascii="Times New Roman" w:hAnsi="Times New Roman" w:cs="Times New Roman"/>
          <w:sz w:val="24"/>
          <w:szCs w:val="24"/>
          <w:lang w:val="sr-Cyrl-CS"/>
        </w:rPr>
        <w:t xml:space="preserve"> усвојене су измене и допуне Закона о порезу на добит правних лица, у делу који регулише порески третман отписа потраживања, као и измене и допуне Закона о порезу на доходак грађана</w:t>
      </w:r>
      <w:r w:rsidR="008C5EA1" w:rsidRPr="00B27245">
        <w:rPr>
          <w:rFonts w:ascii="Times New Roman" w:hAnsi="Times New Roman" w:cs="Times New Roman"/>
          <w:sz w:val="24"/>
          <w:szCs w:val="24"/>
          <w:lang w:val="sr-Cyrl-CS"/>
        </w:rPr>
        <w:t xml:space="preserve">. </w:t>
      </w:r>
      <w:r w:rsidR="00E45664" w:rsidRPr="00B27245">
        <w:rPr>
          <w:rFonts w:ascii="Times New Roman" w:hAnsi="Times New Roman" w:cs="Times New Roman"/>
          <w:sz w:val="24"/>
          <w:szCs w:val="24"/>
          <w:lang w:val="sr-Cyrl-CS"/>
        </w:rPr>
        <w:t>Изменама ова два закона омогућен је повољнији порески третман банкама у случају отписа потраживања</w:t>
      </w:r>
      <w:r w:rsidR="00F12E73" w:rsidRPr="00B27245">
        <w:rPr>
          <w:rFonts w:ascii="Times New Roman" w:hAnsi="Times New Roman" w:cs="Times New Roman"/>
          <w:sz w:val="24"/>
          <w:szCs w:val="24"/>
          <w:lang w:val="sr-Cyrl-CS"/>
        </w:rPr>
        <w:t>,</w:t>
      </w:r>
    </w:p>
    <w:p w14:paraId="35CB153E" w14:textId="19700FD7"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3) </w:t>
      </w:r>
      <w:r w:rsidR="007137FD" w:rsidRPr="00B27245">
        <w:rPr>
          <w:rFonts w:ascii="Times New Roman" w:hAnsi="Times New Roman" w:cs="Times New Roman"/>
          <w:sz w:val="24"/>
          <w:szCs w:val="24"/>
          <w:lang w:val="sr-Cyrl-CS"/>
        </w:rPr>
        <w:t>У</w:t>
      </w:r>
      <w:r w:rsidR="00E45664" w:rsidRPr="00B27245">
        <w:rPr>
          <w:rFonts w:ascii="Times New Roman" w:hAnsi="Times New Roman" w:cs="Times New Roman"/>
          <w:sz w:val="24"/>
          <w:szCs w:val="24"/>
          <w:lang w:val="sr-Cyrl-CS"/>
        </w:rPr>
        <w:t>напређење институционалног капацитета Агенције за осигурање депозита</w:t>
      </w:r>
      <w:r w:rsidRPr="00B27245">
        <w:rPr>
          <w:rFonts w:ascii="Times New Roman" w:hAnsi="Times New Roman" w:cs="Times New Roman"/>
          <w:sz w:val="24"/>
          <w:szCs w:val="24"/>
          <w:lang w:val="sr-Cyrl-CS"/>
        </w:rPr>
        <w:t xml:space="preserve"> (у даљем текст</w:t>
      </w:r>
      <w:r w:rsidR="00B27245">
        <w:rPr>
          <w:rFonts w:ascii="Times New Roman" w:hAnsi="Times New Roman" w:cs="Times New Roman"/>
          <w:sz w:val="24"/>
          <w:szCs w:val="24"/>
          <w:lang w:val="sr-Cyrl-CS"/>
        </w:rPr>
        <w:t>у</w:t>
      </w:r>
      <w:r w:rsidR="00691FE1" w:rsidRPr="00B27245">
        <w:rPr>
          <w:rFonts w:ascii="Times New Roman" w:hAnsi="Times New Roman" w:cs="Times New Roman"/>
          <w:sz w:val="24"/>
          <w:szCs w:val="24"/>
          <w:lang w:val="sr-Cyrl-CS"/>
        </w:rPr>
        <w:t>:</w:t>
      </w:r>
      <w:r w:rsidRPr="00B27245">
        <w:rPr>
          <w:rFonts w:ascii="Times New Roman" w:hAnsi="Times New Roman" w:cs="Times New Roman"/>
          <w:sz w:val="24"/>
          <w:szCs w:val="24"/>
          <w:lang w:val="sr-Cyrl-CS"/>
        </w:rPr>
        <w:t xml:space="preserve"> АОД)</w:t>
      </w:r>
      <w:r w:rsidR="00E45664" w:rsidRPr="00B27245">
        <w:rPr>
          <w:rFonts w:ascii="Times New Roman" w:hAnsi="Times New Roman" w:cs="Times New Roman"/>
          <w:sz w:val="24"/>
          <w:szCs w:val="24"/>
          <w:lang w:val="sr-Cyrl-CS"/>
        </w:rPr>
        <w:t xml:space="preserve">, како би се омогућило ефикасније решавање </w:t>
      </w:r>
      <w:r w:rsidR="00655AA7" w:rsidRPr="00B27245">
        <w:rPr>
          <w:rFonts w:ascii="Times New Roman" w:hAnsi="Times New Roman" w:cs="Times New Roman"/>
          <w:sz w:val="24"/>
          <w:szCs w:val="24"/>
          <w:lang w:val="sr-Cyrl-CS"/>
        </w:rPr>
        <w:t>портфеља</w:t>
      </w:r>
      <w:r w:rsidR="00E45664" w:rsidRPr="00B27245">
        <w:rPr>
          <w:rFonts w:ascii="Times New Roman" w:hAnsi="Times New Roman" w:cs="Times New Roman"/>
          <w:sz w:val="24"/>
          <w:szCs w:val="24"/>
          <w:lang w:val="sr-Cyrl-CS"/>
        </w:rPr>
        <w:t xml:space="preserve"> проблематичних кредит</w:t>
      </w:r>
      <w:r w:rsidR="008C5EA1" w:rsidRPr="00B27245">
        <w:rPr>
          <w:rFonts w:ascii="Times New Roman" w:hAnsi="Times New Roman" w:cs="Times New Roman"/>
          <w:sz w:val="24"/>
          <w:szCs w:val="24"/>
          <w:lang w:val="sr-Cyrl-CS"/>
        </w:rPr>
        <w:t xml:space="preserve">а којим ова институција управља. </w:t>
      </w:r>
      <w:r w:rsidR="00E45664" w:rsidRPr="00B27245">
        <w:rPr>
          <w:rFonts w:ascii="Times New Roman" w:hAnsi="Times New Roman" w:cs="Times New Roman"/>
          <w:sz w:val="24"/>
          <w:szCs w:val="24"/>
          <w:lang w:val="sr-Cyrl-CS"/>
        </w:rPr>
        <w:t>Програм изградње институционалног капацитета обухват</w:t>
      </w:r>
      <w:r w:rsidR="004249AE" w:rsidRPr="00B27245">
        <w:rPr>
          <w:rFonts w:ascii="Times New Roman" w:hAnsi="Times New Roman" w:cs="Times New Roman"/>
          <w:sz w:val="24"/>
          <w:szCs w:val="24"/>
          <w:lang w:val="sr-Cyrl-CS"/>
        </w:rPr>
        <w:t>ио је</w:t>
      </w:r>
      <w:r w:rsidR="00E45664" w:rsidRPr="00B27245">
        <w:rPr>
          <w:rFonts w:ascii="Times New Roman" w:hAnsi="Times New Roman" w:cs="Times New Roman"/>
          <w:sz w:val="24"/>
          <w:szCs w:val="24"/>
          <w:lang w:val="sr-Cyrl-CS"/>
        </w:rPr>
        <w:t xml:space="preserve"> доношење Стратешког плана за управљање средствима финансијских институција у стечају и имовином</w:t>
      </w:r>
      <w:r w:rsidR="00691FE1" w:rsidRPr="00B27245">
        <w:rPr>
          <w:rFonts w:ascii="Times New Roman" w:hAnsi="Times New Roman" w:cs="Times New Roman"/>
          <w:sz w:val="24"/>
          <w:szCs w:val="24"/>
          <w:lang w:val="sr-Cyrl-CS"/>
        </w:rPr>
        <w:t xml:space="preserve"> и потраживањима којима АОД</w:t>
      </w:r>
      <w:r w:rsidR="00E45664" w:rsidRPr="00B27245">
        <w:rPr>
          <w:rFonts w:ascii="Times New Roman" w:hAnsi="Times New Roman" w:cs="Times New Roman"/>
          <w:sz w:val="24"/>
          <w:szCs w:val="24"/>
          <w:lang w:val="sr-Cyrl-CS"/>
        </w:rPr>
        <w:t xml:space="preserve"> управља у име и за рачун Републике Србије, као и годишњег оперативног плана. Поред тога, донете су интерне процедуре и унапређени су интерни капацитети за процену вредности потраживања и намирења, формиран је тим који се на свеобухватан </w:t>
      </w:r>
      <w:r w:rsidR="00E45664" w:rsidRPr="00B27245">
        <w:rPr>
          <w:rFonts w:ascii="Times New Roman" w:hAnsi="Times New Roman" w:cs="Times New Roman"/>
          <w:sz w:val="24"/>
          <w:szCs w:val="24"/>
          <w:lang w:val="sr-Cyrl-CS"/>
        </w:rPr>
        <w:lastRenderedPageBreak/>
        <w:t>начин бави активностима везаним за решавање проблематичних кредита и урађен је план обуке и</w:t>
      </w:r>
      <w:r w:rsidR="00F12E73" w:rsidRPr="00B27245">
        <w:rPr>
          <w:rFonts w:ascii="Times New Roman" w:hAnsi="Times New Roman" w:cs="Times New Roman"/>
          <w:sz w:val="24"/>
          <w:szCs w:val="24"/>
          <w:lang w:val="sr-Cyrl-CS"/>
        </w:rPr>
        <w:t xml:space="preserve"> праћења учинка рада запослених,</w:t>
      </w:r>
    </w:p>
    <w:p w14:paraId="4AFACA75" w14:textId="712EBF72"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4) </w:t>
      </w:r>
      <w:r w:rsidR="001F1D71" w:rsidRPr="00B27245">
        <w:rPr>
          <w:rFonts w:ascii="Times New Roman" w:hAnsi="Times New Roman" w:cs="Times New Roman"/>
          <w:sz w:val="24"/>
          <w:szCs w:val="24"/>
          <w:lang w:val="sr-Cyrl-CS"/>
        </w:rPr>
        <w:t>Доношење Закона о изменама Закона о споразумном финансијском реструктурирању привредних друштава („Службени гласник РС”, број 89/15)</w:t>
      </w:r>
      <w:r w:rsidR="008C5EA1" w:rsidRPr="00B27245">
        <w:rPr>
          <w:rFonts w:ascii="Times New Roman" w:hAnsi="Times New Roman" w:cs="Times New Roman"/>
          <w:sz w:val="24"/>
          <w:szCs w:val="24"/>
          <w:lang w:val="sr-Cyrl-CS"/>
        </w:rPr>
        <w:t xml:space="preserve">. </w:t>
      </w:r>
      <w:r w:rsidR="001F1D71" w:rsidRPr="00B27245">
        <w:rPr>
          <w:rFonts w:ascii="Times New Roman" w:hAnsi="Times New Roman" w:cs="Times New Roman"/>
          <w:sz w:val="24"/>
          <w:szCs w:val="24"/>
          <w:lang w:val="sr-Cyrl-CS"/>
        </w:rPr>
        <w:t>Овим</w:t>
      </w:r>
      <w:r w:rsidR="00E45664" w:rsidRPr="00B27245">
        <w:rPr>
          <w:rFonts w:ascii="Times New Roman" w:hAnsi="Times New Roman" w:cs="Times New Roman"/>
          <w:sz w:val="24"/>
          <w:szCs w:val="24"/>
          <w:lang w:val="sr-Cyrl-CS"/>
        </w:rPr>
        <w:t xml:space="preserve"> законом је, пре свега, поједностављен правни оквир за институционално вансудско реструктурирање дугова.</w:t>
      </w:r>
      <w:r w:rsidR="001F1D71" w:rsidRPr="00B27245">
        <w:rPr>
          <w:rFonts w:ascii="Times New Roman" w:hAnsi="Times New Roman" w:cs="Times New Roman"/>
          <w:sz w:val="24"/>
          <w:szCs w:val="24"/>
          <w:lang w:val="sr-Cyrl-CS"/>
        </w:rPr>
        <w:t xml:space="preserve"> Такође, за разлику од Закона о споразумном финансијском реструктурирању привредних друштава („Службени гласник РС”, број 36/11)</w:t>
      </w:r>
      <w:r w:rsidR="00E45664" w:rsidRPr="00B27245">
        <w:rPr>
          <w:rFonts w:ascii="Times New Roman" w:hAnsi="Times New Roman" w:cs="Times New Roman"/>
          <w:sz w:val="24"/>
          <w:szCs w:val="24"/>
          <w:lang w:val="sr-Cyrl-CS"/>
        </w:rPr>
        <w:t>, кој</w:t>
      </w:r>
      <w:r w:rsidR="001F1D71" w:rsidRPr="00B27245">
        <w:rPr>
          <w:rFonts w:ascii="Times New Roman" w:hAnsi="Times New Roman" w:cs="Times New Roman"/>
          <w:sz w:val="24"/>
          <w:szCs w:val="24"/>
          <w:lang w:val="sr-Cyrl-CS"/>
        </w:rPr>
        <w:t>и је прописивао</w:t>
      </w:r>
      <w:r w:rsidR="00E45664" w:rsidRPr="00B27245">
        <w:rPr>
          <w:rFonts w:ascii="Times New Roman" w:hAnsi="Times New Roman" w:cs="Times New Roman"/>
          <w:sz w:val="24"/>
          <w:szCs w:val="24"/>
          <w:lang w:val="sr-Cyrl-CS"/>
        </w:rPr>
        <w:t xml:space="preserve"> да се финансијско реструктурирање може спроводити ако у њему учествују најмање две банке, </w:t>
      </w:r>
      <w:r w:rsidR="00691FE1" w:rsidRPr="00B27245">
        <w:rPr>
          <w:rFonts w:ascii="Times New Roman" w:hAnsi="Times New Roman" w:cs="Times New Roman"/>
          <w:sz w:val="24"/>
          <w:szCs w:val="24"/>
          <w:lang w:val="sr-Cyrl-CS"/>
        </w:rPr>
        <w:t xml:space="preserve">измена </w:t>
      </w:r>
      <w:r w:rsidR="00E45664" w:rsidRPr="00B27245">
        <w:rPr>
          <w:rFonts w:ascii="Times New Roman" w:hAnsi="Times New Roman" w:cs="Times New Roman"/>
          <w:sz w:val="24"/>
          <w:szCs w:val="24"/>
          <w:lang w:val="sr-Cyrl-CS"/>
        </w:rPr>
        <w:t>Закон сада омогућава учешће и домаћих развојних инст</w:t>
      </w:r>
      <w:r w:rsidR="00F12E73" w:rsidRPr="00B27245">
        <w:rPr>
          <w:rFonts w:ascii="Times New Roman" w:hAnsi="Times New Roman" w:cs="Times New Roman"/>
          <w:sz w:val="24"/>
          <w:szCs w:val="24"/>
          <w:lang w:val="sr-Cyrl-CS"/>
        </w:rPr>
        <w:t>итуција уместо или поред банака</w:t>
      </w:r>
      <w:r w:rsidR="00691FE1" w:rsidRPr="00B27245">
        <w:rPr>
          <w:rFonts w:ascii="Times New Roman" w:hAnsi="Times New Roman" w:cs="Times New Roman"/>
          <w:sz w:val="24"/>
          <w:szCs w:val="24"/>
          <w:lang w:val="sr-Cyrl-CS"/>
        </w:rPr>
        <w:t>. Изменом Закона</w:t>
      </w:r>
      <w:r w:rsidR="00EF4241" w:rsidRPr="00B27245">
        <w:rPr>
          <w:rFonts w:ascii="Times New Roman" w:hAnsi="Times New Roman" w:cs="Times New Roman"/>
          <w:sz w:val="24"/>
          <w:szCs w:val="24"/>
          <w:lang w:val="sr-Cyrl-CS"/>
        </w:rPr>
        <w:t xml:space="preserve"> је омогућено реструктурирање дугова како привредних друштава, тако и пред</w:t>
      </w:r>
      <w:r w:rsidR="00691FE1" w:rsidRPr="00B27245">
        <w:rPr>
          <w:rFonts w:ascii="Times New Roman" w:hAnsi="Times New Roman" w:cs="Times New Roman"/>
          <w:sz w:val="24"/>
          <w:szCs w:val="24"/>
          <w:lang w:val="sr-Cyrl-CS"/>
        </w:rPr>
        <w:t>узетника, што према претходном законском решењу</w:t>
      </w:r>
      <w:r w:rsidR="00EF4241" w:rsidRPr="00B27245">
        <w:rPr>
          <w:rFonts w:ascii="Times New Roman" w:hAnsi="Times New Roman" w:cs="Times New Roman"/>
          <w:sz w:val="24"/>
          <w:szCs w:val="24"/>
          <w:lang w:val="sr-Cyrl-CS"/>
        </w:rPr>
        <w:t xml:space="preserve"> није био случај. М</w:t>
      </w:r>
      <w:r w:rsidR="001F1D71" w:rsidRPr="00B27245">
        <w:rPr>
          <w:rFonts w:ascii="Times New Roman" w:hAnsi="Times New Roman" w:cs="Times New Roman"/>
          <w:sz w:val="24"/>
          <w:szCs w:val="24"/>
          <w:lang w:val="sr-Cyrl-CS"/>
        </w:rPr>
        <w:t>еђутим, од ступања на снагу измена</w:t>
      </w:r>
      <w:r w:rsidR="00691FE1" w:rsidRPr="00B27245">
        <w:rPr>
          <w:rFonts w:ascii="Times New Roman" w:hAnsi="Times New Roman" w:cs="Times New Roman"/>
          <w:sz w:val="24"/>
          <w:szCs w:val="24"/>
          <w:lang w:val="sr-Cyrl-CS"/>
        </w:rPr>
        <w:t xml:space="preserve"> З</w:t>
      </w:r>
      <w:r w:rsidR="00EF4241" w:rsidRPr="00B27245">
        <w:rPr>
          <w:rFonts w:ascii="Times New Roman" w:hAnsi="Times New Roman" w:cs="Times New Roman"/>
          <w:sz w:val="24"/>
          <w:szCs w:val="24"/>
          <w:lang w:val="sr-Cyrl-CS"/>
        </w:rPr>
        <w:t>акона није реализован значајан број финансијских реструктурирања предузетника овим путем,</w:t>
      </w:r>
    </w:p>
    <w:p w14:paraId="536C8E94" w14:textId="12E98833" w:rsidR="00674FD6" w:rsidRPr="00B27245" w:rsidRDefault="001D5715" w:rsidP="001D5715">
      <w:pPr>
        <w:spacing w:after="0" w:line="240" w:lineRule="auto"/>
        <w:ind w:firstLine="720"/>
        <w:jc w:val="both"/>
        <w:rPr>
          <w:rFonts w:ascii="Times New Roman" w:hAnsi="Times New Roman" w:cs="Times New Roman"/>
          <w:b/>
          <w:sz w:val="24"/>
          <w:szCs w:val="24"/>
          <w:lang w:val="sr-Cyrl-CS"/>
        </w:rPr>
      </w:pPr>
      <w:bookmarkStart w:id="1" w:name="_Toc482368085"/>
      <w:r w:rsidRPr="00B27245">
        <w:rPr>
          <w:rFonts w:ascii="Times New Roman" w:hAnsi="Times New Roman" w:cs="Times New Roman"/>
          <w:sz w:val="24"/>
          <w:szCs w:val="24"/>
          <w:lang w:val="sr-Cyrl-CS"/>
        </w:rPr>
        <w:t xml:space="preserve">5) </w:t>
      </w:r>
      <w:r w:rsidR="007137FD" w:rsidRPr="00B27245">
        <w:rPr>
          <w:rFonts w:ascii="Times New Roman" w:hAnsi="Times New Roman" w:cs="Times New Roman"/>
          <w:sz w:val="24"/>
          <w:szCs w:val="24"/>
          <w:lang w:val="sr-Cyrl-CS"/>
        </w:rPr>
        <w:t>П</w:t>
      </w:r>
      <w:r w:rsidR="00E45664" w:rsidRPr="00B27245">
        <w:rPr>
          <w:rFonts w:ascii="Times New Roman" w:hAnsi="Times New Roman" w:cs="Times New Roman"/>
          <w:sz w:val="24"/>
          <w:szCs w:val="24"/>
          <w:lang w:val="sr-Cyrl-CS"/>
        </w:rPr>
        <w:t>овећа</w:t>
      </w:r>
      <w:r w:rsidR="009F3092" w:rsidRPr="00B27245">
        <w:rPr>
          <w:rFonts w:ascii="Times New Roman" w:hAnsi="Times New Roman" w:cs="Times New Roman"/>
          <w:sz w:val="24"/>
          <w:szCs w:val="24"/>
          <w:lang w:val="sr-Cyrl-CS"/>
        </w:rPr>
        <w:t>на</w:t>
      </w:r>
      <w:r w:rsidR="00E45664" w:rsidRPr="00B27245">
        <w:rPr>
          <w:rFonts w:ascii="Times New Roman" w:hAnsi="Times New Roman" w:cs="Times New Roman"/>
          <w:sz w:val="24"/>
          <w:szCs w:val="24"/>
          <w:lang w:val="sr-Cyrl-CS"/>
        </w:rPr>
        <w:t xml:space="preserve"> ефикасност државних поверилаца у поступцима реструктурирања</w:t>
      </w:r>
      <w:bookmarkEnd w:id="1"/>
      <w:r w:rsidR="009F3092" w:rsidRPr="00B27245">
        <w:rPr>
          <w:rFonts w:ascii="Times New Roman" w:hAnsi="Times New Roman" w:cs="Times New Roman"/>
          <w:sz w:val="24"/>
          <w:szCs w:val="24"/>
          <w:lang w:val="sr-Cyrl-CS"/>
        </w:rPr>
        <w:t xml:space="preserve"> (Фонд за развој и АОФИ)</w:t>
      </w:r>
      <w:r w:rsidR="00F12E73" w:rsidRPr="00B27245">
        <w:rPr>
          <w:rFonts w:ascii="Times New Roman" w:hAnsi="Times New Roman" w:cs="Times New Roman"/>
          <w:sz w:val="24"/>
          <w:szCs w:val="24"/>
          <w:lang w:val="sr-Cyrl-CS"/>
        </w:rPr>
        <w:t>,</w:t>
      </w:r>
    </w:p>
    <w:p w14:paraId="34864C76" w14:textId="4401748D"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6) </w:t>
      </w:r>
      <w:r w:rsidR="007137FD" w:rsidRPr="00B27245">
        <w:rPr>
          <w:rFonts w:ascii="Times New Roman" w:hAnsi="Times New Roman" w:cs="Times New Roman"/>
          <w:sz w:val="24"/>
          <w:szCs w:val="24"/>
          <w:lang w:val="sr-Cyrl-CS"/>
        </w:rPr>
        <w:t>Ј</w:t>
      </w:r>
      <w:r w:rsidR="00E45664" w:rsidRPr="00B27245">
        <w:rPr>
          <w:rFonts w:ascii="Times New Roman" w:hAnsi="Times New Roman" w:cs="Times New Roman"/>
          <w:sz w:val="24"/>
          <w:szCs w:val="24"/>
          <w:lang w:val="sr-Cyrl-CS"/>
        </w:rPr>
        <w:t xml:space="preserve">ачање капацитета Агенције за </w:t>
      </w:r>
      <w:r w:rsidR="008C5EA1" w:rsidRPr="00B27245">
        <w:rPr>
          <w:rFonts w:ascii="Times New Roman" w:hAnsi="Times New Roman" w:cs="Times New Roman"/>
          <w:sz w:val="24"/>
          <w:szCs w:val="24"/>
          <w:lang w:val="sr-Cyrl-CS"/>
        </w:rPr>
        <w:t>лиценцирање стечајних управника</w:t>
      </w:r>
      <w:r w:rsidR="009F3092" w:rsidRPr="00B27245">
        <w:rPr>
          <w:rFonts w:ascii="Times New Roman" w:hAnsi="Times New Roman" w:cs="Times New Roman"/>
          <w:sz w:val="24"/>
          <w:szCs w:val="24"/>
          <w:lang w:val="sr-Cyrl-CS"/>
        </w:rPr>
        <w:t xml:space="preserve"> (</w:t>
      </w:r>
      <w:r w:rsidR="00691FE1" w:rsidRPr="00B27245">
        <w:rPr>
          <w:rFonts w:ascii="Times New Roman" w:hAnsi="Times New Roman" w:cs="Times New Roman"/>
          <w:sz w:val="24"/>
          <w:szCs w:val="24"/>
          <w:lang w:val="sr-Cyrl-CS"/>
        </w:rPr>
        <w:t xml:space="preserve">у даљем тексту: </w:t>
      </w:r>
      <w:r w:rsidR="009F3092" w:rsidRPr="00B27245">
        <w:rPr>
          <w:rFonts w:ascii="Times New Roman" w:hAnsi="Times New Roman" w:cs="Times New Roman"/>
          <w:sz w:val="24"/>
          <w:szCs w:val="24"/>
          <w:lang w:val="sr-Cyrl-CS"/>
        </w:rPr>
        <w:t>АЛСУ)</w:t>
      </w:r>
      <w:r w:rsidR="008C5EA1" w:rsidRPr="00B27245">
        <w:rPr>
          <w:rFonts w:ascii="Times New Roman" w:hAnsi="Times New Roman" w:cs="Times New Roman"/>
          <w:sz w:val="24"/>
          <w:szCs w:val="24"/>
          <w:lang w:val="sr-Cyrl-CS"/>
        </w:rPr>
        <w:t>.</w:t>
      </w:r>
      <w:r w:rsidR="00E45664" w:rsidRPr="00B27245">
        <w:rPr>
          <w:rFonts w:ascii="Times New Roman" w:hAnsi="Times New Roman" w:cs="Times New Roman"/>
          <w:sz w:val="24"/>
          <w:szCs w:val="24"/>
          <w:lang w:val="sr-Cyrl-CS"/>
        </w:rPr>
        <w:t xml:space="preserve"> Стратегијом је </w:t>
      </w:r>
      <w:r w:rsidR="008C5EA1" w:rsidRPr="00B27245">
        <w:rPr>
          <w:rFonts w:ascii="Times New Roman" w:hAnsi="Times New Roman" w:cs="Times New Roman"/>
          <w:sz w:val="24"/>
          <w:szCs w:val="24"/>
          <w:lang w:val="sr-Cyrl-CS"/>
        </w:rPr>
        <w:t>остварено</w:t>
      </w:r>
      <w:r w:rsidR="00E45664" w:rsidRPr="00B27245">
        <w:rPr>
          <w:rFonts w:ascii="Times New Roman" w:hAnsi="Times New Roman" w:cs="Times New Roman"/>
          <w:sz w:val="24"/>
          <w:szCs w:val="24"/>
          <w:lang w:val="sr-Cyrl-CS"/>
        </w:rPr>
        <w:t xml:space="preserve"> јачање капацитета А</w:t>
      </w:r>
      <w:r w:rsidR="009F3092" w:rsidRPr="00B27245">
        <w:rPr>
          <w:rFonts w:ascii="Times New Roman" w:hAnsi="Times New Roman" w:cs="Times New Roman"/>
          <w:sz w:val="24"/>
          <w:szCs w:val="24"/>
          <w:lang w:val="sr-Cyrl-CS"/>
        </w:rPr>
        <w:t xml:space="preserve">ЛСУ </w:t>
      </w:r>
      <w:r w:rsidR="00E45664" w:rsidRPr="00B27245">
        <w:rPr>
          <w:rFonts w:ascii="Times New Roman" w:hAnsi="Times New Roman" w:cs="Times New Roman"/>
          <w:sz w:val="24"/>
          <w:szCs w:val="24"/>
          <w:lang w:val="sr-Cyrl-CS"/>
        </w:rPr>
        <w:t xml:space="preserve">кроз техничко саветовање и програме обуке, повећање броја лица која врше надзор, као и уређење избора супервизора. Преостале мере биће предузете по усвајању </w:t>
      </w:r>
      <w:r w:rsidR="008C5EA1" w:rsidRPr="00B27245">
        <w:rPr>
          <w:rFonts w:ascii="Times New Roman" w:hAnsi="Times New Roman" w:cs="Times New Roman"/>
          <w:sz w:val="24"/>
          <w:szCs w:val="24"/>
          <w:lang w:val="sr-Cyrl-CS"/>
        </w:rPr>
        <w:t xml:space="preserve">подзаконских аката везаних за </w:t>
      </w:r>
      <w:r w:rsidR="00530531" w:rsidRPr="00B27245">
        <w:rPr>
          <w:rFonts w:ascii="Times New Roman" w:hAnsi="Times New Roman" w:cs="Times New Roman"/>
          <w:sz w:val="24"/>
          <w:szCs w:val="24"/>
          <w:lang w:val="sr-Cyrl-CS"/>
        </w:rPr>
        <w:t>измене</w:t>
      </w:r>
      <w:r w:rsidR="00E45664" w:rsidRPr="00B27245">
        <w:rPr>
          <w:rFonts w:ascii="Times New Roman" w:hAnsi="Times New Roman" w:cs="Times New Roman"/>
          <w:sz w:val="24"/>
          <w:szCs w:val="24"/>
          <w:lang w:val="sr-Cyrl-CS"/>
        </w:rPr>
        <w:t xml:space="preserve"> Закона о стечају (</w:t>
      </w:r>
      <w:bookmarkStart w:id="2" w:name="_Toc482368096"/>
      <w:bookmarkStart w:id="3" w:name="_Toc482368095"/>
      <w:r w:rsidR="00E45664" w:rsidRPr="00B27245">
        <w:rPr>
          <w:rFonts w:ascii="Times New Roman" w:hAnsi="Times New Roman" w:cs="Times New Roman"/>
          <w:sz w:val="24"/>
          <w:szCs w:val="24"/>
          <w:lang w:val="sr-Cyrl-CS"/>
        </w:rPr>
        <w:t>давање веће слободе повериоцима у избору стечајног управника</w:t>
      </w:r>
      <w:bookmarkEnd w:id="2"/>
      <w:r w:rsidR="00E45664" w:rsidRPr="00B27245">
        <w:rPr>
          <w:rFonts w:ascii="Times New Roman" w:hAnsi="Times New Roman" w:cs="Times New Roman"/>
          <w:sz w:val="24"/>
          <w:szCs w:val="24"/>
          <w:lang w:val="sr-Cyrl-CS"/>
        </w:rPr>
        <w:t>, ревидирање награде за стечајне управнике</w:t>
      </w:r>
      <w:bookmarkEnd w:id="3"/>
      <w:r w:rsidR="00E45664" w:rsidRPr="00B27245">
        <w:rPr>
          <w:rFonts w:ascii="Times New Roman" w:hAnsi="Times New Roman" w:cs="Times New Roman"/>
          <w:sz w:val="24"/>
          <w:szCs w:val="24"/>
          <w:lang w:val="sr-Cyrl-CS"/>
        </w:rPr>
        <w:t xml:space="preserve"> итд</w:t>
      </w:r>
      <w:r w:rsidR="00530531" w:rsidRPr="00B27245">
        <w:rPr>
          <w:rFonts w:ascii="Times New Roman" w:hAnsi="Times New Roman" w:cs="Times New Roman"/>
          <w:sz w:val="24"/>
          <w:szCs w:val="24"/>
          <w:lang w:val="sr-Cyrl-CS"/>
        </w:rPr>
        <w:t>.</w:t>
      </w:r>
      <w:r w:rsidR="00E45664" w:rsidRPr="00B27245">
        <w:rPr>
          <w:rFonts w:ascii="Times New Roman" w:hAnsi="Times New Roman" w:cs="Times New Roman"/>
          <w:sz w:val="24"/>
          <w:szCs w:val="24"/>
          <w:lang w:val="sr-Cyrl-CS"/>
        </w:rPr>
        <w:t>)</w:t>
      </w:r>
      <w:r w:rsidR="00F12E73" w:rsidRPr="00B27245">
        <w:rPr>
          <w:rFonts w:ascii="Times New Roman" w:hAnsi="Times New Roman" w:cs="Times New Roman"/>
          <w:sz w:val="24"/>
          <w:szCs w:val="24"/>
          <w:lang w:val="sr-Cyrl-CS"/>
        </w:rPr>
        <w:t>,</w:t>
      </w:r>
    </w:p>
    <w:p w14:paraId="1F300C35" w14:textId="3E095702"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7) </w:t>
      </w:r>
      <w:r w:rsidR="007137FD" w:rsidRPr="00B27245">
        <w:rPr>
          <w:rFonts w:ascii="Times New Roman" w:hAnsi="Times New Roman" w:cs="Times New Roman"/>
          <w:sz w:val="24"/>
          <w:szCs w:val="24"/>
          <w:lang w:val="sr-Cyrl-CS"/>
        </w:rPr>
        <w:t>У</w:t>
      </w:r>
      <w:r w:rsidR="00E45664" w:rsidRPr="00B27245">
        <w:rPr>
          <w:rFonts w:ascii="Times New Roman" w:hAnsi="Times New Roman" w:cs="Times New Roman"/>
          <w:sz w:val="24"/>
          <w:szCs w:val="24"/>
          <w:lang w:val="sr-Cyrl-CS"/>
        </w:rPr>
        <w:t>свајање измен</w:t>
      </w:r>
      <w:r w:rsidR="00F12E73" w:rsidRPr="00B27245">
        <w:rPr>
          <w:rFonts w:ascii="Times New Roman" w:hAnsi="Times New Roman" w:cs="Times New Roman"/>
          <w:sz w:val="24"/>
          <w:szCs w:val="24"/>
          <w:lang w:val="sr-Cyrl-CS"/>
        </w:rPr>
        <w:t>а Закона о извршењу и обезбеђењу,</w:t>
      </w:r>
    </w:p>
    <w:p w14:paraId="11510FB8" w14:textId="485425C5"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8) </w:t>
      </w:r>
      <w:r w:rsidR="007137FD" w:rsidRPr="00B27245">
        <w:rPr>
          <w:rFonts w:ascii="Times New Roman" w:hAnsi="Times New Roman" w:cs="Times New Roman"/>
          <w:sz w:val="24"/>
          <w:szCs w:val="24"/>
          <w:lang w:val="sr-Cyrl-CS"/>
        </w:rPr>
        <w:t>У</w:t>
      </w:r>
      <w:r w:rsidR="00E45664" w:rsidRPr="00B27245">
        <w:rPr>
          <w:rFonts w:ascii="Times New Roman" w:hAnsi="Times New Roman" w:cs="Times New Roman"/>
          <w:sz w:val="24"/>
          <w:szCs w:val="24"/>
          <w:lang w:val="sr-Cyrl-CS"/>
        </w:rPr>
        <w:t>свајање из</w:t>
      </w:r>
      <w:r w:rsidR="000C176D" w:rsidRPr="00B27245">
        <w:rPr>
          <w:rFonts w:ascii="Times New Roman" w:hAnsi="Times New Roman" w:cs="Times New Roman"/>
          <w:sz w:val="24"/>
          <w:szCs w:val="24"/>
          <w:lang w:val="sr-Cyrl-CS"/>
        </w:rPr>
        <w:t xml:space="preserve">мена и допуна Закона о хипотеци. </w:t>
      </w:r>
      <w:r w:rsidR="00E45664" w:rsidRPr="00B27245">
        <w:rPr>
          <w:rFonts w:ascii="Times New Roman" w:hAnsi="Times New Roman" w:cs="Times New Roman"/>
          <w:sz w:val="24"/>
          <w:szCs w:val="24"/>
          <w:lang w:val="sr-Cyrl-CS"/>
        </w:rPr>
        <w:t>Изменама Закона о хипотеци омогућено је купцу имовине која представља инструмент обезбеђења да је вансудски купи ослобођену од заложних права нижег реда. Такође, решен је проблем конкурентских поступака судских и вансудс</w:t>
      </w:r>
      <w:r w:rsidR="00F12E73" w:rsidRPr="00B27245">
        <w:rPr>
          <w:rFonts w:ascii="Times New Roman" w:hAnsi="Times New Roman" w:cs="Times New Roman"/>
          <w:sz w:val="24"/>
          <w:szCs w:val="24"/>
          <w:lang w:val="sr-Cyrl-CS"/>
        </w:rPr>
        <w:t>ких намирења по основу хипотека,</w:t>
      </w:r>
      <w:r w:rsidRPr="00B27245">
        <w:rPr>
          <w:rFonts w:ascii="Times New Roman" w:hAnsi="Times New Roman" w:cs="Times New Roman"/>
          <w:sz w:val="24"/>
          <w:szCs w:val="24"/>
          <w:lang w:val="sr-Cyrl-CS"/>
        </w:rPr>
        <w:t xml:space="preserve"> </w:t>
      </w:r>
    </w:p>
    <w:p w14:paraId="6DD4BDBD" w14:textId="0968EB92"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9) </w:t>
      </w:r>
      <w:r w:rsidR="007137FD" w:rsidRPr="00B27245">
        <w:rPr>
          <w:rFonts w:ascii="Times New Roman" w:hAnsi="Times New Roman" w:cs="Times New Roman"/>
          <w:sz w:val="24"/>
          <w:szCs w:val="24"/>
          <w:lang w:val="sr-Cyrl-CS"/>
        </w:rPr>
        <w:t>У</w:t>
      </w:r>
      <w:r w:rsidR="00E45664" w:rsidRPr="00B27245">
        <w:rPr>
          <w:rFonts w:ascii="Times New Roman" w:hAnsi="Times New Roman" w:cs="Times New Roman"/>
          <w:sz w:val="24"/>
          <w:szCs w:val="24"/>
          <w:lang w:val="sr-Cyrl-CS"/>
        </w:rPr>
        <w:t>напређење институционалног капацитета Републичког геодетског завода у сегменту ефикасног функциони</w:t>
      </w:r>
      <w:r w:rsidR="000C176D" w:rsidRPr="00B27245">
        <w:rPr>
          <w:rFonts w:ascii="Times New Roman" w:hAnsi="Times New Roman" w:cs="Times New Roman"/>
          <w:sz w:val="24"/>
          <w:szCs w:val="24"/>
          <w:lang w:val="sr-Cyrl-CS"/>
        </w:rPr>
        <w:t xml:space="preserve">сања правног оквира за хипотеке. Наведене активности спроведене су кроз: </w:t>
      </w:r>
      <w:bookmarkStart w:id="4" w:name="_Toc482368107"/>
      <w:bookmarkStart w:id="5" w:name="_Toc482368108"/>
      <w:bookmarkStart w:id="6" w:name="_Toc482368106"/>
      <w:r w:rsidR="00E45664" w:rsidRPr="00B27245">
        <w:rPr>
          <w:rFonts w:ascii="Times New Roman" w:hAnsi="Times New Roman" w:cs="Times New Roman"/>
          <w:sz w:val="24"/>
          <w:szCs w:val="24"/>
          <w:lang w:val="sr-Cyrl-CS"/>
        </w:rPr>
        <w:t xml:space="preserve">а) </w:t>
      </w:r>
      <w:r w:rsidR="004249AE" w:rsidRPr="00B27245">
        <w:rPr>
          <w:rFonts w:ascii="Times New Roman" w:hAnsi="Times New Roman" w:cs="Times New Roman"/>
          <w:sz w:val="24"/>
          <w:szCs w:val="24"/>
          <w:lang w:val="sr-Cyrl-CS"/>
        </w:rPr>
        <w:t>и</w:t>
      </w:r>
      <w:r w:rsidR="00E45664" w:rsidRPr="00B27245">
        <w:rPr>
          <w:rFonts w:ascii="Times New Roman" w:hAnsi="Times New Roman" w:cs="Times New Roman"/>
          <w:sz w:val="24"/>
          <w:szCs w:val="24"/>
          <w:lang w:val="sr-Cyrl-CS"/>
        </w:rPr>
        <w:t>дентификациј</w:t>
      </w:r>
      <w:r w:rsidR="004249AE" w:rsidRPr="00B27245">
        <w:rPr>
          <w:rFonts w:ascii="Times New Roman" w:hAnsi="Times New Roman" w:cs="Times New Roman"/>
          <w:sz w:val="24"/>
          <w:szCs w:val="24"/>
          <w:lang w:val="sr-Cyrl-CS"/>
        </w:rPr>
        <w:t>у</w:t>
      </w:r>
      <w:r w:rsidR="00E45664" w:rsidRPr="00B27245">
        <w:rPr>
          <w:rFonts w:ascii="Times New Roman" w:hAnsi="Times New Roman" w:cs="Times New Roman"/>
          <w:sz w:val="24"/>
          <w:szCs w:val="24"/>
          <w:lang w:val="sr-Cyrl-CS"/>
        </w:rPr>
        <w:t xml:space="preserve"> служби за катастар непокретности са великим бројем нерешених предмета и унапређење њихове ефикасности</w:t>
      </w:r>
      <w:bookmarkEnd w:id="4"/>
      <w:r w:rsidR="000C176D" w:rsidRPr="00B27245">
        <w:rPr>
          <w:rFonts w:ascii="Times New Roman" w:hAnsi="Times New Roman" w:cs="Times New Roman"/>
          <w:sz w:val="24"/>
          <w:szCs w:val="24"/>
          <w:lang w:val="sr-Cyrl-CS"/>
        </w:rPr>
        <w:t xml:space="preserve">, </w:t>
      </w:r>
      <w:r w:rsidR="00E45664" w:rsidRPr="00B27245">
        <w:rPr>
          <w:rFonts w:ascii="Times New Roman" w:hAnsi="Times New Roman" w:cs="Times New Roman"/>
          <w:sz w:val="24"/>
          <w:szCs w:val="24"/>
          <w:lang w:val="sr-Cyrl-CS"/>
        </w:rPr>
        <w:t xml:space="preserve">б) </w:t>
      </w:r>
      <w:r w:rsidR="004249AE" w:rsidRPr="00B27245">
        <w:rPr>
          <w:rFonts w:ascii="Times New Roman" w:hAnsi="Times New Roman" w:cs="Times New Roman"/>
          <w:sz w:val="24"/>
          <w:szCs w:val="24"/>
          <w:lang w:val="sr-Cyrl-CS"/>
        </w:rPr>
        <w:t>о</w:t>
      </w:r>
      <w:r w:rsidR="00E45664" w:rsidRPr="00B27245">
        <w:rPr>
          <w:rFonts w:ascii="Times New Roman" w:hAnsi="Times New Roman" w:cs="Times New Roman"/>
          <w:sz w:val="24"/>
          <w:szCs w:val="24"/>
          <w:lang w:val="sr-Cyrl-CS"/>
        </w:rPr>
        <w:t>безбеђивање једнообразне примене правила о измени елемената уписаних хипотека у поступку пред службама за катастар непокретности у случају реструктурирања</w:t>
      </w:r>
      <w:bookmarkEnd w:id="5"/>
      <w:r w:rsidR="000C176D" w:rsidRPr="00B27245">
        <w:rPr>
          <w:rFonts w:ascii="Times New Roman" w:hAnsi="Times New Roman" w:cs="Times New Roman"/>
          <w:sz w:val="24"/>
          <w:szCs w:val="24"/>
          <w:lang w:val="sr-Cyrl-CS"/>
        </w:rPr>
        <w:t xml:space="preserve">, као и </w:t>
      </w:r>
      <w:r w:rsidR="00E45664" w:rsidRPr="00B27245">
        <w:rPr>
          <w:rFonts w:ascii="Times New Roman" w:hAnsi="Times New Roman" w:cs="Times New Roman"/>
          <w:sz w:val="24"/>
          <w:szCs w:val="24"/>
          <w:lang w:val="sr-Cyrl-CS"/>
        </w:rPr>
        <w:t xml:space="preserve">ц) </w:t>
      </w:r>
      <w:r w:rsidR="004249AE" w:rsidRPr="00B27245">
        <w:rPr>
          <w:rFonts w:ascii="Times New Roman" w:hAnsi="Times New Roman" w:cs="Times New Roman"/>
          <w:sz w:val="24"/>
          <w:szCs w:val="24"/>
          <w:lang w:val="sr-Cyrl-CS"/>
        </w:rPr>
        <w:t>с</w:t>
      </w:r>
      <w:r w:rsidR="00E45664" w:rsidRPr="00B27245">
        <w:rPr>
          <w:rFonts w:ascii="Times New Roman" w:hAnsi="Times New Roman" w:cs="Times New Roman"/>
          <w:sz w:val="24"/>
          <w:szCs w:val="24"/>
          <w:lang w:val="sr-Cyrl-CS"/>
        </w:rPr>
        <w:t>тварање функционалног другостепеног поступка  за одлучивање по жалбама на  одлуке  служби за катастар непокретности</w:t>
      </w:r>
      <w:bookmarkEnd w:id="6"/>
      <w:r w:rsidR="00F12E73" w:rsidRPr="00B27245">
        <w:rPr>
          <w:rFonts w:ascii="Times New Roman" w:hAnsi="Times New Roman" w:cs="Times New Roman"/>
          <w:sz w:val="24"/>
          <w:szCs w:val="24"/>
          <w:lang w:val="sr-Cyrl-CS"/>
        </w:rPr>
        <w:t>,</w:t>
      </w:r>
    </w:p>
    <w:p w14:paraId="157FE8D5" w14:textId="41A23BA6"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10) </w:t>
      </w:r>
      <w:r w:rsidR="007137FD" w:rsidRPr="00B27245">
        <w:rPr>
          <w:rFonts w:ascii="Times New Roman" w:hAnsi="Times New Roman" w:cs="Times New Roman"/>
          <w:sz w:val="24"/>
          <w:szCs w:val="24"/>
          <w:lang w:val="sr-Cyrl-CS"/>
        </w:rPr>
        <w:t>У</w:t>
      </w:r>
      <w:r w:rsidR="000C176D" w:rsidRPr="00B27245">
        <w:rPr>
          <w:rFonts w:ascii="Times New Roman" w:hAnsi="Times New Roman" w:cs="Times New Roman"/>
          <w:sz w:val="24"/>
          <w:szCs w:val="24"/>
          <w:lang w:val="sr-Cyrl-CS"/>
        </w:rPr>
        <w:t>свајање Закона о измена</w:t>
      </w:r>
      <w:r w:rsidR="00EF4241" w:rsidRPr="00B27245">
        <w:rPr>
          <w:rFonts w:ascii="Times New Roman" w:hAnsi="Times New Roman" w:cs="Times New Roman"/>
          <w:sz w:val="24"/>
          <w:szCs w:val="24"/>
          <w:lang w:val="sr-Cyrl-CS"/>
        </w:rPr>
        <w:t>ма и допунама</w:t>
      </w:r>
      <w:r w:rsidR="000C176D" w:rsidRPr="00B27245">
        <w:rPr>
          <w:rFonts w:ascii="Times New Roman" w:hAnsi="Times New Roman" w:cs="Times New Roman"/>
          <w:sz w:val="24"/>
          <w:szCs w:val="24"/>
          <w:lang w:val="sr-Cyrl-CS"/>
        </w:rPr>
        <w:t xml:space="preserve"> Закона о стечају</w:t>
      </w:r>
      <w:r w:rsidR="00F12E73" w:rsidRPr="00B27245">
        <w:rPr>
          <w:rFonts w:ascii="Times New Roman" w:hAnsi="Times New Roman" w:cs="Times New Roman"/>
          <w:sz w:val="24"/>
          <w:szCs w:val="24"/>
          <w:lang w:val="sr-Cyrl-CS"/>
        </w:rPr>
        <w:t>. Изменама Закона о стечају унапређен је стечајни регулаторни оквир, уз додатну заштиту обезбеђених поверилаца и повећање учинка и одговорности стечајних управника,</w:t>
      </w:r>
    </w:p>
    <w:p w14:paraId="6713FFE1" w14:textId="74309CB7"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11) </w:t>
      </w:r>
      <w:r w:rsidR="007137FD" w:rsidRPr="00B27245">
        <w:rPr>
          <w:rFonts w:ascii="Times New Roman" w:hAnsi="Times New Roman" w:cs="Times New Roman"/>
          <w:sz w:val="24"/>
          <w:szCs w:val="24"/>
          <w:lang w:val="sr-Cyrl-CS"/>
        </w:rPr>
        <w:t>У</w:t>
      </w:r>
      <w:r w:rsidR="000C176D" w:rsidRPr="00B27245">
        <w:rPr>
          <w:rFonts w:ascii="Times New Roman" w:hAnsi="Times New Roman" w:cs="Times New Roman"/>
          <w:sz w:val="24"/>
          <w:szCs w:val="24"/>
          <w:lang w:val="sr-Cyrl-CS"/>
        </w:rPr>
        <w:t>свајање Аутентичног тумачења члана 48. Закона о извршењу и обезбеђењу од стране Народне скупштине у децембру 2017. године</w:t>
      </w:r>
      <w:r w:rsidR="00F12E73" w:rsidRPr="00B27245">
        <w:rPr>
          <w:rFonts w:ascii="Times New Roman" w:hAnsi="Times New Roman" w:cs="Times New Roman"/>
          <w:sz w:val="24"/>
          <w:szCs w:val="24"/>
          <w:lang w:val="sr-Cyrl-CS"/>
        </w:rPr>
        <w:t>,</w:t>
      </w:r>
    </w:p>
    <w:p w14:paraId="054C460A" w14:textId="74FAFCEE" w:rsidR="00E45664"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12) </w:t>
      </w:r>
      <w:r w:rsidR="007137FD" w:rsidRPr="00B27245">
        <w:rPr>
          <w:rFonts w:ascii="Times New Roman" w:hAnsi="Times New Roman" w:cs="Times New Roman"/>
          <w:sz w:val="24"/>
          <w:szCs w:val="24"/>
          <w:lang w:val="sr-Cyrl-CS"/>
        </w:rPr>
        <w:t>У</w:t>
      </w:r>
      <w:r w:rsidR="000C176D" w:rsidRPr="00B27245">
        <w:rPr>
          <w:rFonts w:ascii="Times New Roman" w:hAnsi="Times New Roman" w:cs="Times New Roman"/>
          <w:sz w:val="24"/>
          <w:szCs w:val="24"/>
          <w:lang w:val="sr-Cyrl-CS"/>
        </w:rPr>
        <w:t>свајање Закона о</w:t>
      </w:r>
      <w:r w:rsidR="00E45664" w:rsidRPr="00B27245">
        <w:rPr>
          <w:rFonts w:ascii="Times New Roman" w:hAnsi="Times New Roman" w:cs="Times New Roman"/>
          <w:sz w:val="24"/>
          <w:szCs w:val="24"/>
          <w:lang w:val="sr-Cyrl-CS"/>
        </w:rPr>
        <w:t xml:space="preserve"> измена</w:t>
      </w:r>
      <w:r w:rsidR="000C176D" w:rsidRPr="00B27245">
        <w:rPr>
          <w:rFonts w:ascii="Times New Roman" w:hAnsi="Times New Roman" w:cs="Times New Roman"/>
          <w:sz w:val="24"/>
          <w:szCs w:val="24"/>
          <w:lang w:val="sr-Cyrl-CS"/>
        </w:rPr>
        <w:t xml:space="preserve">ма Закона о парничном поступку. </w:t>
      </w:r>
      <w:r w:rsidR="00E45664" w:rsidRPr="00B27245">
        <w:rPr>
          <w:rFonts w:ascii="Times New Roman" w:hAnsi="Times New Roman" w:cs="Times New Roman"/>
          <w:sz w:val="24"/>
          <w:szCs w:val="24"/>
          <w:lang w:val="sr-Cyrl-CS"/>
        </w:rPr>
        <w:t>Законом о парничном поступку (члан 204</w:t>
      </w:r>
      <w:r w:rsidR="008D617E" w:rsidRPr="00B27245">
        <w:rPr>
          <w:rFonts w:ascii="Times New Roman" w:hAnsi="Times New Roman" w:cs="Times New Roman"/>
          <w:sz w:val="24"/>
          <w:szCs w:val="24"/>
          <w:lang w:val="sr-Cyrl-CS"/>
        </w:rPr>
        <w:t>.</w:t>
      </w:r>
      <w:r w:rsidR="00E45664" w:rsidRPr="00B27245">
        <w:rPr>
          <w:rFonts w:ascii="Times New Roman" w:hAnsi="Times New Roman" w:cs="Times New Roman"/>
          <w:sz w:val="24"/>
          <w:szCs w:val="24"/>
          <w:lang w:val="sr-Cyrl-CS"/>
        </w:rPr>
        <w:t>) прописано је да је за промену тужиоца (у случају продаје потраживања) потребан пристанак туженог, па нови власник потраживања практично није у могућности да настави започете поступке, већ је принуђен да покреће нове. Изменом овог члана Закона решен</w:t>
      </w:r>
      <w:r w:rsidR="004249AE" w:rsidRPr="00B27245">
        <w:rPr>
          <w:rFonts w:ascii="Times New Roman" w:hAnsi="Times New Roman" w:cs="Times New Roman"/>
          <w:sz w:val="24"/>
          <w:szCs w:val="24"/>
          <w:lang w:val="sr-Cyrl-CS"/>
        </w:rPr>
        <w:t xml:space="preserve"> је</w:t>
      </w:r>
      <w:r w:rsidR="00F12E73" w:rsidRPr="00B27245">
        <w:rPr>
          <w:rFonts w:ascii="Times New Roman" w:hAnsi="Times New Roman" w:cs="Times New Roman"/>
          <w:sz w:val="24"/>
          <w:szCs w:val="24"/>
          <w:lang w:val="sr-Cyrl-CS"/>
        </w:rPr>
        <w:t xml:space="preserve"> наведени проблем,</w:t>
      </w:r>
    </w:p>
    <w:p w14:paraId="7CDCBD04" w14:textId="567DBA0D" w:rsidR="00674FD6"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13) </w:t>
      </w:r>
      <w:r w:rsidR="00530531" w:rsidRPr="00B27245">
        <w:rPr>
          <w:rFonts w:ascii="Times New Roman" w:hAnsi="Times New Roman" w:cs="Times New Roman"/>
          <w:sz w:val="24"/>
          <w:szCs w:val="24"/>
          <w:lang w:val="sr-Cyrl-CS"/>
        </w:rPr>
        <w:t>Усвајање</w:t>
      </w:r>
      <w:r w:rsidR="00674FD6" w:rsidRPr="00B27245">
        <w:rPr>
          <w:rFonts w:ascii="Times New Roman" w:hAnsi="Times New Roman" w:cs="Times New Roman"/>
          <w:sz w:val="24"/>
          <w:szCs w:val="24"/>
          <w:lang w:val="sr-Cyrl-CS"/>
        </w:rPr>
        <w:t xml:space="preserve"> Закон</w:t>
      </w:r>
      <w:r w:rsidR="00530531" w:rsidRPr="00B27245">
        <w:rPr>
          <w:rFonts w:ascii="Times New Roman" w:hAnsi="Times New Roman" w:cs="Times New Roman"/>
          <w:sz w:val="24"/>
          <w:szCs w:val="24"/>
          <w:lang w:val="sr-Cyrl-CS"/>
        </w:rPr>
        <w:t>а</w:t>
      </w:r>
      <w:r w:rsidR="00674FD6" w:rsidRPr="00B27245">
        <w:rPr>
          <w:rFonts w:ascii="Times New Roman" w:hAnsi="Times New Roman" w:cs="Times New Roman"/>
          <w:sz w:val="24"/>
          <w:szCs w:val="24"/>
          <w:lang w:val="sr-Cyrl-CS"/>
        </w:rPr>
        <w:t xml:space="preserve"> о поступку уп</w:t>
      </w:r>
      <w:r w:rsidR="00530531" w:rsidRPr="00B27245">
        <w:rPr>
          <w:rFonts w:ascii="Times New Roman" w:hAnsi="Times New Roman" w:cs="Times New Roman"/>
          <w:sz w:val="24"/>
          <w:szCs w:val="24"/>
          <w:lang w:val="sr-Cyrl-CS"/>
        </w:rPr>
        <w:t xml:space="preserve">иса </w:t>
      </w:r>
      <w:r w:rsidR="00971B83">
        <w:rPr>
          <w:rFonts w:ascii="Times New Roman" w:hAnsi="Times New Roman" w:cs="Times New Roman"/>
          <w:sz w:val="24"/>
          <w:szCs w:val="24"/>
          <w:lang w:val="sr-Cyrl-CS"/>
        </w:rPr>
        <w:t xml:space="preserve">у </w:t>
      </w:r>
      <w:bookmarkStart w:id="7" w:name="_GoBack"/>
      <w:bookmarkEnd w:id="7"/>
      <w:r w:rsidR="00375D03">
        <w:rPr>
          <w:rFonts w:ascii="Times New Roman" w:hAnsi="Times New Roman" w:cs="Times New Roman"/>
          <w:sz w:val="24"/>
          <w:szCs w:val="24"/>
          <w:lang w:val="sr-Cyrl-CS"/>
        </w:rPr>
        <w:t xml:space="preserve">катастар </w:t>
      </w:r>
      <w:r w:rsidR="00530531" w:rsidRPr="00B27245">
        <w:rPr>
          <w:rFonts w:ascii="Times New Roman" w:hAnsi="Times New Roman" w:cs="Times New Roman"/>
          <w:sz w:val="24"/>
          <w:szCs w:val="24"/>
          <w:lang w:val="sr-Cyrl-CS"/>
        </w:rPr>
        <w:t>непокретности и водова („Службени гласник РС”</w:t>
      </w:r>
      <w:r w:rsidR="00674FD6" w:rsidRPr="00B27245">
        <w:rPr>
          <w:rFonts w:ascii="Times New Roman" w:hAnsi="Times New Roman" w:cs="Times New Roman"/>
          <w:sz w:val="24"/>
          <w:szCs w:val="24"/>
          <w:lang w:val="sr-Cyrl-CS"/>
        </w:rPr>
        <w:t>, бр. 41/18 и 95/18</w:t>
      </w:r>
      <w:r w:rsidR="00530531" w:rsidRPr="00B27245">
        <w:rPr>
          <w:rFonts w:ascii="Times New Roman" w:hAnsi="Times New Roman" w:cs="Times New Roman"/>
          <w:sz w:val="24"/>
          <w:szCs w:val="24"/>
          <w:lang w:val="sr-Cyrl-CS"/>
        </w:rPr>
        <w:t>),</w:t>
      </w:r>
    </w:p>
    <w:p w14:paraId="5A27A54E" w14:textId="4B1AE84A" w:rsidR="00F12E73" w:rsidRPr="00B27245" w:rsidRDefault="001D5715" w:rsidP="001D5715">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14) </w:t>
      </w:r>
      <w:r w:rsidR="00530531" w:rsidRPr="00B27245">
        <w:rPr>
          <w:rFonts w:ascii="Times New Roman" w:hAnsi="Times New Roman" w:cs="Times New Roman"/>
          <w:sz w:val="24"/>
          <w:szCs w:val="24"/>
          <w:lang w:val="sr-Cyrl-CS"/>
        </w:rPr>
        <w:t>Нацрт с</w:t>
      </w:r>
      <w:r w:rsidR="00F12E73" w:rsidRPr="00B27245">
        <w:rPr>
          <w:rFonts w:ascii="Times New Roman" w:hAnsi="Times New Roman" w:cs="Times New Roman"/>
          <w:sz w:val="24"/>
          <w:szCs w:val="24"/>
          <w:lang w:val="sr-Cyrl-CS"/>
        </w:rPr>
        <w:t>тудије о опцијама за увођење стечаја физичких лиц</w:t>
      </w:r>
      <w:r w:rsidR="0083182E" w:rsidRPr="00B27245">
        <w:rPr>
          <w:rFonts w:ascii="Times New Roman" w:hAnsi="Times New Roman" w:cs="Times New Roman"/>
          <w:sz w:val="24"/>
          <w:szCs w:val="24"/>
          <w:lang w:val="sr-Cyrl-CS"/>
        </w:rPr>
        <w:t>а и предузетника представљен је</w:t>
      </w:r>
      <w:r w:rsidR="00F12E73" w:rsidRPr="00B27245">
        <w:rPr>
          <w:rFonts w:ascii="Times New Roman" w:hAnsi="Times New Roman" w:cs="Times New Roman"/>
          <w:sz w:val="24"/>
          <w:szCs w:val="24"/>
          <w:lang w:val="sr-Cyrl-CS"/>
        </w:rPr>
        <w:t xml:space="preserve"> Радној групи у јулу 2018. године.</w:t>
      </w:r>
    </w:p>
    <w:p w14:paraId="3DFD799A" w14:textId="77777777" w:rsidR="00F12E73" w:rsidRPr="00B27245" w:rsidRDefault="00F12E73" w:rsidP="00F12E73">
      <w:pPr>
        <w:pStyle w:val="ListParagraph"/>
        <w:spacing w:after="0" w:line="240" w:lineRule="auto"/>
        <w:jc w:val="both"/>
        <w:rPr>
          <w:rFonts w:ascii="Times New Roman" w:hAnsi="Times New Roman" w:cs="Times New Roman"/>
          <w:sz w:val="24"/>
          <w:szCs w:val="24"/>
          <w:lang w:val="sr-Cyrl-CS"/>
        </w:rPr>
      </w:pPr>
    </w:p>
    <w:p w14:paraId="402EE1BC" w14:textId="51E0CACC" w:rsidR="004249AE" w:rsidRPr="00B27245" w:rsidRDefault="004249AE" w:rsidP="008D617E">
      <w:pPr>
        <w:spacing w:after="0"/>
        <w:ind w:firstLine="720"/>
        <w:jc w:val="both"/>
        <w:rPr>
          <w:rFonts w:ascii="Times New Roman" w:hAnsi="Times New Roman" w:cs="Times New Roman"/>
          <w:lang w:val="sr-Cyrl-CS"/>
        </w:rPr>
      </w:pPr>
      <w:r w:rsidRPr="00B27245">
        <w:rPr>
          <w:rFonts w:ascii="Times New Roman" w:hAnsi="Times New Roman" w:cs="Times New Roman"/>
          <w:sz w:val="24"/>
          <w:szCs w:val="24"/>
          <w:lang w:val="sr-Cyrl-CS"/>
        </w:rPr>
        <w:lastRenderedPageBreak/>
        <w:t>Најважније спроведене активности у оквиру Акционог плана</w:t>
      </w:r>
      <w:r w:rsidR="008D617E" w:rsidRPr="00B27245">
        <w:rPr>
          <w:rFonts w:ascii="Times New Roman" w:hAnsi="Times New Roman" w:cs="Times New Roman"/>
          <w:sz w:val="24"/>
          <w:szCs w:val="24"/>
          <w:lang w:val="sr-Cyrl-CS"/>
        </w:rPr>
        <w:t xml:space="preserve"> НБС за спровођење</w:t>
      </w:r>
      <w:r w:rsidRPr="00B27245">
        <w:rPr>
          <w:rFonts w:ascii="Times New Roman" w:hAnsi="Times New Roman" w:cs="Times New Roman"/>
          <w:sz w:val="24"/>
          <w:szCs w:val="24"/>
          <w:lang w:val="sr-Cyrl-CS"/>
        </w:rPr>
        <w:t xml:space="preserve"> Стратегије, представљају</w:t>
      </w:r>
      <w:r w:rsidRPr="00B27245">
        <w:rPr>
          <w:rFonts w:ascii="Times New Roman" w:hAnsi="Times New Roman" w:cs="Times New Roman"/>
          <w:lang w:val="sr-Cyrl-CS"/>
        </w:rPr>
        <w:t>:</w:t>
      </w:r>
    </w:p>
    <w:p w14:paraId="6196CC80" w14:textId="285FC3AB"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 </w:t>
      </w:r>
      <w:r w:rsidR="00F12E73" w:rsidRPr="00B27245">
        <w:rPr>
          <w:rFonts w:ascii="Times New Roman" w:hAnsi="Times New Roman" w:cs="Times New Roman"/>
          <w:sz w:val="24"/>
          <w:szCs w:val="24"/>
          <w:lang w:val="sr-Cyrl-CS"/>
        </w:rPr>
        <w:t xml:space="preserve">Усвојена је Одлука о изменама и допунама </w:t>
      </w:r>
      <w:r w:rsidR="00EF4241" w:rsidRPr="00B27245">
        <w:rPr>
          <w:rFonts w:ascii="Times New Roman" w:hAnsi="Times New Roman" w:cs="Times New Roman"/>
          <w:sz w:val="24"/>
          <w:szCs w:val="24"/>
          <w:lang w:val="sr-Cyrl-CS"/>
        </w:rPr>
        <w:t>О</w:t>
      </w:r>
      <w:r w:rsidR="00F12E73" w:rsidRPr="00B27245">
        <w:rPr>
          <w:rFonts w:ascii="Times New Roman" w:hAnsi="Times New Roman" w:cs="Times New Roman"/>
          <w:sz w:val="24"/>
          <w:szCs w:val="24"/>
          <w:lang w:val="sr-Cyrl-CS"/>
        </w:rPr>
        <w:t>длуке о класификацији билансне активе и ванбилансних ста</w:t>
      </w:r>
      <w:r w:rsidRPr="00B27245">
        <w:rPr>
          <w:rFonts w:ascii="Times New Roman" w:hAnsi="Times New Roman" w:cs="Times New Roman"/>
          <w:sz w:val="24"/>
          <w:szCs w:val="24"/>
          <w:lang w:val="sr-Cyrl-CS"/>
        </w:rPr>
        <w:t>вки банке („Службени гласник РС”, број 61/</w:t>
      </w:r>
      <w:r w:rsidR="00F12E73" w:rsidRPr="00B27245">
        <w:rPr>
          <w:rFonts w:ascii="Times New Roman" w:hAnsi="Times New Roman" w:cs="Times New Roman"/>
          <w:sz w:val="24"/>
          <w:szCs w:val="24"/>
          <w:lang w:val="sr-Cyrl-CS"/>
        </w:rPr>
        <w:t xml:space="preserve">16), </w:t>
      </w:r>
    </w:p>
    <w:p w14:paraId="71303738" w14:textId="65044419"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2) </w:t>
      </w:r>
      <w:r w:rsidR="00F12E73" w:rsidRPr="00B27245">
        <w:rPr>
          <w:rFonts w:ascii="Times New Roman" w:hAnsi="Times New Roman" w:cs="Times New Roman"/>
          <w:sz w:val="24"/>
          <w:szCs w:val="24"/>
          <w:lang w:val="sr-Cyrl-CS"/>
        </w:rPr>
        <w:t>Усвојена је Одлука о изменама и допунама Одлуке о управљању ризиц</w:t>
      </w:r>
      <w:r w:rsidRPr="00B27245">
        <w:rPr>
          <w:rFonts w:ascii="Times New Roman" w:hAnsi="Times New Roman" w:cs="Times New Roman"/>
          <w:sz w:val="24"/>
          <w:szCs w:val="24"/>
          <w:lang w:val="sr-Cyrl-CS"/>
        </w:rPr>
        <w:t>има банке („Службени гласник РС”, број 61/</w:t>
      </w:r>
      <w:r w:rsidR="00F12E73" w:rsidRPr="00B27245">
        <w:rPr>
          <w:rFonts w:ascii="Times New Roman" w:hAnsi="Times New Roman" w:cs="Times New Roman"/>
          <w:sz w:val="24"/>
          <w:szCs w:val="24"/>
          <w:lang w:val="sr-Cyrl-CS"/>
        </w:rPr>
        <w:t>16),</w:t>
      </w:r>
    </w:p>
    <w:p w14:paraId="61C34EAF" w14:textId="41C72149"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3) </w:t>
      </w:r>
      <w:r w:rsidR="00F12E73" w:rsidRPr="00B27245">
        <w:rPr>
          <w:rFonts w:ascii="Times New Roman" w:hAnsi="Times New Roman" w:cs="Times New Roman"/>
          <w:sz w:val="24"/>
          <w:szCs w:val="24"/>
          <w:lang w:val="sr-Cyrl-CS"/>
        </w:rPr>
        <w:t>Објављене су Смернице за примену МРС 39 у делу који се односи на исправке вредности уз навођење супервизорских очекивања у вези са отписом потраживања и признавањем камата за проблематичне кредите,</w:t>
      </w:r>
      <w:r w:rsidRPr="00B27245">
        <w:rPr>
          <w:rFonts w:ascii="Times New Roman" w:hAnsi="Times New Roman" w:cs="Times New Roman"/>
          <w:sz w:val="24"/>
          <w:szCs w:val="24"/>
          <w:lang w:val="sr-Cyrl-CS"/>
        </w:rPr>
        <w:t xml:space="preserve"> </w:t>
      </w:r>
    </w:p>
    <w:p w14:paraId="1CAE8CC8" w14:textId="2210866E"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4) </w:t>
      </w:r>
      <w:r w:rsidR="00F12E73" w:rsidRPr="00B27245">
        <w:rPr>
          <w:rFonts w:ascii="Times New Roman" w:hAnsi="Times New Roman" w:cs="Times New Roman"/>
          <w:sz w:val="24"/>
          <w:szCs w:val="24"/>
          <w:lang w:val="sr-Cyrl-CS"/>
        </w:rPr>
        <w:t>Израђен je План за развој</w:t>
      </w:r>
      <w:r w:rsidRPr="00B27245">
        <w:rPr>
          <w:rFonts w:ascii="Times New Roman" w:hAnsi="Times New Roman" w:cs="Times New Roman"/>
          <w:sz w:val="24"/>
          <w:szCs w:val="24"/>
          <w:lang w:val="sr-Cyrl-CS"/>
        </w:rPr>
        <w:t xml:space="preserve"> капацитета НБС</w:t>
      </w:r>
      <w:r w:rsidR="00F12E73" w:rsidRPr="00B27245">
        <w:rPr>
          <w:rFonts w:ascii="Times New Roman" w:hAnsi="Times New Roman" w:cs="Times New Roman"/>
          <w:sz w:val="24"/>
          <w:szCs w:val="24"/>
          <w:lang w:val="sr-Cyrl-CS"/>
        </w:rPr>
        <w:t>,</w:t>
      </w:r>
    </w:p>
    <w:p w14:paraId="6F5B9C23" w14:textId="0E6663A1"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5) </w:t>
      </w:r>
      <w:r w:rsidR="00F12E73" w:rsidRPr="00B27245">
        <w:rPr>
          <w:rFonts w:ascii="Times New Roman" w:hAnsi="Times New Roman" w:cs="Times New Roman"/>
          <w:sz w:val="24"/>
          <w:szCs w:val="24"/>
          <w:lang w:val="sr-Cyrl-CS"/>
        </w:rPr>
        <w:t>Усвојен</w:t>
      </w:r>
      <w:r w:rsidR="00530531" w:rsidRPr="00B27245">
        <w:rPr>
          <w:rFonts w:ascii="Times New Roman" w:hAnsi="Times New Roman" w:cs="Times New Roman"/>
          <w:sz w:val="24"/>
          <w:szCs w:val="24"/>
          <w:lang w:val="sr-Cyrl-CS"/>
        </w:rPr>
        <w:t>е су о</w:t>
      </w:r>
      <w:r w:rsidR="00F12E73" w:rsidRPr="00B27245">
        <w:rPr>
          <w:rFonts w:ascii="Times New Roman" w:hAnsi="Times New Roman" w:cs="Times New Roman"/>
          <w:sz w:val="24"/>
          <w:szCs w:val="24"/>
          <w:lang w:val="sr-Cyrl-CS"/>
        </w:rPr>
        <w:t>длуке о изменама и допунама Одлуке о извештавању</w:t>
      </w:r>
      <w:r w:rsidR="00EF4241" w:rsidRPr="00B27245">
        <w:rPr>
          <w:rFonts w:ascii="Times New Roman" w:hAnsi="Times New Roman" w:cs="Times New Roman"/>
          <w:sz w:val="24"/>
          <w:szCs w:val="24"/>
          <w:lang w:val="sr-Cyrl-CS"/>
        </w:rPr>
        <w:t xml:space="preserve"> банака</w:t>
      </w:r>
      <w:r w:rsidR="00F12E73" w:rsidRPr="00B27245">
        <w:rPr>
          <w:rFonts w:ascii="Times New Roman" w:hAnsi="Times New Roman" w:cs="Times New Roman"/>
          <w:sz w:val="24"/>
          <w:szCs w:val="24"/>
          <w:lang w:val="sr-Cyrl-CS"/>
        </w:rPr>
        <w:t xml:space="preserve"> у циљу унапређења система извештавања о проблематичним </w:t>
      </w:r>
      <w:r w:rsidRPr="00B27245">
        <w:rPr>
          <w:rFonts w:ascii="Times New Roman" w:hAnsi="Times New Roman" w:cs="Times New Roman"/>
          <w:sz w:val="24"/>
          <w:szCs w:val="24"/>
          <w:lang w:val="sr-Cyrl-CS"/>
        </w:rPr>
        <w:t>кредитима („Службени гласник РС”, број 111/15 и „Службени гласник РС”, број 61/</w:t>
      </w:r>
      <w:r w:rsidR="00F12E73" w:rsidRPr="00B27245">
        <w:rPr>
          <w:rFonts w:ascii="Times New Roman" w:hAnsi="Times New Roman" w:cs="Times New Roman"/>
          <w:sz w:val="24"/>
          <w:szCs w:val="24"/>
          <w:lang w:val="sr-Cyrl-CS"/>
        </w:rPr>
        <w:t>16),</w:t>
      </w:r>
    </w:p>
    <w:p w14:paraId="2881CF7F" w14:textId="1635F403"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6) </w:t>
      </w:r>
      <w:r w:rsidR="00F12E73" w:rsidRPr="00B27245">
        <w:rPr>
          <w:rFonts w:ascii="Times New Roman" w:hAnsi="Times New Roman" w:cs="Times New Roman"/>
          <w:sz w:val="24"/>
          <w:szCs w:val="24"/>
          <w:lang w:val="sr-Cyrl-CS"/>
        </w:rPr>
        <w:t>Објављене су Смернице за објављивање података и информација банке које се односе на квалитет активе,</w:t>
      </w:r>
    </w:p>
    <w:p w14:paraId="1701FA74" w14:textId="3DAEE444"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7) </w:t>
      </w:r>
      <w:r w:rsidR="00F12E73" w:rsidRPr="00B27245">
        <w:rPr>
          <w:rFonts w:ascii="Times New Roman" w:hAnsi="Times New Roman" w:cs="Times New Roman"/>
          <w:sz w:val="24"/>
          <w:szCs w:val="24"/>
          <w:lang w:val="sr-Cyrl-CS"/>
        </w:rPr>
        <w:t>Израђен је Извештај о могућностима и препрекама за либерализацију уступања потраживања од физичких лица и осталим питањима из надлежности НБС која су значајна за НПЛ тржиште,</w:t>
      </w:r>
    </w:p>
    <w:p w14:paraId="41F1FA46" w14:textId="1FE13F63"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8) </w:t>
      </w:r>
      <w:r w:rsidR="00F12E73" w:rsidRPr="00B27245">
        <w:rPr>
          <w:rFonts w:ascii="Times New Roman" w:hAnsi="Times New Roman" w:cs="Times New Roman"/>
          <w:sz w:val="24"/>
          <w:szCs w:val="24"/>
          <w:lang w:val="sr-Cyrl-CS"/>
        </w:rPr>
        <w:t>Успостављена је функционална база података о проценама вредности непокретности које су предмет обезбеђења кредита и вредности кредита који су њима обезбеђени,</w:t>
      </w:r>
    </w:p>
    <w:p w14:paraId="7B1B29DD" w14:textId="734FE5B1" w:rsidR="00F12E73" w:rsidRPr="00B27245" w:rsidRDefault="008D617E" w:rsidP="008D617E">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9) </w:t>
      </w:r>
      <w:r w:rsidR="00F12E73" w:rsidRPr="00B27245">
        <w:rPr>
          <w:rFonts w:ascii="Times New Roman" w:hAnsi="Times New Roman" w:cs="Times New Roman"/>
          <w:sz w:val="24"/>
          <w:szCs w:val="24"/>
          <w:lang w:val="sr-Cyrl-CS"/>
        </w:rPr>
        <w:t>Израђен је Извештај о могућностима унапређења супервизорских захтева у вези с</w:t>
      </w:r>
      <w:r w:rsidRPr="00B27245">
        <w:rPr>
          <w:rFonts w:ascii="Times New Roman" w:hAnsi="Times New Roman" w:cs="Times New Roman"/>
          <w:sz w:val="24"/>
          <w:szCs w:val="24"/>
          <w:lang w:val="sr-Cyrl-CS"/>
        </w:rPr>
        <w:t>а</w:t>
      </w:r>
      <w:r w:rsidR="00F12E73" w:rsidRPr="00B27245">
        <w:rPr>
          <w:rFonts w:ascii="Times New Roman" w:hAnsi="Times New Roman" w:cs="Times New Roman"/>
          <w:sz w:val="24"/>
          <w:szCs w:val="24"/>
          <w:lang w:val="sr-Cyrl-CS"/>
        </w:rPr>
        <w:t xml:space="preserve"> третманом непокретности које банке узимају као колатерал.</w:t>
      </w:r>
    </w:p>
    <w:p w14:paraId="37A74BEE" w14:textId="77777777" w:rsidR="008D617E" w:rsidRPr="00B27245" w:rsidRDefault="008D617E" w:rsidP="008D617E">
      <w:pPr>
        <w:spacing w:after="0"/>
        <w:rPr>
          <w:rFonts w:ascii="Times New Roman" w:eastAsiaTheme="majorEastAsia" w:hAnsi="Times New Roman" w:cs="Times New Roman"/>
          <w:color w:val="2F5496" w:themeColor="accent1" w:themeShade="BF"/>
          <w:sz w:val="32"/>
          <w:szCs w:val="32"/>
          <w:lang w:val="sr-Cyrl-CS"/>
        </w:rPr>
      </w:pPr>
    </w:p>
    <w:p w14:paraId="503A3350" w14:textId="263E0C52" w:rsidR="004249AE" w:rsidRPr="00B27245" w:rsidRDefault="00443A10" w:rsidP="004375AC">
      <w:pPr>
        <w:spacing w:after="0"/>
        <w:jc w:val="center"/>
        <w:rPr>
          <w:rFonts w:ascii="Times New Roman" w:hAnsi="Times New Roman"/>
          <w:b/>
          <w:sz w:val="24"/>
          <w:lang w:val="sr-Cyrl-CS"/>
        </w:rPr>
      </w:pPr>
      <w:r w:rsidRPr="00B27245">
        <w:rPr>
          <w:rFonts w:ascii="Times New Roman" w:hAnsi="Times New Roman"/>
          <w:b/>
          <w:sz w:val="24"/>
          <w:lang w:val="sr-Cyrl-CS"/>
        </w:rPr>
        <w:t xml:space="preserve">II ЦИЉ </w:t>
      </w:r>
      <w:r w:rsidR="00D92668" w:rsidRPr="00B27245">
        <w:rPr>
          <w:rFonts w:ascii="Times New Roman" w:hAnsi="Times New Roman" w:cs="Times New Roman"/>
          <w:b/>
          <w:sz w:val="24"/>
          <w:szCs w:val="24"/>
          <w:lang w:val="sr-Cyrl-CS"/>
        </w:rPr>
        <w:t>ПРОГРАМА</w:t>
      </w:r>
      <w:r w:rsidRPr="00B27245">
        <w:rPr>
          <w:rFonts w:ascii="Times New Roman" w:hAnsi="Times New Roman"/>
          <w:b/>
          <w:sz w:val="24"/>
          <w:lang w:val="sr-Cyrl-CS"/>
        </w:rPr>
        <w:t>, КЉУЧНИ</w:t>
      </w:r>
      <w:r w:rsidRPr="00B27245">
        <w:rPr>
          <w:rFonts w:ascii="Times New Roman" w:hAnsi="Times New Roman" w:cs="Times New Roman"/>
          <w:b/>
          <w:sz w:val="24"/>
          <w:szCs w:val="24"/>
          <w:lang w:val="sr-Cyrl-CS"/>
        </w:rPr>
        <w:t xml:space="preserve"> </w:t>
      </w:r>
      <w:r w:rsidRPr="00B27245">
        <w:rPr>
          <w:rFonts w:ascii="Times New Roman" w:hAnsi="Times New Roman"/>
          <w:b/>
          <w:sz w:val="24"/>
          <w:lang w:val="sr-Cyrl-CS"/>
        </w:rPr>
        <w:t>ПРИОРИТЕТИ</w:t>
      </w:r>
      <w:r w:rsidRPr="00B27245">
        <w:rPr>
          <w:rFonts w:ascii="Times New Roman" w:hAnsi="Times New Roman" w:cs="Times New Roman"/>
          <w:b/>
          <w:sz w:val="24"/>
          <w:szCs w:val="24"/>
          <w:lang w:val="sr-Cyrl-CS"/>
        </w:rPr>
        <w:t xml:space="preserve"> И </w:t>
      </w:r>
      <w:r w:rsidRPr="00B27245">
        <w:rPr>
          <w:rFonts w:ascii="Times New Roman" w:hAnsi="Times New Roman"/>
          <w:b/>
          <w:sz w:val="24"/>
          <w:lang w:val="sr-Cyrl-CS"/>
        </w:rPr>
        <w:t>ПЛАНИРАНЕ АКТИВНОСТИ</w:t>
      </w:r>
    </w:p>
    <w:p w14:paraId="356B718B" w14:textId="77777777" w:rsidR="008D617E" w:rsidRPr="00B27245" w:rsidRDefault="008D617E" w:rsidP="008D617E">
      <w:pPr>
        <w:spacing w:after="0"/>
        <w:rPr>
          <w:rFonts w:ascii="Times New Roman" w:hAnsi="Times New Roman" w:cs="Times New Roman"/>
          <w:b/>
          <w:sz w:val="24"/>
          <w:szCs w:val="24"/>
          <w:lang w:val="sr-Cyrl-CS"/>
        </w:rPr>
      </w:pPr>
    </w:p>
    <w:p w14:paraId="63CF51C3" w14:textId="6E70CAFC" w:rsidR="004249AE" w:rsidRPr="00B27245" w:rsidRDefault="004249AE" w:rsidP="004375AC">
      <w:pPr>
        <w:pStyle w:val="Heading1"/>
        <w:spacing w:before="0"/>
        <w:jc w:val="center"/>
        <w:rPr>
          <w:rFonts w:ascii="Times New Roman" w:eastAsiaTheme="minorHAnsi" w:hAnsi="Times New Roman" w:cs="Times New Roman"/>
          <w:color w:val="auto"/>
          <w:sz w:val="24"/>
          <w:szCs w:val="24"/>
          <w:lang w:val="sr-Cyrl-CS"/>
        </w:rPr>
      </w:pPr>
      <w:r w:rsidRPr="00B27245">
        <w:rPr>
          <w:rFonts w:ascii="Times New Roman" w:eastAsiaTheme="minorHAnsi" w:hAnsi="Times New Roman" w:cs="Times New Roman"/>
          <w:color w:val="auto"/>
          <w:sz w:val="24"/>
          <w:szCs w:val="24"/>
          <w:lang w:val="sr-Cyrl-CS"/>
        </w:rPr>
        <w:t>2.1.</w:t>
      </w:r>
      <w:r w:rsidRPr="00B27245">
        <w:rPr>
          <w:lang w:val="sr-Cyrl-CS"/>
        </w:rPr>
        <w:t xml:space="preserve"> </w:t>
      </w:r>
      <w:r w:rsidRPr="00B27245">
        <w:rPr>
          <w:rFonts w:ascii="Times New Roman" w:eastAsiaTheme="minorHAnsi" w:hAnsi="Times New Roman" w:cs="Times New Roman"/>
          <w:color w:val="auto"/>
          <w:sz w:val="24"/>
          <w:szCs w:val="24"/>
          <w:lang w:val="sr-Cyrl-CS"/>
        </w:rPr>
        <w:t xml:space="preserve">Основни циљ </w:t>
      </w:r>
      <w:r w:rsidR="00D92668" w:rsidRPr="00B27245">
        <w:rPr>
          <w:rFonts w:ascii="Times New Roman" w:eastAsiaTheme="minorHAnsi" w:hAnsi="Times New Roman" w:cs="Times New Roman"/>
          <w:color w:val="auto"/>
          <w:sz w:val="24"/>
          <w:szCs w:val="24"/>
          <w:lang w:val="sr-Cyrl-CS"/>
        </w:rPr>
        <w:t>Програма</w:t>
      </w:r>
    </w:p>
    <w:p w14:paraId="23808D8B" w14:textId="77777777" w:rsidR="00443A10" w:rsidRPr="00B27245" w:rsidRDefault="00443A10" w:rsidP="008D617E">
      <w:pPr>
        <w:spacing w:after="0"/>
        <w:jc w:val="both"/>
        <w:rPr>
          <w:rFonts w:ascii="Times New Roman" w:hAnsi="Times New Roman" w:cs="Times New Roman"/>
          <w:sz w:val="24"/>
          <w:szCs w:val="24"/>
          <w:lang w:val="sr-Cyrl-CS"/>
        </w:rPr>
      </w:pPr>
    </w:p>
    <w:p w14:paraId="15C2CFF6" w14:textId="19C19C0A" w:rsidR="00443A10" w:rsidRPr="00B27245" w:rsidRDefault="004249AE" w:rsidP="00285F85">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Циљ </w:t>
      </w:r>
      <w:r w:rsidR="00D92668" w:rsidRPr="00B27245">
        <w:rPr>
          <w:rFonts w:ascii="Times New Roman" w:hAnsi="Times New Roman" w:cs="Times New Roman"/>
          <w:sz w:val="24"/>
          <w:szCs w:val="24"/>
          <w:lang w:val="sr-Cyrl-CS"/>
        </w:rPr>
        <w:t>Програма</w:t>
      </w:r>
      <w:r w:rsidR="00285F85" w:rsidRPr="00B27245">
        <w:rPr>
          <w:rFonts w:ascii="Times New Roman" w:hAnsi="Times New Roman" w:cs="Times New Roman"/>
          <w:sz w:val="24"/>
          <w:szCs w:val="24"/>
          <w:lang w:val="sr-Cyrl-CS"/>
        </w:rPr>
        <w:t>, као и</w:t>
      </w:r>
      <w:r w:rsidR="008428A3" w:rsidRPr="00B27245">
        <w:rPr>
          <w:rFonts w:ascii="Times New Roman" w:hAnsi="Times New Roman" w:cs="Times New Roman"/>
          <w:sz w:val="24"/>
          <w:szCs w:val="24"/>
          <w:lang w:val="sr-Cyrl-CS"/>
        </w:rPr>
        <w:t xml:space="preserve"> Акционог плана за спровођење </w:t>
      </w:r>
      <w:r w:rsidR="008A4A72" w:rsidRPr="00B27245">
        <w:rPr>
          <w:rFonts w:ascii="Times New Roman" w:hAnsi="Times New Roman" w:cs="Times New Roman"/>
          <w:sz w:val="24"/>
          <w:szCs w:val="24"/>
          <w:lang w:val="sr-Cyrl-CS"/>
        </w:rPr>
        <w:t>П</w:t>
      </w:r>
      <w:r w:rsidR="00D92668" w:rsidRPr="00B27245">
        <w:rPr>
          <w:rFonts w:ascii="Times New Roman" w:hAnsi="Times New Roman" w:cs="Times New Roman"/>
          <w:sz w:val="24"/>
          <w:szCs w:val="24"/>
          <w:lang w:val="sr-Cyrl-CS"/>
        </w:rPr>
        <w:t>рограма</w:t>
      </w:r>
      <w:r w:rsidR="008428A3" w:rsidRPr="00B27245">
        <w:rPr>
          <w:rFonts w:ascii="Times New Roman" w:hAnsi="Times New Roman" w:cs="Times New Roman"/>
          <w:sz w:val="24"/>
          <w:szCs w:val="24"/>
          <w:lang w:val="sr-Cyrl-CS"/>
        </w:rPr>
        <w:t xml:space="preserve"> за решавање про</w:t>
      </w:r>
      <w:r w:rsidR="008A4A72" w:rsidRPr="00B27245">
        <w:rPr>
          <w:rFonts w:ascii="Times New Roman" w:hAnsi="Times New Roman" w:cs="Times New Roman"/>
          <w:sz w:val="24"/>
          <w:szCs w:val="24"/>
          <w:lang w:val="sr-Cyrl-CS"/>
        </w:rPr>
        <w:t>блематичних кредита за период</w:t>
      </w:r>
      <w:r w:rsidR="008428A3" w:rsidRPr="00B27245">
        <w:rPr>
          <w:rFonts w:ascii="Times New Roman" w:hAnsi="Times New Roman" w:cs="Times New Roman"/>
          <w:sz w:val="24"/>
          <w:szCs w:val="24"/>
          <w:lang w:val="sr-Cyrl-CS"/>
        </w:rPr>
        <w:t xml:space="preserve"> 2018-2020. године</w:t>
      </w:r>
      <w:r w:rsidR="00285F85" w:rsidRPr="00B27245">
        <w:rPr>
          <w:rFonts w:ascii="Times New Roman" w:hAnsi="Times New Roman" w:cs="Times New Roman"/>
          <w:sz w:val="24"/>
          <w:szCs w:val="24"/>
          <w:lang w:val="sr-Cyrl-CS"/>
        </w:rPr>
        <w:t xml:space="preserve"> (у даљем тексту: Акциони план),</w:t>
      </w:r>
      <w:r w:rsidR="008A4A72" w:rsidRPr="00B27245">
        <w:rPr>
          <w:rFonts w:ascii="Times New Roman" w:hAnsi="Times New Roman" w:cs="Times New Roman"/>
          <w:sz w:val="24"/>
          <w:szCs w:val="24"/>
          <w:lang w:val="sr-Cyrl-CS"/>
        </w:rPr>
        <w:t xml:space="preserve"> који је</w:t>
      </w:r>
      <w:r w:rsidR="008428A3" w:rsidRPr="00B27245">
        <w:rPr>
          <w:rFonts w:ascii="Times New Roman" w:hAnsi="Times New Roman" w:cs="Times New Roman"/>
          <w:sz w:val="24"/>
          <w:szCs w:val="24"/>
          <w:lang w:val="sr-Cyrl-CS"/>
        </w:rPr>
        <w:t xml:space="preserve"> саставни део</w:t>
      </w:r>
      <w:r w:rsidR="008A4A72" w:rsidRPr="00B27245">
        <w:rPr>
          <w:rFonts w:ascii="Times New Roman" w:hAnsi="Times New Roman" w:cs="Times New Roman"/>
          <w:sz w:val="24"/>
          <w:szCs w:val="24"/>
          <w:lang w:val="sr-Cyrl-CS"/>
        </w:rPr>
        <w:t xml:space="preserve"> Програма</w:t>
      </w:r>
      <w:r w:rsidR="008428A3" w:rsidRPr="00B27245">
        <w:rPr>
          <w:rFonts w:ascii="Times New Roman" w:hAnsi="Times New Roman" w:cs="Times New Roman"/>
          <w:sz w:val="24"/>
          <w:szCs w:val="24"/>
          <w:lang w:val="sr-Cyrl-CS"/>
        </w:rPr>
        <w:t>,</w:t>
      </w:r>
      <w:r w:rsidRPr="00B27245">
        <w:rPr>
          <w:rFonts w:ascii="Times New Roman" w:hAnsi="Times New Roman" w:cs="Times New Roman"/>
          <w:sz w:val="24"/>
          <w:szCs w:val="24"/>
          <w:lang w:val="sr-Cyrl-CS"/>
        </w:rPr>
        <w:t xml:space="preserve"> је уклањање препрека идентификованих у систему које спречавају правовремено решавање проблематичних </w:t>
      </w:r>
      <w:r w:rsidR="00BA0A8F" w:rsidRPr="00B27245">
        <w:rPr>
          <w:rFonts w:ascii="Times New Roman" w:hAnsi="Times New Roman" w:cs="Times New Roman"/>
          <w:sz w:val="24"/>
          <w:szCs w:val="24"/>
          <w:lang w:val="sr-Cyrl-CS"/>
        </w:rPr>
        <w:t>потраживања</w:t>
      </w:r>
      <w:r w:rsidRPr="00B27245">
        <w:rPr>
          <w:rFonts w:ascii="Times New Roman" w:hAnsi="Times New Roman" w:cs="Times New Roman"/>
          <w:sz w:val="24"/>
          <w:szCs w:val="24"/>
          <w:lang w:val="sr-Cyrl-CS"/>
        </w:rPr>
        <w:t xml:space="preserve"> и успостављање система који ће спречити акумулацију проблематичних кредита </w:t>
      </w:r>
      <w:r w:rsidR="00BA0A8F" w:rsidRPr="00B27245">
        <w:rPr>
          <w:rFonts w:ascii="Times New Roman" w:hAnsi="Times New Roman" w:cs="Times New Roman"/>
          <w:sz w:val="24"/>
          <w:szCs w:val="24"/>
          <w:lang w:val="sr-Cyrl-CS"/>
        </w:rPr>
        <w:t>и појаву</w:t>
      </w:r>
      <w:r w:rsidRPr="00B27245">
        <w:rPr>
          <w:rFonts w:ascii="Times New Roman" w:hAnsi="Times New Roman" w:cs="Times New Roman"/>
          <w:sz w:val="24"/>
          <w:szCs w:val="24"/>
          <w:lang w:val="sr-Cyrl-CS"/>
        </w:rPr>
        <w:t xml:space="preserve"> негативн</w:t>
      </w:r>
      <w:r w:rsidR="00BA0A8F" w:rsidRPr="00B27245">
        <w:rPr>
          <w:rFonts w:ascii="Times New Roman" w:hAnsi="Times New Roman" w:cs="Times New Roman"/>
          <w:sz w:val="24"/>
          <w:szCs w:val="24"/>
          <w:lang w:val="sr-Cyrl-CS"/>
        </w:rPr>
        <w:t>их</w:t>
      </w:r>
      <w:r w:rsidRPr="00B27245">
        <w:rPr>
          <w:rFonts w:ascii="Times New Roman" w:hAnsi="Times New Roman" w:cs="Times New Roman"/>
          <w:sz w:val="24"/>
          <w:szCs w:val="24"/>
          <w:lang w:val="sr-Cyrl-CS"/>
        </w:rPr>
        <w:t xml:space="preserve"> ефек</w:t>
      </w:r>
      <w:r w:rsidR="00BA0A8F" w:rsidRPr="00B27245">
        <w:rPr>
          <w:rFonts w:ascii="Times New Roman" w:hAnsi="Times New Roman" w:cs="Times New Roman"/>
          <w:sz w:val="24"/>
          <w:szCs w:val="24"/>
          <w:lang w:val="sr-Cyrl-CS"/>
        </w:rPr>
        <w:t>а</w:t>
      </w:r>
      <w:r w:rsidRPr="00B27245">
        <w:rPr>
          <w:rFonts w:ascii="Times New Roman" w:hAnsi="Times New Roman" w:cs="Times New Roman"/>
          <w:sz w:val="24"/>
          <w:szCs w:val="24"/>
          <w:lang w:val="sr-Cyrl-CS"/>
        </w:rPr>
        <w:t>т</w:t>
      </w:r>
      <w:r w:rsidR="00BA0A8F" w:rsidRPr="00B27245">
        <w:rPr>
          <w:rFonts w:ascii="Times New Roman" w:hAnsi="Times New Roman" w:cs="Times New Roman"/>
          <w:sz w:val="24"/>
          <w:szCs w:val="24"/>
          <w:lang w:val="sr-Cyrl-CS"/>
        </w:rPr>
        <w:t>а</w:t>
      </w:r>
      <w:r w:rsidRPr="00B27245">
        <w:rPr>
          <w:rFonts w:ascii="Times New Roman" w:hAnsi="Times New Roman" w:cs="Times New Roman"/>
          <w:sz w:val="24"/>
          <w:szCs w:val="24"/>
          <w:lang w:val="sr-Cyrl-CS"/>
        </w:rPr>
        <w:t xml:space="preserve"> на кредитну активност угрожавајући потенцијални економски раст. </w:t>
      </w:r>
    </w:p>
    <w:p w14:paraId="6DB0C843" w14:textId="76E4E13C" w:rsidR="00443A10" w:rsidRPr="00B27245" w:rsidRDefault="004249AE" w:rsidP="004375AC">
      <w:pPr>
        <w:pStyle w:val="Heading1"/>
        <w:jc w:val="center"/>
        <w:rPr>
          <w:rFonts w:ascii="Times New Roman" w:eastAsiaTheme="minorHAnsi" w:hAnsi="Times New Roman" w:cs="Times New Roman"/>
          <w:color w:val="auto"/>
          <w:sz w:val="24"/>
          <w:szCs w:val="24"/>
          <w:lang w:val="sr-Cyrl-CS"/>
        </w:rPr>
      </w:pPr>
      <w:r w:rsidRPr="00B27245">
        <w:rPr>
          <w:rFonts w:ascii="Times New Roman" w:eastAsiaTheme="minorHAnsi" w:hAnsi="Times New Roman" w:cs="Times New Roman"/>
          <w:color w:val="auto"/>
          <w:sz w:val="24"/>
          <w:szCs w:val="24"/>
          <w:lang w:val="sr-Cyrl-CS"/>
        </w:rPr>
        <w:t>2.2. Кључни приоритети</w:t>
      </w:r>
    </w:p>
    <w:p w14:paraId="31FF9F83" w14:textId="61BDD6D4" w:rsidR="005E528F" w:rsidRPr="00B27245" w:rsidRDefault="004249AE" w:rsidP="00285F85">
      <w:pPr>
        <w:pStyle w:val="Heading1"/>
        <w:ind w:firstLine="720"/>
        <w:jc w:val="both"/>
        <w:rPr>
          <w:rFonts w:ascii="Times New Roman" w:eastAsiaTheme="minorHAnsi" w:hAnsi="Times New Roman" w:cs="Times New Roman"/>
          <w:color w:val="auto"/>
          <w:sz w:val="24"/>
          <w:szCs w:val="24"/>
          <w:lang w:val="sr-Cyrl-CS"/>
        </w:rPr>
      </w:pPr>
      <w:r w:rsidRPr="00B27245">
        <w:rPr>
          <w:rFonts w:ascii="Times New Roman" w:eastAsiaTheme="minorHAnsi" w:hAnsi="Times New Roman" w:cs="Times New Roman"/>
          <w:color w:val="auto"/>
          <w:sz w:val="24"/>
          <w:szCs w:val="24"/>
          <w:lang w:val="sr-Cyrl-CS"/>
        </w:rPr>
        <w:t xml:space="preserve">Како би се остварио основни циљ, идентификовано је неколико кључних области у оквиру којих је потребно унапредити (1) регулаторни оквир, (2) изградњу капацитета и/или (3) примену прописа: </w:t>
      </w:r>
      <w:r w:rsidR="00285F85" w:rsidRPr="00B27245">
        <w:rPr>
          <w:rFonts w:ascii="Times New Roman" w:eastAsiaTheme="minorHAnsi" w:hAnsi="Times New Roman" w:cs="Times New Roman"/>
          <w:color w:val="auto"/>
          <w:sz w:val="24"/>
          <w:szCs w:val="24"/>
          <w:lang w:val="sr-Cyrl-CS"/>
        </w:rPr>
        <w:t xml:space="preserve"> </w:t>
      </w:r>
    </w:p>
    <w:p w14:paraId="36973118" w14:textId="4DAB3985" w:rsidR="00B67FA8" w:rsidRPr="00B27245" w:rsidRDefault="008A4A72" w:rsidP="00285F85">
      <w:pPr>
        <w:pStyle w:val="Heading2"/>
        <w:ind w:firstLine="710"/>
        <w:rPr>
          <w:b w:val="0"/>
          <w:lang w:val="sr-Cyrl-CS"/>
        </w:rPr>
      </w:pPr>
      <w:r w:rsidRPr="00B27245">
        <w:rPr>
          <w:b w:val="0"/>
          <w:lang w:val="sr-Cyrl-CS"/>
        </w:rPr>
        <w:t xml:space="preserve">- </w:t>
      </w:r>
      <w:r w:rsidR="00B67FA8" w:rsidRPr="00B27245">
        <w:rPr>
          <w:b w:val="0"/>
          <w:lang w:val="sr-Cyrl-CS"/>
        </w:rPr>
        <w:t>решавање проблематичних потраживања државних финансијских поверилаца,</w:t>
      </w:r>
    </w:p>
    <w:p w14:paraId="61432AA7" w14:textId="230DDC53" w:rsidR="00B67FA8" w:rsidRPr="00B27245" w:rsidRDefault="008A4A72" w:rsidP="00285F85">
      <w:pPr>
        <w:pStyle w:val="Heading2"/>
        <w:ind w:firstLine="710"/>
        <w:rPr>
          <w:b w:val="0"/>
          <w:lang w:val="sr-Cyrl-CS"/>
        </w:rPr>
      </w:pPr>
      <w:r w:rsidRPr="00B27245">
        <w:rPr>
          <w:b w:val="0"/>
          <w:lang w:val="sr-Cyrl-CS"/>
        </w:rPr>
        <w:t xml:space="preserve">- </w:t>
      </w:r>
      <w:r w:rsidR="00B67FA8" w:rsidRPr="00B27245">
        <w:rPr>
          <w:b w:val="0"/>
          <w:lang w:val="sr-Cyrl-CS"/>
        </w:rPr>
        <w:t>унапређење стечајног оквира,</w:t>
      </w:r>
    </w:p>
    <w:p w14:paraId="61819FA8" w14:textId="011F1986" w:rsidR="005E528F" w:rsidRPr="00B27245" w:rsidRDefault="008A4A72" w:rsidP="00285F85">
      <w:pPr>
        <w:pStyle w:val="Heading2"/>
        <w:ind w:firstLine="710"/>
        <w:rPr>
          <w:b w:val="0"/>
          <w:lang w:val="sr-Cyrl-CS"/>
        </w:rPr>
      </w:pPr>
      <w:r w:rsidRPr="00B27245">
        <w:rPr>
          <w:b w:val="0"/>
          <w:lang w:val="sr-Cyrl-CS"/>
        </w:rPr>
        <w:t xml:space="preserve">- </w:t>
      </w:r>
      <w:r w:rsidR="00B67FA8" w:rsidRPr="00B27245">
        <w:rPr>
          <w:b w:val="0"/>
          <w:lang w:val="sr-Cyrl-CS"/>
        </w:rPr>
        <w:t>активности усмерене ка превенцији проблематичних кредита.</w:t>
      </w:r>
    </w:p>
    <w:p w14:paraId="2122D9C9" w14:textId="2E3BF1F1" w:rsidR="00285F85" w:rsidRPr="00B27245" w:rsidRDefault="00285F85" w:rsidP="00285F85">
      <w:pPr>
        <w:rPr>
          <w:lang w:val="sr-Cyrl-CS" w:eastAsia="en-GB"/>
        </w:rPr>
      </w:pPr>
    </w:p>
    <w:p w14:paraId="4CBD727B" w14:textId="77777777" w:rsidR="00285F85" w:rsidRPr="00B27245" w:rsidRDefault="00285F85" w:rsidP="00285F85">
      <w:pPr>
        <w:rPr>
          <w:lang w:val="sr-Cyrl-CS" w:eastAsia="en-GB"/>
        </w:rPr>
      </w:pPr>
    </w:p>
    <w:p w14:paraId="44D6C8D2" w14:textId="63400B9D" w:rsidR="005E528F" w:rsidRPr="00B27245" w:rsidRDefault="00B67FA8" w:rsidP="004375AC">
      <w:pPr>
        <w:pStyle w:val="Heading1"/>
        <w:spacing w:before="0"/>
        <w:ind w:firstLine="720"/>
        <w:jc w:val="center"/>
        <w:rPr>
          <w:rFonts w:ascii="Times New Roman" w:eastAsiaTheme="minorHAnsi" w:hAnsi="Times New Roman" w:cs="Times New Roman"/>
          <w:color w:val="auto"/>
          <w:sz w:val="24"/>
          <w:szCs w:val="24"/>
          <w:lang w:val="sr-Cyrl-CS"/>
        </w:rPr>
      </w:pPr>
      <w:r w:rsidRPr="00B27245">
        <w:rPr>
          <w:rFonts w:ascii="Times New Roman" w:eastAsiaTheme="minorHAnsi" w:hAnsi="Times New Roman" w:cs="Times New Roman"/>
          <w:color w:val="auto"/>
          <w:sz w:val="24"/>
          <w:szCs w:val="24"/>
          <w:lang w:val="sr-Cyrl-CS"/>
        </w:rPr>
        <w:lastRenderedPageBreak/>
        <w:t xml:space="preserve">2.3. Решавање проблематичних потраживања државних финансијских </w:t>
      </w:r>
      <w:r w:rsidR="004375AC" w:rsidRPr="00B27245">
        <w:rPr>
          <w:rFonts w:ascii="Times New Roman" w:eastAsiaTheme="minorHAnsi" w:hAnsi="Times New Roman" w:cs="Times New Roman"/>
          <w:color w:val="auto"/>
          <w:sz w:val="24"/>
          <w:szCs w:val="24"/>
          <w:lang w:val="sr-Cyrl-CS"/>
        </w:rPr>
        <w:t xml:space="preserve">   </w:t>
      </w:r>
      <w:r w:rsidRPr="00B27245">
        <w:rPr>
          <w:rFonts w:ascii="Times New Roman" w:eastAsiaTheme="minorHAnsi" w:hAnsi="Times New Roman" w:cs="Times New Roman"/>
          <w:color w:val="auto"/>
          <w:sz w:val="24"/>
          <w:szCs w:val="24"/>
          <w:lang w:val="sr-Cyrl-CS"/>
        </w:rPr>
        <w:t>поверилаца</w:t>
      </w:r>
    </w:p>
    <w:p w14:paraId="7EE3037E" w14:textId="77777777" w:rsidR="005A67B4" w:rsidRPr="00B27245" w:rsidRDefault="005A67B4" w:rsidP="004375AC">
      <w:pPr>
        <w:spacing w:after="0" w:line="276" w:lineRule="auto"/>
        <w:jc w:val="both"/>
        <w:rPr>
          <w:rFonts w:ascii="Times New Roman" w:hAnsi="Times New Roman" w:cs="Times New Roman"/>
          <w:sz w:val="24"/>
          <w:szCs w:val="24"/>
          <w:lang w:val="sr-Cyrl-CS"/>
        </w:rPr>
      </w:pPr>
    </w:p>
    <w:p w14:paraId="6609E57E" w14:textId="5DB0256F" w:rsidR="005A67B4" w:rsidRPr="00B27245" w:rsidRDefault="002B7CA6" w:rsidP="004375AC">
      <w:pPr>
        <w:spacing w:after="0" w:line="276" w:lineRule="auto"/>
        <w:ind w:firstLine="720"/>
        <w:jc w:val="both"/>
        <w:rPr>
          <w:lang w:val="sr-Cyrl-CS"/>
        </w:rPr>
      </w:pPr>
      <w:r w:rsidRPr="00B27245">
        <w:rPr>
          <w:rFonts w:ascii="Times New Roman" w:hAnsi="Times New Roman" w:cs="Times New Roman"/>
          <w:sz w:val="24"/>
          <w:szCs w:val="24"/>
          <w:lang w:val="sr-Cyrl-CS"/>
        </w:rPr>
        <w:t>Државни финансијски повериоци (а пре све</w:t>
      </w:r>
      <w:r w:rsidR="004375AC" w:rsidRPr="00B27245">
        <w:rPr>
          <w:rFonts w:ascii="Times New Roman" w:hAnsi="Times New Roman" w:cs="Times New Roman"/>
          <w:sz w:val="24"/>
          <w:szCs w:val="24"/>
          <w:lang w:val="sr-Cyrl-CS"/>
        </w:rPr>
        <w:t>га АОД</w:t>
      </w:r>
      <w:r w:rsidRPr="00B27245">
        <w:rPr>
          <w:rFonts w:ascii="Times New Roman" w:hAnsi="Times New Roman" w:cs="Times New Roman"/>
          <w:sz w:val="24"/>
          <w:szCs w:val="24"/>
          <w:lang w:val="sr-Cyrl-CS"/>
        </w:rPr>
        <w:t>) нису успели да остваре значајно намирење потраживања из својих портфеља</w:t>
      </w:r>
      <w:r w:rsidR="005A67B4" w:rsidRPr="00B27245">
        <w:rPr>
          <w:rFonts w:ascii="Times New Roman" w:hAnsi="Times New Roman" w:cs="Times New Roman"/>
          <w:sz w:val="24"/>
          <w:szCs w:val="24"/>
          <w:lang w:val="sr-Cyrl-CS"/>
        </w:rPr>
        <w:t xml:space="preserve">, те је потребно спровести активности како би се ефикасније и делотворније управљало проблематичним пласманима и имовином и обезбедило адекватно намирење поверилаца. </w:t>
      </w:r>
      <w:r w:rsidR="008A4A72" w:rsidRPr="00B27245">
        <w:rPr>
          <w:rFonts w:ascii="Times New Roman" w:hAnsi="Times New Roman" w:cs="Times New Roman"/>
          <w:sz w:val="24"/>
          <w:szCs w:val="24"/>
          <w:lang w:val="sr-Cyrl-CS"/>
        </w:rPr>
        <w:t>АОД</w:t>
      </w:r>
      <w:r w:rsidR="001F6191" w:rsidRPr="00B27245">
        <w:rPr>
          <w:rFonts w:ascii="Times New Roman" w:hAnsi="Times New Roman" w:cs="Times New Roman"/>
          <w:sz w:val="24"/>
          <w:szCs w:val="24"/>
          <w:lang w:val="sr-Cyrl-CS"/>
        </w:rPr>
        <w:t xml:space="preserve"> између осталог, у оквиру свог мандата обавља функцију стечајног/ликвидационог управника у банкама, друштвима за осигурање и даваоцима лизинга, и спроводи наплату потраживања у име и за рачун Републике Србије. Нешто више од 55% укупних потраживања односи се на потраживања банака у стечају и ликвидацији, док се нешто мање од 45% односи на потраживања у име и за рачун државе.</w:t>
      </w:r>
      <w:r w:rsidR="00A25508" w:rsidRPr="00B27245">
        <w:rPr>
          <w:rFonts w:ascii="Times New Roman" w:hAnsi="Times New Roman" w:cs="Times New Roman"/>
          <w:sz w:val="24"/>
          <w:szCs w:val="24"/>
          <w:lang w:val="sr-Cyrl-CS"/>
        </w:rPr>
        <w:t xml:space="preserve"> Укупна номинална</w:t>
      </w:r>
      <w:r w:rsidR="008A4A72" w:rsidRPr="00B27245">
        <w:rPr>
          <w:rFonts w:ascii="Times New Roman" w:hAnsi="Times New Roman" w:cs="Times New Roman"/>
          <w:sz w:val="24"/>
          <w:szCs w:val="24"/>
          <w:lang w:val="sr-Cyrl-CS"/>
        </w:rPr>
        <w:t xml:space="preserve"> потраживања нешто су већа од 6,</w:t>
      </w:r>
      <w:r w:rsidR="00A25508" w:rsidRPr="00B27245">
        <w:rPr>
          <w:rFonts w:ascii="Times New Roman" w:hAnsi="Times New Roman" w:cs="Times New Roman"/>
          <w:sz w:val="24"/>
          <w:szCs w:val="24"/>
          <w:lang w:val="sr-Cyrl-CS"/>
        </w:rPr>
        <w:t>8 млрд евра.</w:t>
      </w:r>
    </w:p>
    <w:p w14:paraId="24B60232" w14:textId="7E7FEC90" w:rsidR="005E6049" w:rsidRPr="00B27245" w:rsidRDefault="00240478" w:rsidP="00D87FF7">
      <w:pPr>
        <w:spacing w:line="276"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Тренутно АОД </w:t>
      </w:r>
      <w:r w:rsidR="003753F0" w:rsidRPr="00B27245">
        <w:rPr>
          <w:rFonts w:ascii="Times New Roman" w:hAnsi="Times New Roman" w:cs="Times New Roman"/>
          <w:sz w:val="24"/>
          <w:szCs w:val="24"/>
          <w:lang w:val="sr-Cyrl-CS"/>
        </w:rPr>
        <w:t xml:space="preserve">спроводи 33 поступкa стечаја/ликвидације </w:t>
      </w:r>
      <w:r w:rsidR="005E6049" w:rsidRPr="00B27245">
        <w:rPr>
          <w:rFonts w:ascii="Times New Roman" w:hAnsi="Times New Roman" w:cs="Times New Roman"/>
          <w:sz w:val="24"/>
          <w:szCs w:val="24"/>
          <w:lang w:val="sr-Cyrl-CS"/>
        </w:rPr>
        <w:t>које обух</w:t>
      </w:r>
      <w:r w:rsidR="00D87FF7" w:rsidRPr="00B27245">
        <w:rPr>
          <w:rFonts w:ascii="Times New Roman" w:hAnsi="Times New Roman" w:cs="Times New Roman"/>
          <w:sz w:val="24"/>
          <w:szCs w:val="24"/>
          <w:lang w:val="sr-Cyrl-CS"/>
        </w:rPr>
        <w:t>ватају четири „велике”</w:t>
      </w:r>
      <w:r w:rsidR="005E6049" w:rsidRPr="00B27245">
        <w:rPr>
          <w:rFonts w:ascii="Times New Roman" w:hAnsi="Times New Roman" w:cs="Times New Roman"/>
          <w:sz w:val="24"/>
          <w:szCs w:val="24"/>
          <w:lang w:val="sr-Cyrl-CS"/>
        </w:rPr>
        <w:t xml:space="preserve"> банке чији је </w:t>
      </w:r>
      <w:r w:rsidR="00D87FF7" w:rsidRPr="00B27245">
        <w:rPr>
          <w:rFonts w:ascii="Times New Roman" w:hAnsi="Times New Roman" w:cs="Times New Roman"/>
          <w:sz w:val="24"/>
          <w:szCs w:val="24"/>
          <w:lang w:val="sr-Cyrl-CS"/>
        </w:rPr>
        <w:t>стечај започет 2002. године, осам</w:t>
      </w:r>
      <w:r w:rsidR="005E6049" w:rsidRPr="00B27245">
        <w:rPr>
          <w:rFonts w:ascii="Times New Roman" w:hAnsi="Times New Roman" w:cs="Times New Roman"/>
          <w:sz w:val="24"/>
          <w:szCs w:val="24"/>
          <w:lang w:val="sr-Cyrl-CS"/>
        </w:rPr>
        <w:t xml:space="preserve"> стечајева банака покренутих у периоду </w:t>
      </w:r>
      <w:r w:rsidR="00D87FF7" w:rsidRPr="00B27245">
        <w:rPr>
          <w:rFonts w:ascii="Times New Roman" w:hAnsi="Times New Roman" w:cs="Times New Roman"/>
          <w:sz w:val="24"/>
          <w:szCs w:val="24"/>
          <w:lang w:val="sr-Cyrl-CS"/>
        </w:rPr>
        <w:t>од 2004. до 2012. године, „нове”</w:t>
      </w:r>
      <w:r w:rsidR="005E6049" w:rsidRPr="00B27245">
        <w:rPr>
          <w:rFonts w:ascii="Times New Roman" w:hAnsi="Times New Roman" w:cs="Times New Roman"/>
          <w:sz w:val="24"/>
          <w:szCs w:val="24"/>
          <w:lang w:val="sr-Cyrl-CS"/>
        </w:rPr>
        <w:t xml:space="preserve"> стечајеве покренуте у периоду од 2012</w:t>
      </w:r>
      <w:r w:rsidR="00D87FF7" w:rsidRPr="00B27245">
        <w:rPr>
          <w:rFonts w:ascii="Times New Roman" w:hAnsi="Times New Roman" w:cs="Times New Roman"/>
          <w:sz w:val="24"/>
          <w:szCs w:val="24"/>
          <w:lang w:val="sr-Cyrl-CS"/>
        </w:rPr>
        <w:t>.</w:t>
      </w:r>
      <w:r w:rsidR="005E6049" w:rsidRPr="00B27245">
        <w:rPr>
          <w:rFonts w:ascii="Times New Roman" w:hAnsi="Times New Roman" w:cs="Times New Roman"/>
          <w:sz w:val="24"/>
          <w:szCs w:val="24"/>
          <w:lang w:val="sr-Cyrl-CS"/>
        </w:rPr>
        <w:t xml:space="preserve"> до 2014. године (Пољ</w:t>
      </w:r>
      <w:r w:rsidR="00D87FF7" w:rsidRPr="00B27245">
        <w:rPr>
          <w:rFonts w:ascii="Times New Roman" w:hAnsi="Times New Roman" w:cs="Times New Roman"/>
          <w:sz w:val="24"/>
          <w:szCs w:val="24"/>
          <w:lang w:val="sr-Cyrl-CS"/>
        </w:rPr>
        <w:t>опривредна банка Агробанка а.д, Нова Агробанка а.д,</w:t>
      </w:r>
      <w:r w:rsidR="005E6049" w:rsidRPr="00B27245">
        <w:rPr>
          <w:rFonts w:ascii="Times New Roman" w:hAnsi="Times New Roman" w:cs="Times New Roman"/>
          <w:sz w:val="24"/>
          <w:szCs w:val="24"/>
          <w:lang w:val="sr-Cyrl-CS"/>
        </w:rPr>
        <w:t xml:space="preserve"> Разво</w:t>
      </w:r>
      <w:r w:rsidR="00D87FF7" w:rsidRPr="00B27245">
        <w:rPr>
          <w:rFonts w:ascii="Times New Roman" w:hAnsi="Times New Roman" w:cs="Times New Roman"/>
          <w:sz w:val="24"/>
          <w:szCs w:val="24"/>
          <w:lang w:val="sr-Cyrl-CS"/>
        </w:rPr>
        <w:t>јна банка Војводине а.д,</w:t>
      </w:r>
      <w:r w:rsidR="005E6049" w:rsidRPr="00B27245">
        <w:rPr>
          <w:rFonts w:ascii="Times New Roman" w:hAnsi="Times New Roman" w:cs="Times New Roman"/>
          <w:sz w:val="24"/>
          <w:szCs w:val="24"/>
          <w:lang w:val="sr-Cyrl-CS"/>
        </w:rPr>
        <w:t xml:space="preserve"> Привредна банка Београд а.д.</w:t>
      </w:r>
      <w:r w:rsidR="00D87FF7" w:rsidRPr="00B27245">
        <w:rPr>
          <w:rFonts w:ascii="Times New Roman" w:hAnsi="Times New Roman" w:cs="Times New Roman"/>
          <w:sz w:val="24"/>
          <w:szCs w:val="24"/>
          <w:lang w:val="sr-Cyrl-CS"/>
        </w:rPr>
        <w:t xml:space="preserve"> </w:t>
      </w:r>
      <w:r w:rsidR="005E6049" w:rsidRPr="00B27245">
        <w:rPr>
          <w:rFonts w:ascii="Times New Roman" w:hAnsi="Times New Roman" w:cs="Times New Roman"/>
          <w:sz w:val="24"/>
          <w:szCs w:val="24"/>
          <w:lang w:val="sr-Cyrl-CS"/>
        </w:rPr>
        <w:t>и Универзал банка а.д.). Поред наведених АОД спроводи стечај и у три осигуравајућа друштва, јед</w:t>
      </w:r>
      <w:r w:rsidR="00D87FF7" w:rsidRPr="00B27245">
        <w:rPr>
          <w:rFonts w:ascii="Times New Roman" w:hAnsi="Times New Roman" w:cs="Times New Roman"/>
          <w:sz w:val="24"/>
          <w:szCs w:val="24"/>
          <w:lang w:val="sr-Cyrl-CS"/>
        </w:rPr>
        <w:t>ној штедно кредитној задрузи и осам</w:t>
      </w:r>
      <w:r w:rsidR="005E6049" w:rsidRPr="00B27245">
        <w:rPr>
          <w:rFonts w:ascii="Times New Roman" w:hAnsi="Times New Roman" w:cs="Times New Roman"/>
          <w:sz w:val="24"/>
          <w:szCs w:val="24"/>
          <w:lang w:val="sr-Cyrl-CS"/>
        </w:rPr>
        <w:t xml:space="preserve"> банака које су у надлежности АОД од 2015. године, као и ликвидационе поступке у мањем броју друштава. Укупна стечајна маса свих стечајних/ли</w:t>
      </w:r>
      <w:r w:rsidR="00D87FF7" w:rsidRPr="00B27245">
        <w:rPr>
          <w:rFonts w:ascii="Times New Roman" w:hAnsi="Times New Roman" w:cs="Times New Roman"/>
          <w:sz w:val="24"/>
          <w:szCs w:val="24"/>
          <w:lang w:val="sr-Cyrl-CS"/>
        </w:rPr>
        <w:t xml:space="preserve">квидационих дужника на дан 30. јуна </w:t>
      </w:r>
      <w:r w:rsidR="005E6049" w:rsidRPr="00B27245">
        <w:rPr>
          <w:rFonts w:ascii="Times New Roman" w:hAnsi="Times New Roman" w:cs="Times New Roman"/>
          <w:sz w:val="24"/>
          <w:szCs w:val="24"/>
          <w:lang w:val="sr-Cyrl-CS"/>
        </w:rPr>
        <w:t xml:space="preserve">2018. године износи 4.114,18 милиона евра, док су укупна потраживања свих финансијских институција у </w:t>
      </w:r>
      <w:r w:rsidR="00D87FF7" w:rsidRPr="00B27245">
        <w:rPr>
          <w:rFonts w:ascii="Times New Roman" w:hAnsi="Times New Roman" w:cs="Times New Roman"/>
          <w:sz w:val="24"/>
          <w:szCs w:val="24"/>
          <w:lang w:val="sr-Cyrl-CS"/>
        </w:rPr>
        <w:t xml:space="preserve">стечају/ликвидацији на дан 30. јуна </w:t>
      </w:r>
      <w:r w:rsidR="005E6049" w:rsidRPr="00B27245">
        <w:rPr>
          <w:rFonts w:ascii="Times New Roman" w:hAnsi="Times New Roman" w:cs="Times New Roman"/>
          <w:sz w:val="24"/>
          <w:szCs w:val="24"/>
          <w:lang w:val="sr-Cyrl-CS"/>
        </w:rPr>
        <w:t>2018. године износила 3.727,94 милиона евра.</w:t>
      </w:r>
      <w:r w:rsidR="00D87FF7" w:rsidRPr="00B27245">
        <w:rPr>
          <w:rFonts w:ascii="Times New Roman" w:hAnsi="Times New Roman" w:cs="Times New Roman"/>
          <w:sz w:val="24"/>
          <w:szCs w:val="24"/>
          <w:lang w:val="sr-Cyrl-CS"/>
        </w:rPr>
        <w:t xml:space="preserve"> </w:t>
      </w:r>
    </w:p>
    <w:p w14:paraId="757EEF75" w14:textId="560B2188" w:rsidR="00296FCF" w:rsidRPr="00B27245" w:rsidRDefault="00296FCF" w:rsidP="005E2111">
      <w:pPr>
        <w:spacing w:line="276" w:lineRule="auto"/>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Табела </w:t>
      </w:r>
      <w:r w:rsidRPr="00B27245">
        <w:rPr>
          <w:rFonts w:ascii="Times New Roman" w:hAnsi="Times New Roman" w:cs="Times New Roman"/>
          <w:i/>
          <w:sz w:val="24"/>
          <w:szCs w:val="24"/>
          <w:lang w:val="sr-Cyrl-CS"/>
        </w:rPr>
        <w:fldChar w:fldCharType="begin"/>
      </w:r>
      <w:r w:rsidRPr="00B27245">
        <w:rPr>
          <w:rFonts w:ascii="Times New Roman" w:hAnsi="Times New Roman" w:cs="Times New Roman"/>
          <w:sz w:val="24"/>
          <w:szCs w:val="24"/>
          <w:lang w:val="sr-Cyrl-CS"/>
        </w:rPr>
        <w:instrText xml:space="preserve"> SEQ Табела \* ARABIC </w:instrText>
      </w:r>
      <w:r w:rsidRPr="00B27245">
        <w:rPr>
          <w:rFonts w:ascii="Times New Roman" w:hAnsi="Times New Roman" w:cs="Times New Roman"/>
          <w:i/>
          <w:sz w:val="24"/>
          <w:szCs w:val="24"/>
          <w:lang w:val="sr-Cyrl-CS"/>
        </w:rPr>
        <w:fldChar w:fldCharType="separate"/>
      </w:r>
      <w:r w:rsidR="00971B83">
        <w:rPr>
          <w:rFonts w:ascii="Times New Roman" w:hAnsi="Times New Roman" w:cs="Times New Roman"/>
          <w:noProof/>
          <w:sz w:val="24"/>
          <w:szCs w:val="24"/>
          <w:lang w:val="sr-Cyrl-CS"/>
        </w:rPr>
        <w:t>2</w:t>
      </w:r>
      <w:r w:rsidRPr="00B27245">
        <w:rPr>
          <w:rFonts w:ascii="Times New Roman" w:hAnsi="Times New Roman" w:cs="Times New Roman"/>
          <w:i/>
          <w:sz w:val="24"/>
          <w:szCs w:val="24"/>
          <w:lang w:val="sr-Cyrl-CS"/>
        </w:rPr>
        <w:fldChar w:fldCharType="end"/>
      </w:r>
      <w:r w:rsidRPr="00B27245">
        <w:rPr>
          <w:rFonts w:ascii="Times New Roman" w:hAnsi="Times New Roman" w:cs="Times New Roman"/>
          <w:sz w:val="24"/>
          <w:szCs w:val="24"/>
          <w:lang w:val="sr-Cyrl-CS"/>
        </w:rPr>
        <w:t>:</w:t>
      </w:r>
      <w:r w:rsidR="008A4A72" w:rsidRPr="00B27245">
        <w:rPr>
          <w:rFonts w:ascii="Times New Roman" w:hAnsi="Times New Roman" w:cs="Times New Roman"/>
          <w:sz w:val="24"/>
          <w:szCs w:val="24"/>
          <w:lang w:val="sr-Cyrl-CS"/>
        </w:rPr>
        <w:t xml:space="preserve"> </w:t>
      </w:r>
      <w:r w:rsidR="00A25508" w:rsidRPr="00B27245">
        <w:rPr>
          <w:rFonts w:ascii="Times New Roman" w:hAnsi="Times New Roman" w:cs="Times New Roman"/>
          <w:sz w:val="24"/>
          <w:szCs w:val="24"/>
          <w:lang w:val="sr-Cyrl-CS"/>
        </w:rPr>
        <w:t>Струк</w:t>
      </w:r>
      <w:r w:rsidR="00B27245">
        <w:rPr>
          <w:rFonts w:ascii="Times New Roman" w:hAnsi="Times New Roman" w:cs="Times New Roman"/>
          <w:sz w:val="24"/>
          <w:szCs w:val="24"/>
          <w:lang w:val="sr-Cyrl-CS"/>
        </w:rPr>
        <w:t>т</w:t>
      </w:r>
      <w:r w:rsidR="00A25508" w:rsidRPr="00B27245">
        <w:rPr>
          <w:rFonts w:ascii="Times New Roman" w:hAnsi="Times New Roman" w:cs="Times New Roman"/>
          <w:sz w:val="24"/>
          <w:szCs w:val="24"/>
          <w:lang w:val="sr-Cyrl-CS"/>
        </w:rPr>
        <w:t>ура укупних потраживања банака и других финансијских институција у стечају</w:t>
      </w:r>
    </w:p>
    <w:tbl>
      <w:tblPr>
        <w:tblStyle w:val="PlainTable51"/>
        <w:tblW w:w="9180" w:type="dxa"/>
        <w:tblLook w:val="0420" w:firstRow="1" w:lastRow="0" w:firstColumn="0" w:lastColumn="0" w:noHBand="0" w:noVBand="1"/>
      </w:tblPr>
      <w:tblGrid>
        <w:gridCol w:w="4341"/>
        <w:gridCol w:w="2747"/>
        <w:gridCol w:w="2092"/>
      </w:tblGrid>
      <w:tr w:rsidR="002B7CA6" w:rsidRPr="00B27245" w14:paraId="0492FD4D" w14:textId="77777777" w:rsidTr="005E2111">
        <w:trPr>
          <w:cnfStyle w:val="100000000000" w:firstRow="1" w:lastRow="0" w:firstColumn="0" w:lastColumn="0" w:oddVBand="0" w:evenVBand="0" w:oddHBand="0" w:evenHBand="0" w:firstRowFirstColumn="0" w:firstRowLastColumn="0" w:lastRowFirstColumn="0" w:lastRowLastColumn="0"/>
          <w:trHeight w:val="565"/>
        </w:trPr>
        <w:tc>
          <w:tcPr>
            <w:tcW w:w="4341" w:type="dxa"/>
            <w:hideMark/>
          </w:tcPr>
          <w:p w14:paraId="21B55DA8" w14:textId="77777777" w:rsidR="002B7CA6" w:rsidRPr="00B27245" w:rsidRDefault="002B7CA6" w:rsidP="002B7CA6">
            <w:pPr>
              <w:tabs>
                <w:tab w:val="num" w:pos="720"/>
              </w:tabs>
              <w:spacing w:line="276" w:lineRule="auto"/>
              <w:jc w:val="both"/>
              <w:rPr>
                <w:rFonts w:ascii="Times New Roman" w:hAnsi="Times New Roman" w:cs="Times New Roman"/>
                <w:i w:val="0"/>
                <w:sz w:val="20"/>
                <w:szCs w:val="20"/>
                <w:lang w:val="sr-Cyrl-CS"/>
              </w:rPr>
            </w:pPr>
            <w:r w:rsidRPr="00B27245">
              <w:rPr>
                <w:rFonts w:ascii="Times New Roman" w:hAnsi="Times New Roman"/>
                <w:sz w:val="20"/>
                <w:lang w:val="sr-Cyrl-CS"/>
              </w:rPr>
              <w:t>Финансијске институције у стечају/ликвидацији</w:t>
            </w:r>
          </w:p>
        </w:tc>
        <w:tc>
          <w:tcPr>
            <w:tcW w:w="2747" w:type="dxa"/>
            <w:hideMark/>
          </w:tcPr>
          <w:p w14:paraId="45D6BD23" w14:textId="77777777" w:rsidR="002B7CA6" w:rsidRPr="00B27245" w:rsidRDefault="002B7CA6" w:rsidP="002B7CA6">
            <w:pPr>
              <w:tabs>
                <w:tab w:val="num" w:pos="720"/>
              </w:tabs>
              <w:spacing w:line="276" w:lineRule="auto"/>
              <w:jc w:val="center"/>
              <w:rPr>
                <w:rFonts w:ascii="Times New Roman" w:hAnsi="Times New Roman" w:cs="Times New Roman"/>
                <w:i w:val="0"/>
                <w:sz w:val="20"/>
                <w:szCs w:val="20"/>
                <w:lang w:val="sr-Cyrl-CS"/>
              </w:rPr>
            </w:pPr>
            <w:r w:rsidRPr="00B27245">
              <w:rPr>
                <w:rFonts w:ascii="Times New Roman" w:hAnsi="Times New Roman"/>
                <w:sz w:val="20"/>
                <w:lang w:val="sr-Cyrl-CS"/>
              </w:rPr>
              <w:t>Потраживања од дужника у милионима евра</w:t>
            </w:r>
            <w:r w:rsidR="00296FCF" w:rsidRPr="00B27245">
              <w:rPr>
                <w:rFonts w:ascii="Times New Roman" w:hAnsi="Times New Roman"/>
                <w:sz w:val="20"/>
                <w:lang w:val="sr-Cyrl-CS"/>
              </w:rPr>
              <w:t xml:space="preserve"> (номинална вредност)</w:t>
            </w:r>
          </w:p>
        </w:tc>
        <w:tc>
          <w:tcPr>
            <w:tcW w:w="2092" w:type="dxa"/>
            <w:hideMark/>
          </w:tcPr>
          <w:p w14:paraId="5A22D004" w14:textId="77777777" w:rsidR="002B7CA6" w:rsidRPr="00B27245" w:rsidRDefault="002B7CA6" w:rsidP="002B7CA6">
            <w:pPr>
              <w:tabs>
                <w:tab w:val="num" w:pos="720"/>
              </w:tabs>
              <w:spacing w:line="276" w:lineRule="auto"/>
              <w:jc w:val="center"/>
              <w:rPr>
                <w:rFonts w:ascii="Times New Roman" w:hAnsi="Times New Roman" w:cs="Times New Roman"/>
                <w:i w:val="0"/>
                <w:sz w:val="20"/>
                <w:szCs w:val="20"/>
                <w:lang w:val="sr-Cyrl-CS"/>
              </w:rPr>
            </w:pPr>
            <w:r w:rsidRPr="00B27245">
              <w:rPr>
                <w:rFonts w:ascii="Times New Roman" w:hAnsi="Times New Roman"/>
                <w:sz w:val="20"/>
                <w:lang w:val="sr-Cyrl-CS"/>
              </w:rPr>
              <w:t>Учешће у укупним потраживањима</w:t>
            </w:r>
          </w:p>
        </w:tc>
      </w:tr>
      <w:tr w:rsidR="002B7CA6" w:rsidRPr="00B27245" w14:paraId="0749DE6A" w14:textId="77777777" w:rsidTr="005E2111">
        <w:trPr>
          <w:cnfStyle w:val="000000100000" w:firstRow="0" w:lastRow="0" w:firstColumn="0" w:lastColumn="0" w:oddVBand="0" w:evenVBand="0" w:oddHBand="1" w:evenHBand="0" w:firstRowFirstColumn="0" w:firstRowLastColumn="0" w:lastRowFirstColumn="0" w:lastRowLastColumn="0"/>
          <w:trHeight w:val="348"/>
        </w:trPr>
        <w:tc>
          <w:tcPr>
            <w:tcW w:w="4341" w:type="dxa"/>
            <w:hideMark/>
          </w:tcPr>
          <w:p w14:paraId="160C3044" w14:textId="77777777" w:rsidR="002B7CA6" w:rsidRPr="00B27245" w:rsidRDefault="002B7CA6" w:rsidP="002B7CA6">
            <w:pPr>
              <w:tabs>
                <w:tab w:val="num" w:pos="720"/>
              </w:tabs>
              <w:spacing w:line="276" w:lineRule="auto"/>
              <w:jc w:val="both"/>
              <w:rPr>
                <w:rFonts w:ascii="Times New Roman" w:hAnsi="Times New Roman" w:cs="Times New Roman"/>
                <w:sz w:val="20"/>
                <w:szCs w:val="20"/>
                <w:lang w:val="sr-Cyrl-CS"/>
              </w:rPr>
            </w:pPr>
            <w:r w:rsidRPr="00B27245">
              <w:rPr>
                <w:rFonts w:ascii="Times New Roman" w:hAnsi="Times New Roman" w:cs="Times New Roman"/>
                <w:sz w:val="20"/>
                <w:szCs w:val="20"/>
                <w:lang w:val="sr-Cyrl-CS"/>
              </w:rPr>
              <w:t>Стечајеви четири велике банке</w:t>
            </w:r>
          </w:p>
        </w:tc>
        <w:tc>
          <w:tcPr>
            <w:tcW w:w="2747" w:type="dxa"/>
            <w:hideMark/>
          </w:tcPr>
          <w:p w14:paraId="6CA46A81"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1.624,37</w:t>
            </w:r>
          </w:p>
        </w:tc>
        <w:tc>
          <w:tcPr>
            <w:tcW w:w="2092" w:type="dxa"/>
            <w:hideMark/>
          </w:tcPr>
          <w:p w14:paraId="7A96D3D7"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43,57%</w:t>
            </w:r>
          </w:p>
        </w:tc>
      </w:tr>
      <w:tr w:rsidR="002B7CA6" w:rsidRPr="00B27245" w14:paraId="799E9EF7" w14:textId="77777777" w:rsidTr="005E2111">
        <w:trPr>
          <w:trHeight w:val="348"/>
        </w:trPr>
        <w:tc>
          <w:tcPr>
            <w:tcW w:w="4341" w:type="dxa"/>
            <w:hideMark/>
          </w:tcPr>
          <w:p w14:paraId="37E62D00" w14:textId="77777777" w:rsidR="002B7CA6" w:rsidRPr="00B27245" w:rsidRDefault="002B7CA6" w:rsidP="002B7CA6">
            <w:pPr>
              <w:tabs>
                <w:tab w:val="num" w:pos="720"/>
              </w:tabs>
              <w:spacing w:line="276" w:lineRule="auto"/>
              <w:jc w:val="both"/>
              <w:rPr>
                <w:rFonts w:ascii="Times New Roman" w:hAnsi="Times New Roman" w:cs="Times New Roman"/>
                <w:sz w:val="20"/>
                <w:szCs w:val="20"/>
                <w:lang w:val="sr-Cyrl-CS"/>
              </w:rPr>
            </w:pPr>
            <w:r w:rsidRPr="00B27245">
              <w:rPr>
                <w:rFonts w:ascii="Times New Roman" w:hAnsi="Times New Roman" w:cs="Times New Roman"/>
                <w:sz w:val="20"/>
                <w:szCs w:val="20"/>
                <w:lang w:val="sr-Cyrl-CS"/>
              </w:rPr>
              <w:t>Остали стечајеви</w:t>
            </w:r>
          </w:p>
        </w:tc>
        <w:tc>
          <w:tcPr>
            <w:tcW w:w="2747" w:type="dxa"/>
            <w:hideMark/>
          </w:tcPr>
          <w:p w14:paraId="14591E16"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881,52</w:t>
            </w:r>
          </w:p>
        </w:tc>
        <w:tc>
          <w:tcPr>
            <w:tcW w:w="2092" w:type="dxa"/>
            <w:hideMark/>
          </w:tcPr>
          <w:p w14:paraId="39E3F79A"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23,65%</w:t>
            </w:r>
          </w:p>
        </w:tc>
      </w:tr>
      <w:tr w:rsidR="002B7CA6" w:rsidRPr="00B27245" w14:paraId="205D2E5A" w14:textId="77777777" w:rsidTr="005E2111">
        <w:trPr>
          <w:cnfStyle w:val="000000100000" w:firstRow="0" w:lastRow="0" w:firstColumn="0" w:lastColumn="0" w:oddVBand="0" w:evenVBand="0" w:oddHBand="1" w:evenHBand="0" w:firstRowFirstColumn="0" w:firstRowLastColumn="0" w:lastRowFirstColumn="0" w:lastRowLastColumn="0"/>
          <w:trHeight w:val="348"/>
        </w:trPr>
        <w:tc>
          <w:tcPr>
            <w:tcW w:w="4341" w:type="dxa"/>
            <w:hideMark/>
          </w:tcPr>
          <w:p w14:paraId="554569A2" w14:textId="77777777" w:rsidR="002B7CA6" w:rsidRPr="00B27245" w:rsidRDefault="002B7CA6" w:rsidP="002B7CA6">
            <w:pPr>
              <w:tabs>
                <w:tab w:val="num" w:pos="720"/>
              </w:tabs>
              <w:spacing w:line="276" w:lineRule="auto"/>
              <w:jc w:val="both"/>
              <w:rPr>
                <w:rFonts w:ascii="Times New Roman" w:hAnsi="Times New Roman" w:cs="Times New Roman"/>
                <w:sz w:val="20"/>
                <w:szCs w:val="20"/>
                <w:lang w:val="sr-Cyrl-CS"/>
              </w:rPr>
            </w:pPr>
            <w:r w:rsidRPr="00B27245">
              <w:rPr>
                <w:rFonts w:ascii="Times New Roman" w:hAnsi="Times New Roman" w:cs="Times New Roman"/>
                <w:sz w:val="20"/>
                <w:szCs w:val="20"/>
                <w:lang w:val="sr-Cyrl-CS"/>
              </w:rPr>
              <w:t>Нови стечајеви</w:t>
            </w:r>
          </w:p>
        </w:tc>
        <w:tc>
          <w:tcPr>
            <w:tcW w:w="2747" w:type="dxa"/>
            <w:hideMark/>
          </w:tcPr>
          <w:p w14:paraId="62F24816"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1.197,41</w:t>
            </w:r>
          </w:p>
        </w:tc>
        <w:tc>
          <w:tcPr>
            <w:tcW w:w="2092" w:type="dxa"/>
            <w:hideMark/>
          </w:tcPr>
          <w:p w14:paraId="03C464D7"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32,12%</w:t>
            </w:r>
          </w:p>
        </w:tc>
      </w:tr>
      <w:tr w:rsidR="002B7CA6" w:rsidRPr="00B27245" w14:paraId="51A8AB79" w14:textId="77777777" w:rsidTr="005E2111">
        <w:trPr>
          <w:trHeight w:val="333"/>
        </w:trPr>
        <w:tc>
          <w:tcPr>
            <w:tcW w:w="4341" w:type="dxa"/>
            <w:hideMark/>
          </w:tcPr>
          <w:p w14:paraId="31C7E68C" w14:textId="77777777" w:rsidR="002B7CA6" w:rsidRPr="00B27245" w:rsidRDefault="002B7CA6" w:rsidP="002B7CA6">
            <w:pPr>
              <w:tabs>
                <w:tab w:val="num" w:pos="720"/>
              </w:tabs>
              <w:spacing w:line="276" w:lineRule="auto"/>
              <w:jc w:val="both"/>
              <w:rPr>
                <w:rFonts w:ascii="Times New Roman" w:hAnsi="Times New Roman" w:cs="Times New Roman"/>
                <w:sz w:val="20"/>
                <w:szCs w:val="20"/>
                <w:lang w:val="sr-Cyrl-CS"/>
              </w:rPr>
            </w:pPr>
            <w:r w:rsidRPr="00B27245">
              <w:rPr>
                <w:rFonts w:ascii="Times New Roman" w:hAnsi="Times New Roman" w:cs="Times New Roman"/>
                <w:sz w:val="20"/>
                <w:szCs w:val="20"/>
                <w:lang w:val="sr-Cyrl-CS"/>
              </w:rPr>
              <w:t>Поступци у надлежности Агенције од 2015. године</w:t>
            </w:r>
          </w:p>
        </w:tc>
        <w:tc>
          <w:tcPr>
            <w:tcW w:w="2747" w:type="dxa"/>
            <w:hideMark/>
          </w:tcPr>
          <w:p w14:paraId="5CE45702"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3,44</w:t>
            </w:r>
          </w:p>
        </w:tc>
        <w:tc>
          <w:tcPr>
            <w:tcW w:w="2092" w:type="dxa"/>
            <w:hideMark/>
          </w:tcPr>
          <w:p w14:paraId="3EEAD2E0"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0,09%</w:t>
            </w:r>
          </w:p>
        </w:tc>
      </w:tr>
      <w:tr w:rsidR="002B7CA6" w:rsidRPr="00B27245" w14:paraId="38AC03A2" w14:textId="77777777" w:rsidTr="005E2111">
        <w:trPr>
          <w:cnfStyle w:val="000000100000" w:firstRow="0" w:lastRow="0" w:firstColumn="0" w:lastColumn="0" w:oddVBand="0" w:evenVBand="0" w:oddHBand="1" w:evenHBand="0" w:firstRowFirstColumn="0" w:firstRowLastColumn="0" w:lastRowFirstColumn="0" w:lastRowLastColumn="0"/>
          <w:trHeight w:val="233"/>
        </w:trPr>
        <w:tc>
          <w:tcPr>
            <w:tcW w:w="4341" w:type="dxa"/>
            <w:hideMark/>
          </w:tcPr>
          <w:p w14:paraId="4EC72177" w14:textId="77777777" w:rsidR="002B7CA6" w:rsidRPr="00B27245" w:rsidRDefault="002B7CA6" w:rsidP="002B7CA6">
            <w:pPr>
              <w:tabs>
                <w:tab w:val="num" w:pos="720"/>
              </w:tabs>
              <w:spacing w:line="276" w:lineRule="auto"/>
              <w:jc w:val="both"/>
              <w:rPr>
                <w:rFonts w:ascii="Times New Roman" w:hAnsi="Times New Roman" w:cs="Times New Roman"/>
                <w:sz w:val="20"/>
                <w:szCs w:val="20"/>
                <w:lang w:val="sr-Cyrl-CS"/>
              </w:rPr>
            </w:pPr>
            <w:r w:rsidRPr="00B27245">
              <w:rPr>
                <w:rFonts w:ascii="Times New Roman" w:hAnsi="Times New Roman" w:cs="Times New Roman"/>
                <w:sz w:val="20"/>
                <w:szCs w:val="20"/>
                <w:lang w:val="sr-Cyrl-CS"/>
              </w:rPr>
              <w:t>Осигуравајућа друштва</w:t>
            </w:r>
          </w:p>
        </w:tc>
        <w:tc>
          <w:tcPr>
            <w:tcW w:w="2747" w:type="dxa"/>
            <w:hideMark/>
          </w:tcPr>
          <w:p w14:paraId="485BAA45"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17,42</w:t>
            </w:r>
          </w:p>
        </w:tc>
        <w:tc>
          <w:tcPr>
            <w:tcW w:w="2092" w:type="dxa"/>
            <w:hideMark/>
          </w:tcPr>
          <w:p w14:paraId="7FA00350"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0,47%</w:t>
            </w:r>
          </w:p>
        </w:tc>
      </w:tr>
      <w:tr w:rsidR="002B7CA6" w:rsidRPr="00B27245" w14:paraId="6F49C27F" w14:textId="77777777" w:rsidTr="005E2111">
        <w:trPr>
          <w:trHeight w:val="348"/>
        </w:trPr>
        <w:tc>
          <w:tcPr>
            <w:tcW w:w="4341" w:type="dxa"/>
            <w:hideMark/>
          </w:tcPr>
          <w:p w14:paraId="3A142329" w14:textId="77777777" w:rsidR="002B7CA6" w:rsidRPr="00B27245" w:rsidRDefault="002B7CA6" w:rsidP="002B7CA6">
            <w:pPr>
              <w:tabs>
                <w:tab w:val="num" w:pos="720"/>
              </w:tabs>
              <w:spacing w:line="276" w:lineRule="auto"/>
              <w:jc w:val="both"/>
              <w:rPr>
                <w:rFonts w:ascii="Times New Roman" w:hAnsi="Times New Roman" w:cs="Times New Roman"/>
                <w:sz w:val="20"/>
                <w:szCs w:val="20"/>
                <w:lang w:val="sr-Cyrl-CS"/>
              </w:rPr>
            </w:pPr>
            <w:r w:rsidRPr="00B27245">
              <w:rPr>
                <w:rFonts w:ascii="Times New Roman" w:hAnsi="Times New Roman" w:cs="Times New Roman"/>
                <w:sz w:val="20"/>
                <w:szCs w:val="20"/>
                <w:lang w:val="sr-Cyrl-CS"/>
              </w:rPr>
              <w:t>Стечајне/ликвидационе масе</w:t>
            </w:r>
          </w:p>
        </w:tc>
        <w:tc>
          <w:tcPr>
            <w:tcW w:w="2747" w:type="dxa"/>
            <w:hideMark/>
          </w:tcPr>
          <w:p w14:paraId="3195B669"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3,64</w:t>
            </w:r>
          </w:p>
        </w:tc>
        <w:tc>
          <w:tcPr>
            <w:tcW w:w="2092" w:type="dxa"/>
            <w:hideMark/>
          </w:tcPr>
          <w:p w14:paraId="57839DCE"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0,10%</w:t>
            </w:r>
          </w:p>
        </w:tc>
      </w:tr>
      <w:tr w:rsidR="002B7CA6" w:rsidRPr="00B27245" w14:paraId="23CA92C2" w14:textId="77777777" w:rsidTr="005E2111">
        <w:trPr>
          <w:cnfStyle w:val="000000100000" w:firstRow="0" w:lastRow="0" w:firstColumn="0" w:lastColumn="0" w:oddVBand="0" w:evenVBand="0" w:oddHBand="1" w:evenHBand="0" w:firstRowFirstColumn="0" w:firstRowLastColumn="0" w:lastRowFirstColumn="0" w:lastRowLastColumn="0"/>
          <w:trHeight w:val="418"/>
        </w:trPr>
        <w:tc>
          <w:tcPr>
            <w:tcW w:w="4341" w:type="dxa"/>
            <w:hideMark/>
          </w:tcPr>
          <w:p w14:paraId="7BB77A18" w14:textId="77777777" w:rsidR="002B7CA6" w:rsidRPr="00B27245" w:rsidRDefault="002B7CA6" w:rsidP="002B7CA6">
            <w:pPr>
              <w:tabs>
                <w:tab w:val="num" w:pos="720"/>
              </w:tabs>
              <w:spacing w:line="276" w:lineRule="auto"/>
              <w:jc w:val="both"/>
              <w:rPr>
                <w:rFonts w:ascii="Times New Roman" w:hAnsi="Times New Roman" w:cs="Times New Roman"/>
                <w:sz w:val="20"/>
                <w:szCs w:val="20"/>
                <w:lang w:val="sr-Cyrl-CS"/>
              </w:rPr>
            </w:pPr>
            <w:r w:rsidRPr="00B27245">
              <w:rPr>
                <w:rFonts w:ascii="Times New Roman" w:hAnsi="Times New Roman" w:cs="Times New Roman"/>
                <w:sz w:val="20"/>
                <w:szCs w:val="20"/>
                <w:lang w:val="sr-Cyrl-CS"/>
              </w:rPr>
              <w:t>Штедно-кредитне задруге</w:t>
            </w:r>
          </w:p>
        </w:tc>
        <w:tc>
          <w:tcPr>
            <w:tcW w:w="2747" w:type="dxa"/>
            <w:hideMark/>
          </w:tcPr>
          <w:p w14:paraId="48D3E394"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0,14</w:t>
            </w:r>
          </w:p>
        </w:tc>
        <w:tc>
          <w:tcPr>
            <w:tcW w:w="2092" w:type="dxa"/>
            <w:hideMark/>
          </w:tcPr>
          <w:p w14:paraId="03CE7E29" w14:textId="77777777" w:rsidR="002B7CA6" w:rsidRPr="00B27245" w:rsidRDefault="002B7CA6" w:rsidP="002B7CA6">
            <w:pPr>
              <w:tabs>
                <w:tab w:val="num" w:pos="720"/>
              </w:tabs>
              <w:spacing w:line="276" w:lineRule="auto"/>
              <w:jc w:val="right"/>
              <w:rPr>
                <w:rFonts w:ascii="Times New Roman" w:hAnsi="Times New Roman" w:cs="Times New Roman"/>
                <w:sz w:val="20"/>
                <w:szCs w:val="20"/>
                <w:lang w:val="sr-Cyrl-CS"/>
              </w:rPr>
            </w:pPr>
            <w:r w:rsidRPr="00B27245">
              <w:rPr>
                <w:rFonts w:ascii="Times New Roman" w:hAnsi="Times New Roman" w:cs="Times New Roman"/>
                <w:sz w:val="20"/>
                <w:szCs w:val="20"/>
                <w:lang w:val="sr-Cyrl-CS"/>
              </w:rPr>
              <w:t>-</w:t>
            </w:r>
          </w:p>
        </w:tc>
      </w:tr>
    </w:tbl>
    <w:p w14:paraId="2D6CE83B" w14:textId="77777777" w:rsidR="002B7CA6" w:rsidRPr="00B27245" w:rsidRDefault="002B7CA6" w:rsidP="005E6049">
      <w:pPr>
        <w:tabs>
          <w:tab w:val="num" w:pos="720"/>
        </w:tabs>
        <w:spacing w:line="276" w:lineRule="auto"/>
        <w:jc w:val="both"/>
        <w:rPr>
          <w:rFonts w:ascii="Times New Roman" w:hAnsi="Times New Roman" w:cs="Times New Roman"/>
          <w:sz w:val="24"/>
          <w:szCs w:val="24"/>
          <w:lang w:val="sr-Cyrl-CS"/>
        </w:rPr>
      </w:pPr>
    </w:p>
    <w:p w14:paraId="4615EB69" w14:textId="7A88D113" w:rsidR="005E6049" w:rsidRPr="00B27245" w:rsidRDefault="00D87FF7" w:rsidP="005E6049">
      <w:pPr>
        <w:tabs>
          <w:tab w:val="left" w:pos="6450"/>
        </w:tabs>
        <w:spacing w:line="276" w:lineRule="auto"/>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5E6049" w:rsidRPr="00B27245">
        <w:rPr>
          <w:rFonts w:ascii="Times New Roman" w:hAnsi="Times New Roman" w:cs="Times New Roman"/>
          <w:sz w:val="24"/>
          <w:szCs w:val="24"/>
          <w:lang w:val="sr-Cyrl-CS"/>
        </w:rPr>
        <w:t>П</w:t>
      </w:r>
      <w:r w:rsidR="002B7CA6" w:rsidRPr="00B27245">
        <w:rPr>
          <w:rFonts w:ascii="Times New Roman" w:hAnsi="Times New Roman" w:cs="Times New Roman"/>
          <w:sz w:val="24"/>
          <w:szCs w:val="24"/>
          <w:lang w:val="sr-Cyrl-CS"/>
        </w:rPr>
        <w:t>рема</w:t>
      </w:r>
      <w:r w:rsidR="005E6049" w:rsidRPr="00B27245">
        <w:rPr>
          <w:rFonts w:ascii="Times New Roman" w:hAnsi="Times New Roman" w:cs="Times New Roman"/>
          <w:sz w:val="24"/>
          <w:szCs w:val="24"/>
          <w:lang w:val="sr-Cyrl-CS"/>
        </w:rPr>
        <w:t xml:space="preserve"> врсти дужника, 99,07% укупних потраживања од дужника финансијских институција у стечају/ликвидацији односи се на потраживања од правних лица и предузетника, док се 0,93% односи на потраживања од физичких лица:</w:t>
      </w:r>
      <w:r w:rsidR="00A25508" w:rsidRPr="00B27245">
        <w:rPr>
          <w:rFonts w:ascii="Times New Roman" w:hAnsi="Times New Roman" w:cs="Times New Roman"/>
          <w:sz w:val="24"/>
          <w:szCs w:val="24"/>
          <w:lang w:val="sr-Cyrl-CS"/>
        </w:rPr>
        <w:t xml:space="preserve"> Илустрација 3. указује на веома лош квалитет </w:t>
      </w:r>
      <w:r w:rsidR="00655AA7" w:rsidRPr="00B27245">
        <w:rPr>
          <w:rFonts w:ascii="Times New Roman" w:hAnsi="Times New Roman" w:cs="Times New Roman"/>
          <w:sz w:val="24"/>
          <w:szCs w:val="24"/>
          <w:lang w:val="sr-Cyrl-CS"/>
        </w:rPr>
        <w:t>портфеља</w:t>
      </w:r>
      <w:r w:rsidR="00A25508" w:rsidRPr="00B27245">
        <w:rPr>
          <w:rFonts w:ascii="Times New Roman" w:hAnsi="Times New Roman" w:cs="Times New Roman"/>
          <w:sz w:val="24"/>
          <w:szCs w:val="24"/>
          <w:lang w:val="sr-Cyrl-CS"/>
        </w:rPr>
        <w:t xml:space="preserve"> (преко половина потраживања отпада на </w:t>
      </w:r>
      <w:r w:rsidR="00A25508" w:rsidRPr="00B27245">
        <w:rPr>
          <w:rFonts w:ascii="Times New Roman" w:hAnsi="Times New Roman" w:cs="Times New Roman"/>
          <w:sz w:val="24"/>
          <w:szCs w:val="24"/>
          <w:lang w:val="sr-Cyrl-CS"/>
        </w:rPr>
        <w:lastRenderedPageBreak/>
        <w:t>дужнике у стечају, док је значајан број дужника у реорганизацији, или им је рачун блокиран).</w:t>
      </w:r>
    </w:p>
    <w:p w14:paraId="51F4FC07" w14:textId="5394358A" w:rsidR="00A25508" w:rsidRPr="00B27245" w:rsidRDefault="00577AF6" w:rsidP="00A25508">
      <w:pPr>
        <w:jc w:val="center"/>
        <w:rPr>
          <w:rFonts w:ascii="Times New Roman" w:hAnsi="Times New Roman" w:cs="Times New Roman"/>
          <w:sz w:val="24"/>
          <w:szCs w:val="24"/>
          <w:lang w:val="sr-Cyrl-CS"/>
        </w:rPr>
      </w:pPr>
      <w:r w:rsidRPr="00B27245">
        <w:rPr>
          <w:rFonts w:ascii="Times New Roman" w:hAnsi="Times New Roman" w:cs="Times New Roman"/>
          <w:sz w:val="24"/>
          <w:szCs w:val="24"/>
          <w:lang w:val="sr-Cyrl-CS"/>
        </w:rPr>
        <w:t>Илустрација 3</w:t>
      </w:r>
      <w:r w:rsidR="00A25508" w:rsidRPr="00B27245">
        <w:rPr>
          <w:rFonts w:ascii="Times New Roman" w:hAnsi="Times New Roman" w:cs="Times New Roman"/>
          <w:sz w:val="24"/>
          <w:szCs w:val="24"/>
          <w:lang w:val="sr-Cyrl-CS"/>
        </w:rPr>
        <w:t>: Структура потраживања према статусу дужника</w:t>
      </w:r>
    </w:p>
    <w:p w14:paraId="3E756D10" w14:textId="77777777" w:rsidR="005E6049" w:rsidRPr="00B27245" w:rsidRDefault="002B7CA6" w:rsidP="005E6049">
      <w:pPr>
        <w:tabs>
          <w:tab w:val="left" w:pos="6450"/>
        </w:tabs>
        <w:spacing w:line="276" w:lineRule="auto"/>
        <w:jc w:val="both"/>
        <w:rPr>
          <w:rFonts w:ascii="Times New Roman" w:hAnsi="Times New Roman" w:cs="Times New Roman"/>
          <w:sz w:val="24"/>
          <w:szCs w:val="24"/>
          <w:lang w:val="sr-Cyrl-CS"/>
        </w:rPr>
      </w:pPr>
      <w:r w:rsidRPr="00B27245">
        <w:rPr>
          <w:rFonts w:ascii="Times New Roman" w:hAnsi="Times New Roman"/>
          <w:noProof/>
          <w:sz w:val="24"/>
          <w:lang w:val="en-US"/>
        </w:rPr>
        <w:drawing>
          <wp:inline distT="0" distB="0" distL="0" distR="0" wp14:anchorId="33593924" wp14:editId="00F1F86B">
            <wp:extent cx="5772150" cy="22669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E5D475" w14:textId="0427AD3E" w:rsidR="003753F0" w:rsidRPr="00B27245" w:rsidRDefault="00D87FF7" w:rsidP="005E6049">
      <w:pPr>
        <w:tabs>
          <w:tab w:val="left" w:pos="6450"/>
        </w:tabs>
        <w:spacing w:line="276" w:lineRule="auto"/>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p>
    <w:p w14:paraId="41145795" w14:textId="2B256A70" w:rsidR="00075899" w:rsidRPr="00B27245" w:rsidRDefault="005A67B4" w:rsidP="00D87FF7">
      <w:pPr>
        <w:spacing w:line="276"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Поред ове улоге</w:t>
      </w:r>
      <w:r w:rsidR="00D87FF7" w:rsidRPr="00B27245">
        <w:rPr>
          <w:rFonts w:ascii="Times New Roman" w:hAnsi="Times New Roman" w:cs="Times New Roman"/>
          <w:sz w:val="24"/>
          <w:szCs w:val="24"/>
          <w:lang w:val="sr-Cyrl-CS"/>
        </w:rPr>
        <w:t>, АОД</w:t>
      </w:r>
      <w:r w:rsidRPr="00B27245">
        <w:rPr>
          <w:rFonts w:ascii="Times New Roman" w:hAnsi="Times New Roman" w:cs="Times New Roman"/>
          <w:sz w:val="24"/>
          <w:szCs w:val="24"/>
          <w:lang w:val="sr-Cyrl-CS"/>
        </w:rPr>
        <w:t xml:space="preserve"> обавља и послове реализације поступака наплате потраживања преузетих у име и за рачун Републике Србије, укључујући и Аутономну </w:t>
      </w:r>
      <w:r w:rsidR="00375D03" w:rsidRPr="00B27245">
        <w:rPr>
          <w:rFonts w:ascii="Times New Roman" w:hAnsi="Times New Roman" w:cs="Times New Roman"/>
          <w:sz w:val="24"/>
          <w:szCs w:val="24"/>
          <w:lang w:val="sr-Cyrl-CS"/>
        </w:rPr>
        <w:t xml:space="preserve">покрајину </w:t>
      </w:r>
      <w:r w:rsidRPr="00B27245">
        <w:rPr>
          <w:rFonts w:ascii="Times New Roman" w:hAnsi="Times New Roman" w:cs="Times New Roman"/>
          <w:sz w:val="24"/>
          <w:szCs w:val="24"/>
          <w:lang w:val="sr-Cyrl-CS"/>
        </w:rPr>
        <w:t>Војводину</w:t>
      </w:r>
      <w:r w:rsidRPr="00B27245">
        <w:rPr>
          <w:rStyle w:val="FootnoteReference"/>
          <w:rFonts w:ascii="Times New Roman" w:hAnsi="Times New Roman" w:cs="Times New Roman"/>
          <w:sz w:val="24"/>
          <w:szCs w:val="24"/>
          <w:lang w:val="sr-Cyrl-CS"/>
        </w:rPr>
        <w:footnoteReference w:id="6"/>
      </w:r>
      <w:r w:rsidR="00D87FF7" w:rsidRPr="00B27245">
        <w:rPr>
          <w:rFonts w:ascii="Times New Roman" w:hAnsi="Times New Roman" w:cs="Times New Roman"/>
          <w:sz w:val="24"/>
          <w:szCs w:val="24"/>
          <w:lang w:val="sr-Cyrl-CS"/>
        </w:rPr>
        <w:t xml:space="preserve">. </w:t>
      </w:r>
      <w:r w:rsidRPr="00B27245">
        <w:rPr>
          <w:rFonts w:ascii="Times New Roman" w:hAnsi="Times New Roman" w:cs="Times New Roman"/>
          <w:sz w:val="24"/>
          <w:szCs w:val="24"/>
          <w:lang w:val="sr-Cyrl-CS"/>
        </w:rPr>
        <w:t>У</w:t>
      </w:r>
      <w:r w:rsidRPr="00B27245">
        <w:rPr>
          <w:rFonts w:ascii="Times New Roman" w:hAnsi="Times New Roman"/>
          <w:sz w:val="24"/>
          <w:lang w:val="sr-Cyrl-CS"/>
        </w:rPr>
        <w:t xml:space="preserve"> тој улози А</w:t>
      </w:r>
      <w:r w:rsidR="00D87FF7" w:rsidRPr="00B27245">
        <w:rPr>
          <w:rFonts w:ascii="Times New Roman" w:hAnsi="Times New Roman"/>
          <w:sz w:val="24"/>
          <w:lang w:val="sr-Cyrl-CS"/>
        </w:rPr>
        <w:t>ОД</w:t>
      </w:r>
      <w:r w:rsidR="00296FCF" w:rsidRPr="00B27245">
        <w:rPr>
          <w:rFonts w:ascii="Times New Roman" w:hAnsi="Times New Roman"/>
          <w:sz w:val="24"/>
          <w:lang w:val="sr-Cyrl-CS"/>
        </w:rPr>
        <w:t xml:space="preserve"> </w:t>
      </w:r>
      <w:r w:rsidRPr="00B27245">
        <w:rPr>
          <w:rFonts w:ascii="Times New Roman" w:hAnsi="Times New Roman"/>
          <w:sz w:val="24"/>
          <w:lang w:val="sr-Cyrl-CS"/>
        </w:rPr>
        <w:t>је одговор</w:t>
      </w:r>
      <w:r w:rsidR="00296FCF" w:rsidRPr="00B27245">
        <w:rPr>
          <w:rFonts w:ascii="Times New Roman" w:hAnsi="Times New Roman"/>
          <w:sz w:val="24"/>
          <w:lang w:val="sr-Cyrl-CS"/>
        </w:rPr>
        <w:t>на</w:t>
      </w:r>
      <w:r w:rsidRPr="00B27245">
        <w:rPr>
          <w:rFonts w:ascii="Times New Roman" w:hAnsi="Times New Roman"/>
          <w:sz w:val="24"/>
          <w:lang w:val="sr-Cyrl-CS"/>
        </w:rPr>
        <w:t xml:space="preserve"> за наплату потраживања </w:t>
      </w:r>
      <w:r w:rsidR="00296FCF" w:rsidRPr="00B27245">
        <w:rPr>
          <w:rFonts w:ascii="Times New Roman" w:hAnsi="Times New Roman"/>
          <w:sz w:val="24"/>
          <w:lang w:val="sr-Cyrl-CS"/>
        </w:rPr>
        <w:t>за</w:t>
      </w:r>
      <w:r w:rsidRPr="00B27245">
        <w:rPr>
          <w:rFonts w:ascii="Times New Roman" w:hAnsi="Times New Roman"/>
          <w:sz w:val="24"/>
          <w:lang w:val="sr-Cyrl-CS"/>
        </w:rPr>
        <w:t xml:space="preserve"> више од 300 дужника. Ресурси</w:t>
      </w:r>
      <w:r w:rsidR="00D87FF7" w:rsidRPr="00B27245">
        <w:rPr>
          <w:rFonts w:ascii="Times New Roman" w:hAnsi="Times New Roman"/>
          <w:sz w:val="24"/>
          <w:lang w:val="sr-Cyrl-CS"/>
        </w:rPr>
        <w:t xml:space="preserve"> и капацитети којима је АОД</w:t>
      </w:r>
      <w:r w:rsidRPr="00B27245">
        <w:rPr>
          <w:rFonts w:ascii="Times New Roman" w:hAnsi="Times New Roman"/>
          <w:sz w:val="24"/>
          <w:lang w:val="sr-Cyrl-CS"/>
        </w:rPr>
        <w:t xml:space="preserve"> до сада располагала били су недовољни за постављање и спровођење ефикасне стратегије за поступање с</w:t>
      </w:r>
      <w:r w:rsidR="00D87FF7" w:rsidRPr="00B27245">
        <w:rPr>
          <w:rFonts w:ascii="Times New Roman" w:hAnsi="Times New Roman"/>
          <w:sz w:val="24"/>
          <w:lang w:val="sr-Cyrl-CS"/>
        </w:rPr>
        <w:t>а</w:t>
      </w:r>
      <w:r w:rsidRPr="00B27245">
        <w:rPr>
          <w:rFonts w:ascii="Times New Roman" w:hAnsi="Times New Roman"/>
          <w:sz w:val="24"/>
          <w:lang w:val="sr-Cyrl-CS"/>
        </w:rPr>
        <w:t xml:space="preserve"> овим делом портфеља</w:t>
      </w:r>
      <w:r w:rsidR="00296FCF" w:rsidRPr="00B27245">
        <w:rPr>
          <w:rFonts w:ascii="Times New Roman" w:hAnsi="Times New Roman"/>
          <w:sz w:val="24"/>
          <w:lang w:val="sr-Cyrl-CS"/>
        </w:rPr>
        <w:t>, те је потребан другачији приступ</w:t>
      </w:r>
      <w:r w:rsidRPr="00B27245">
        <w:rPr>
          <w:rFonts w:ascii="Times New Roman" w:hAnsi="Times New Roman"/>
          <w:sz w:val="24"/>
          <w:lang w:val="sr-Cyrl-CS"/>
        </w:rPr>
        <w:t>.</w:t>
      </w:r>
      <w:r w:rsidR="00296FCF" w:rsidRPr="00B27245">
        <w:rPr>
          <w:rFonts w:ascii="Times New Roman" w:hAnsi="Times New Roman" w:cs="Times New Roman"/>
          <w:lang w:val="sr-Cyrl-CS"/>
        </w:rPr>
        <w:t xml:space="preserve"> </w:t>
      </w:r>
      <w:r w:rsidR="003753F0" w:rsidRPr="00B27245">
        <w:rPr>
          <w:rFonts w:ascii="Times New Roman" w:hAnsi="Times New Roman" w:cs="Times New Roman"/>
          <w:sz w:val="24"/>
          <w:szCs w:val="24"/>
          <w:lang w:val="sr-Cyrl-CS"/>
        </w:rPr>
        <w:t>Укупа</w:t>
      </w:r>
      <w:r w:rsidR="00D87FF7" w:rsidRPr="00B27245">
        <w:rPr>
          <w:rFonts w:ascii="Times New Roman" w:hAnsi="Times New Roman" w:cs="Times New Roman"/>
          <w:sz w:val="24"/>
          <w:szCs w:val="24"/>
          <w:lang w:val="sr-Cyrl-CS"/>
        </w:rPr>
        <w:t>н износ потраживања на дан 30. јуна</w:t>
      </w:r>
      <w:r w:rsidR="003753F0" w:rsidRPr="00B27245">
        <w:rPr>
          <w:rFonts w:ascii="Times New Roman" w:hAnsi="Times New Roman" w:cs="Times New Roman"/>
          <w:sz w:val="24"/>
          <w:szCs w:val="24"/>
          <w:lang w:val="sr-Cyrl-CS"/>
        </w:rPr>
        <w:t xml:space="preserve"> 2018. године износио је 3,11 милијарди евра.</w:t>
      </w:r>
    </w:p>
    <w:p w14:paraId="0DBBD2AE" w14:textId="77777777" w:rsidR="00D87FF7" w:rsidRPr="00B27245" w:rsidRDefault="00D87FF7" w:rsidP="00D87FF7">
      <w:pPr>
        <w:spacing w:line="276" w:lineRule="auto"/>
        <w:ind w:firstLine="720"/>
        <w:jc w:val="both"/>
        <w:rPr>
          <w:rFonts w:ascii="Times New Roman" w:hAnsi="Times New Roman" w:cs="Times New Roman"/>
          <w:sz w:val="24"/>
          <w:szCs w:val="24"/>
          <w:lang w:val="sr-Cyrl-CS"/>
        </w:rPr>
      </w:pPr>
    </w:p>
    <w:p w14:paraId="4470C91E" w14:textId="33D010DE" w:rsidR="00075899" w:rsidRPr="00B27245" w:rsidRDefault="00A25508" w:rsidP="00075899">
      <w:pPr>
        <w:spacing w:line="276" w:lineRule="auto"/>
        <w:jc w:val="center"/>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Табела </w:t>
      </w:r>
      <w:r w:rsidRPr="00B27245">
        <w:rPr>
          <w:rFonts w:ascii="Times New Roman" w:hAnsi="Times New Roman" w:cs="Times New Roman"/>
          <w:i/>
          <w:sz w:val="24"/>
          <w:szCs w:val="24"/>
          <w:lang w:val="sr-Cyrl-CS"/>
        </w:rPr>
        <w:fldChar w:fldCharType="begin"/>
      </w:r>
      <w:r w:rsidRPr="00B27245">
        <w:rPr>
          <w:rFonts w:ascii="Times New Roman" w:hAnsi="Times New Roman" w:cs="Times New Roman"/>
          <w:sz w:val="24"/>
          <w:szCs w:val="24"/>
          <w:lang w:val="sr-Cyrl-CS"/>
        </w:rPr>
        <w:instrText xml:space="preserve"> SEQ Табела \* ARABIC </w:instrText>
      </w:r>
      <w:r w:rsidRPr="00B27245">
        <w:rPr>
          <w:rFonts w:ascii="Times New Roman" w:hAnsi="Times New Roman" w:cs="Times New Roman"/>
          <w:i/>
          <w:sz w:val="24"/>
          <w:szCs w:val="24"/>
          <w:lang w:val="sr-Cyrl-CS"/>
        </w:rPr>
        <w:fldChar w:fldCharType="separate"/>
      </w:r>
      <w:r w:rsidR="00971B83">
        <w:rPr>
          <w:rFonts w:ascii="Times New Roman" w:hAnsi="Times New Roman" w:cs="Times New Roman"/>
          <w:noProof/>
          <w:sz w:val="24"/>
          <w:szCs w:val="24"/>
          <w:lang w:val="sr-Cyrl-CS"/>
        </w:rPr>
        <w:t>3</w:t>
      </w:r>
      <w:r w:rsidRPr="00B27245">
        <w:rPr>
          <w:rFonts w:ascii="Times New Roman" w:hAnsi="Times New Roman" w:cs="Times New Roman"/>
          <w:i/>
          <w:sz w:val="24"/>
          <w:szCs w:val="24"/>
          <w:lang w:val="sr-Cyrl-CS"/>
        </w:rPr>
        <w:fldChar w:fldCharType="end"/>
      </w:r>
      <w:r w:rsidRPr="00B27245">
        <w:rPr>
          <w:rFonts w:ascii="Times New Roman" w:hAnsi="Times New Roman" w:cs="Times New Roman"/>
          <w:sz w:val="24"/>
          <w:szCs w:val="24"/>
          <w:lang w:val="sr-Cyrl-CS"/>
        </w:rPr>
        <w:t xml:space="preserve">: </w:t>
      </w:r>
      <w:r w:rsidR="00075899" w:rsidRPr="00B27245">
        <w:rPr>
          <w:rFonts w:ascii="Times New Roman" w:hAnsi="Times New Roman" w:cs="Times New Roman"/>
          <w:sz w:val="24"/>
          <w:szCs w:val="24"/>
          <w:lang w:val="sr-Cyrl-CS"/>
        </w:rPr>
        <w:t xml:space="preserve">Потраживања у </w:t>
      </w:r>
      <w:r w:rsidR="00D87FF7" w:rsidRPr="00B27245">
        <w:rPr>
          <w:rFonts w:ascii="Times New Roman" w:hAnsi="Times New Roman" w:cs="Times New Roman"/>
          <w:sz w:val="24"/>
          <w:szCs w:val="24"/>
          <w:lang w:val="sr-Cyrl-CS"/>
        </w:rPr>
        <w:t>име и за рачун државе (милиони е</w:t>
      </w:r>
      <w:r w:rsidR="00075899" w:rsidRPr="00B27245">
        <w:rPr>
          <w:rFonts w:ascii="Times New Roman" w:hAnsi="Times New Roman" w:cs="Times New Roman"/>
          <w:sz w:val="24"/>
          <w:szCs w:val="24"/>
          <w:lang w:val="sr-Cyrl-CS"/>
        </w:rPr>
        <w:t>вра)</w:t>
      </w:r>
    </w:p>
    <w:tbl>
      <w:tblPr>
        <w:tblW w:w="9017" w:type="dxa"/>
        <w:tblCellMar>
          <w:left w:w="0" w:type="dxa"/>
          <w:right w:w="0" w:type="dxa"/>
        </w:tblCellMar>
        <w:tblLook w:val="0600" w:firstRow="0" w:lastRow="0" w:firstColumn="0" w:lastColumn="0" w:noHBand="1" w:noVBand="1"/>
      </w:tblPr>
      <w:tblGrid>
        <w:gridCol w:w="6189"/>
        <w:gridCol w:w="1583"/>
        <w:gridCol w:w="1245"/>
      </w:tblGrid>
      <w:tr w:rsidR="005E2111" w:rsidRPr="00B27245" w14:paraId="4985D80E" w14:textId="77777777" w:rsidTr="00075899">
        <w:trPr>
          <w:trHeight w:val="188"/>
        </w:trPr>
        <w:tc>
          <w:tcPr>
            <w:tcW w:w="6189" w:type="dxa"/>
            <w:tcBorders>
              <w:top w:val="single" w:sz="8" w:space="0" w:color="000000"/>
              <w:left w:val="nil"/>
              <w:bottom w:val="single" w:sz="8" w:space="0" w:color="000000"/>
              <w:right w:val="nil"/>
            </w:tcBorders>
            <w:shd w:val="pct5" w:color="auto" w:fill="auto"/>
            <w:tcMar>
              <w:top w:w="15" w:type="dxa"/>
              <w:left w:w="108" w:type="dxa"/>
              <w:bottom w:w="0" w:type="dxa"/>
              <w:right w:w="108" w:type="dxa"/>
            </w:tcMar>
            <w:vAlign w:val="center"/>
            <w:hideMark/>
          </w:tcPr>
          <w:p w14:paraId="35E06382" w14:textId="77777777"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Основ преузимања</w:t>
            </w:r>
          </w:p>
        </w:tc>
        <w:tc>
          <w:tcPr>
            <w:tcW w:w="1583" w:type="dxa"/>
            <w:tcBorders>
              <w:top w:val="single" w:sz="8" w:space="0" w:color="000000"/>
              <w:left w:val="nil"/>
              <w:bottom w:val="single" w:sz="8" w:space="0" w:color="000000"/>
              <w:right w:val="nil"/>
            </w:tcBorders>
            <w:shd w:val="clear" w:color="auto" w:fill="F2F2F2"/>
            <w:tcMar>
              <w:top w:w="15" w:type="dxa"/>
              <w:left w:w="108" w:type="dxa"/>
              <w:bottom w:w="0" w:type="dxa"/>
              <w:right w:w="108" w:type="dxa"/>
            </w:tcMar>
            <w:vAlign w:val="center"/>
            <w:hideMark/>
          </w:tcPr>
          <w:p w14:paraId="7C56435F" w14:textId="77777777"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30.6.2018.</w:t>
            </w:r>
          </w:p>
        </w:tc>
        <w:tc>
          <w:tcPr>
            <w:tcW w:w="1245" w:type="dxa"/>
            <w:tcBorders>
              <w:top w:val="single" w:sz="8" w:space="0" w:color="000000"/>
              <w:left w:val="nil"/>
              <w:bottom w:val="single" w:sz="8" w:space="0" w:color="000000"/>
              <w:right w:val="nil"/>
            </w:tcBorders>
            <w:shd w:val="clear" w:color="auto" w:fill="F2F2F2"/>
            <w:tcMar>
              <w:top w:w="15" w:type="dxa"/>
              <w:left w:w="108" w:type="dxa"/>
              <w:bottom w:w="0" w:type="dxa"/>
              <w:right w:w="108" w:type="dxa"/>
            </w:tcMar>
            <w:vAlign w:val="center"/>
            <w:hideMark/>
          </w:tcPr>
          <w:p w14:paraId="146388DA" w14:textId="77777777"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w:t>
            </w:r>
          </w:p>
        </w:tc>
      </w:tr>
      <w:tr w:rsidR="004019A0" w:rsidRPr="00B27245" w14:paraId="46BDE2BA" w14:textId="77777777" w:rsidTr="005E2111">
        <w:trPr>
          <w:trHeight w:val="45"/>
        </w:trPr>
        <w:tc>
          <w:tcPr>
            <w:tcW w:w="6189"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2EBE6827" w14:textId="77777777"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Потраживања преузета од банака у стечају</w:t>
            </w:r>
          </w:p>
        </w:tc>
        <w:tc>
          <w:tcPr>
            <w:tcW w:w="1583" w:type="dxa"/>
            <w:tcBorders>
              <w:top w:val="single" w:sz="8" w:space="0" w:color="000000"/>
              <w:left w:val="nil"/>
              <w:bottom w:val="nil"/>
              <w:right w:val="nil"/>
            </w:tcBorders>
            <w:shd w:val="clear" w:color="auto" w:fill="auto"/>
            <w:tcMar>
              <w:top w:w="15" w:type="dxa"/>
              <w:left w:w="15" w:type="dxa"/>
              <w:bottom w:w="0" w:type="dxa"/>
              <w:right w:w="15" w:type="dxa"/>
            </w:tcMar>
            <w:vAlign w:val="center"/>
            <w:hideMark/>
          </w:tcPr>
          <w:p w14:paraId="59AE7C8E"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2.417,89</w:t>
            </w:r>
          </w:p>
        </w:tc>
        <w:tc>
          <w:tcPr>
            <w:tcW w:w="1245" w:type="dxa"/>
            <w:tcBorders>
              <w:top w:val="single" w:sz="8" w:space="0" w:color="000000"/>
              <w:left w:val="nil"/>
              <w:bottom w:val="nil"/>
              <w:right w:val="nil"/>
            </w:tcBorders>
            <w:shd w:val="clear" w:color="auto" w:fill="auto"/>
            <w:tcMar>
              <w:top w:w="15" w:type="dxa"/>
              <w:left w:w="15" w:type="dxa"/>
              <w:bottom w:w="0" w:type="dxa"/>
              <w:right w:w="15" w:type="dxa"/>
            </w:tcMar>
            <w:vAlign w:val="center"/>
            <w:hideMark/>
          </w:tcPr>
          <w:p w14:paraId="15ED2C01"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77,73%</w:t>
            </w:r>
          </w:p>
        </w:tc>
      </w:tr>
      <w:tr w:rsidR="004019A0" w:rsidRPr="00B27245" w14:paraId="04CCF791" w14:textId="77777777" w:rsidTr="005E2111">
        <w:trPr>
          <w:trHeight w:val="515"/>
        </w:trPr>
        <w:tc>
          <w:tcPr>
            <w:tcW w:w="6189" w:type="dxa"/>
            <w:tcBorders>
              <w:top w:val="nil"/>
              <w:left w:val="nil"/>
              <w:bottom w:val="nil"/>
              <w:right w:val="nil"/>
            </w:tcBorders>
            <w:shd w:val="clear" w:color="auto" w:fill="auto"/>
            <w:tcMar>
              <w:top w:w="15" w:type="dxa"/>
              <w:left w:w="108" w:type="dxa"/>
              <w:bottom w:w="0" w:type="dxa"/>
              <w:right w:w="108" w:type="dxa"/>
            </w:tcMar>
            <w:vAlign w:val="center"/>
            <w:hideMark/>
          </w:tcPr>
          <w:p w14:paraId="7DAFD488" w14:textId="77777777"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Потраживања по основу куповине у целости резервисаних билансних потраживања банака</w:t>
            </w:r>
          </w:p>
        </w:tc>
        <w:tc>
          <w:tcPr>
            <w:tcW w:w="1583" w:type="dxa"/>
            <w:tcBorders>
              <w:top w:val="nil"/>
              <w:left w:val="nil"/>
              <w:bottom w:val="nil"/>
              <w:right w:val="nil"/>
            </w:tcBorders>
            <w:shd w:val="clear" w:color="auto" w:fill="auto"/>
            <w:tcMar>
              <w:top w:w="15" w:type="dxa"/>
              <w:left w:w="15" w:type="dxa"/>
              <w:bottom w:w="0" w:type="dxa"/>
              <w:right w:w="15" w:type="dxa"/>
            </w:tcMar>
            <w:vAlign w:val="center"/>
            <w:hideMark/>
          </w:tcPr>
          <w:p w14:paraId="5D7952E0"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148,78</w:t>
            </w:r>
          </w:p>
        </w:tc>
        <w:tc>
          <w:tcPr>
            <w:tcW w:w="1245" w:type="dxa"/>
            <w:tcBorders>
              <w:top w:val="nil"/>
              <w:left w:val="nil"/>
              <w:bottom w:val="nil"/>
              <w:right w:val="nil"/>
            </w:tcBorders>
            <w:shd w:val="clear" w:color="auto" w:fill="auto"/>
            <w:tcMar>
              <w:top w:w="15" w:type="dxa"/>
              <w:left w:w="15" w:type="dxa"/>
              <w:bottom w:w="0" w:type="dxa"/>
              <w:right w:w="15" w:type="dxa"/>
            </w:tcMar>
            <w:vAlign w:val="center"/>
            <w:hideMark/>
          </w:tcPr>
          <w:p w14:paraId="126D43C1"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4,78%</w:t>
            </w:r>
          </w:p>
        </w:tc>
      </w:tr>
      <w:tr w:rsidR="004019A0" w:rsidRPr="00B27245" w14:paraId="1F6B50D9" w14:textId="77777777" w:rsidTr="005E2111">
        <w:trPr>
          <w:trHeight w:val="151"/>
        </w:trPr>
        <w:tc>
          <w:tcPr>
            <w:tcW w:w="6189" w:type="dxa"/>
            <w:tcBorders>
              <w:top w:val="nil"/>
              <w:left w:val="nil"/>
              <w:bottom w:val="nil"/>
              <w:right w:val="nil"/>
            </w:tcBorders>
            <w:shd w:val="clear" w:color="auto" w:fill="auto"/>
            <w:tcMar>
              <w:top w:w="15" w:type="dxa"/>
              <w:left w:w="108" w:type="dxa"/>
              <w:bottom w:w="0" w:type="dxa"/>
              <w:right w:w="108" w:type="dxa"/>
            </w:tcMar>
            <w:vAlign w:val="center"/>
            <w:hideMark/>
          </w:tcPr>
          <w:p w14:paraId="46422ED9" w14:textId="77777777"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Потраживања преузета од Развојне банке Војводине ад Нови Сад</w:t>
            </w:r>
          </w:p>
        </w:tc>
        <w:tc>
          <w:tcPr>
            <w:tcW w:w="1583" w:type="dxa"/>
            <w:tcBorders>
              <w:top w:val="nil"/>
              <w:left w:val="nil"/>
              <w:bottom w:val="nil"/>
              <w:right w:val="nil"/>
            </w:tcBorders>
            <w:shd w:val="clear" w:color="auto" w:fill="auto"/>
            <w:tcMar>
              <w:top w:w="15" w:type="dxa"/>
              <w:left w:w="15" w:type="dxa"/>
              <w:bottom w:w="0" w:type="dxa"/>
              <w:right w:w="15" w:type="dxa"/>
            </w:tcMar>
            <w:vAlign w:val="center"/>
            <w:hideMark/>
          </w:tcPr>
          <w:p w14:paraId="740C0502"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103,76</w:t>
            </w:r>
          </w:p>
        </w:tc>
        <w:tc>
          <w:tcPr>
            <w:tcW w:w="1245" w:type="dxa"/>
            <w:tcBorders>
              <w:top w:val="nil"/>
              <w:left w:val="nil"/>
              <w:bottom w:val="nil"/>
              <w:right w:val="nil"/>
            </w:tcBorders>
            <w:shd w:val="clear" w:color="auto" w:fill="auto"/>
            <w:tcMar>
              <w:top w:w="15" w:type="dxa"/>
              <w:left w:w="15" w:type="dxa"/>
              <w:bottom w:w="0" w:type="dxa"/>
              <w:right w:w="15" w:type="dxa"/>
            </w:tcMar>
            <w:vAlign w:val="center"/>
            <w:hideMark/>
          </w:tcPr>
          <w:p w14:paraId="0C291730"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3,34%</w:t>
            </w:r>
          </w:p>
        </w:tc>
      </w:tr>
      <w:tr w:rsidR="004019A0" w:rsidRPr="00B27245" w14:paraId="29DBA401" w14:textId="77777777" w:rsidTr="005E2111">
        <w:trPr>
          <w:trHeight w:val="151"/>
        </w:trPr>
        <w:tc>
          <w:tcPr>
            <w:tcW w:w="6189" w:type="dxa"/>
            <w:tcBorders>
              <w:top w:val="nil"/>
              <w:left w:val="nil"/>
              <w:bottom w:val="nil"/>
              <w:right w:val="nil"/>
            </w:tcBorders>
            <w:shd w:val="clear" w:color="auto" w:fill="auto"/>
            <w:tcMar>
              <w:top w:w="15" w:type="dxa"/>
              <w:left w:w="108" w:type="dxa"/>
              <w:bottom w:w="0" w:type="dxa"/>
              <w:right w:w="108" w:type="dxa"/>
            </w:tcMar>
            <w:vAlign w:val="center"/>
            <w:hideMark/>
          </w:tcPr>
          <w:p w14:paraId="73096873" w14:textId="77777777"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Потраживања преузета од Српске банке ад Београд</w:t>
            </w:r>
          </w:p>
        </w:tc>
        <w:tc>
          <w:tcPr>
            <w:tcW w:w="1583" w:type="dxa"/>
            <w:tcBorders>
              <w:top w:val="nil"/>
              <w:left w:val="nil"/>
              <w:bottom w:val="nil"/>
              <w:right w:val="nil"/>
            </w:tcBorders>
            <w:shd w:val="clear" w:color="auto" w:fill="auto"/>
            <w:tcMar>
              <w:top w:w="15" w:type="dxa"/>
              <w:left w:w="15" w:type="dxa"/>
              <w:bottom w:w="0" w:type="dxa"/>
              <w:right w:w="15" w:type="dxa"/>
            </w:tcMar>
            <w:vAlign w:val="center"/>
            <w:hideMark/>
          </w:tcPr>
          <w:p w14:paraId="4AF8F8E4"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166,46</w:t>
            </w:r>
          </w:p>
        </w:tc>
        <w:tc>
          <w:tcPr>
            <w:tcW w:w="1245" w:type="dxa"/>
            <w:tcBorders>
              <w:top w:val="nil"/>
              <w:left w:val="nil"/>
              <w:bottom w:val="nil"/>
              <w:right w:val="nil"/>
            </w:tcBorders>
            <w:shd w:val="clear" w:color="auto" w:fill="auto"/>
            <w:tcMar>
              <w:top w:w="15" w:type="dxa"/>
              <w:left w:w="15" w:type="dxa"/>
              <w:bottom w:w="0" w:type="dxa"/>
              <w:right w:w="15" w:type="dxa"/>
            </w:tcMar>
            <w:vAlign w:val="center"/>
            <w:hideMark/>
          </w:tcPr>
          <w:p w14:paraId="4C711912"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5,35%</w:t>
            </w:r>
          </w:p>
        </w:tc>
      </w:tr>
      <w:tr w:rsidR="004019A0" w:rsidRPr="00B27245" w14:paraId="072E87CF" w14:textId="77777777" w:rsidTr="005E2111">
        <w:trPr>
          <w:trHeight w:val="225"/>
        </w:trPr>
        <w:tc>
          <w:tcPr>
            <w:tcW w:w="6189" w:type="dxa"/>
            <w:tcBorders>
              <w:top w:val="nil"/>
              <w:left w:val="nil"/>
              <w:bottom w:val="single" w:sz="8" w:space="0" w:color="000000"/>
              <w:right w:val="nil"/>
            </w:tcBorders>
            <w:shd w:val="clear" w:color="auto" w:fill="auto"/>
            <w:tcMar>
              <w:top w:w="15" w:type="dxa"/>
              <w:left w:w="108" w:type="dxa"/>
              <w:bottom w:w="0" w:type="dxa"/>
              <w:right w:w="108" w:type="dxa"/>
            </w:tcMar>
            <w:vAlign w:val="center"/>
            <w:hideMark/>
          </w:tcPr>
          <w:p w14:paraId="6A2F7362" w14:textId="2C24AB33"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 xml:space="preserve">Потраживања преузета од </w:t>
            </w:r>
            <w:r w:rsidR="00EF4241" w:rsidRPr="00B27245">
              <w:rPr>
                <w:rFonts w:ascii="Times New Roman" w:hAnsi="Times New Roman" w:cs="Times New Roman"/>
                <w:sz w:val="20"/>
                <w:szCs w:val="24"/>
                <w:lang w:val="sr-Cyrl-CS"/>
              </w:rPr>
              <w:t>Југобанка Југбанка ад Косовска Митровица</w:t>
            </w:r>
            <w:r w:rsidRPr="00B27245">
              <w:rPr>
                <w:rFonts w:ascii="Times New Roman" w:hAnsi="Times New Roman" w:cs="Times New Roman"/>
                <w:sz w:val="20"/>
                <w:szCs w:val="24"/>
                <w:lang w:val="sr-Cyrl-CS"/>
              </w:rPr>
              <w:t xml:space="preserve">                              </w:t>
            </w:r>
          </w:p>
        </w:tc>
        <w:tc>
          <w:tcPr>
            <w:tcW w:w="1583" w:type="dxa"/>
            <w:tcBorders>
              <w:top w:val="nil"/>
              <w:left w:val="nil"/>
              <w:bottom w:val="single" w:sz="8" w:space="0" w:color="000000"/>
              <w:right w:val="nil"/>
            </w:tcBorders>
            <w:shd w:val="clear" w:color="auto" w:fill="auto"/>
            <w:tcMar>
              <w:top w:w="15" w:type="dxa"/>
              <w:left w:w="15" w:type="dxa"/>
              <w:bottom w:w="0" w:type="dxa"/>
              <w:right w:w="15" w:type="dxa"/>
            </w:tcMar>
            <w:vAlign w:val="center"/>
            <w:hideMark/>
          </w:tcPr>
          <w:p w14:paraId="396A5935"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273,57</w:t>
            </w:r>
          </w:p>
        </w:tc>
        <w:tc>
          <w:tcPr>
            <w:tcW w:w="1245" w:type="dxa"/>
            <w:tcBorders>
              <w:top w:val="nil"/>
              <w:left w:val="nil"/>
              <w:bottom w:val="single" w:sz="8" w:space="0" w:color="000000"/>
              <w:right w:val="nil"/>
            </w:tcBorders>
            <w:shd w:val="clear" w:color="auto" w:fill="auto"/>
            <w:tcMar>
              <w:top w:w="15" w:type="dxa"/>
              <w:left w:w="15" w:type="dxa"/>
              <w:bottom w:w="0" w:type="dxa"/>
              <w:right w:w="15" w:type="dxa"/>
            </w:tcMar>
            <w:vAlign w:val="center"/>
            <w:hideMark/>
          </w:tcPr>
          <w:p w14:paraId="3FED2198"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8,80%</w:t>
            </w:r>
          </w:p>
        </w:tc>
      </w:tr>
      <w:tr w:rsidR="005E2111" w:rsidRPr="00B27245" w14:paraId="3FC1855A" w14:textId="77777777" w:rsidTr="00075899">
        <w:trPr>
          <w:trHeight w:val="304"/>
        </w:trPr>
        <w:tc>
          <w:tcPr>
            <w:tcW w:w="6189" w:type="dxa"/>
            <w:tcBorders>
              <w:top w:val="single" w:sz="8" w:space="0" w:color="000000"/>
              <w:left w:val="nil"/>
              <w:bottom w:val="single" w:sz="8" w:space="0" w:color="000000"/>
              <w:right w:val="nil"/>
            </w:tcBorders>
            <w:shd w:val="pct5" w:color="auto" w:fill="auto"/>
            <w:tcMar>
              <w:top w:w="15" w:type="dxa"/>
              <w:left w:w="108" w:type="dxa"/>
              <w:bottom w:w="0" w:type="dxa"/>
              <w:right w:w="108" w:type="dxa"/>
            </w:tcMar>
            <w:vAlign w:val="center"/>
            <w:hideMark/>
          </w:tcPr>
          <w:p w14:paraId="1F1CBD88" w14:textId="77777777" w:rsidR="004019A0" w:rsidRPr="00B27245" w:rsidRDefault="004019A0"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Укупно у име и за рачун државе</w:t>
            </w:r>
          </w:p>
        </w:tc>
        <w:tc>
          <w:tcPr>
            <w:tcW w:w="1583" w:type="dxa"/>
            <w:tcBorders>
              <w:top w:val="single" w:sz="8" w:space="0" w:color="000000"/>
              <w:left w:val="nil"/>
              <w:bottom w:val="single" w:sz="8" w:space="0" w:color="000000"/>
              <w:right w:val="nil"/>
            </w:tcBorders>
            <w:shd w:val="clear" w:color="auto" w:fill="F2F2F2"/>
            <w:tcMar>
              <w:top w:w="15" w:type="dxa"/>
              <w:left w:w="15" w:type="dxa"/>
              <w:bottom w:w="0" w:type="dxa"/>
              <w:right w:w="15" w:type="dxa"/>
            </w:tcMar>
            <w:vAlign w:val="center"/>
            <w:hideMark/>
          </w:tcPr>
          <w:p w14:paraId="2C9FE020"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3.110,46</w:t>
            </w:r>
          </w:p>
        </w:tc>
        <w:tc>
          <w:tcPr>
            <w:tcW w:w="1245" w:type="dxa"/>
            <w:tcBorders>
              <w:top w:val="single" w:sz="8" w:space="0" w:color="000000"/>
              <w:left w:val="nil"/>
              <w:bottom w:val="single" w:sz="8" w:space="0" w:color="000000"/>
              <w:right w:val="nil"/>
            </w:tcBorders>
            <w:shd w:val="clear" w:color="auto" w:fill="F2F2F2"/>
            <w:tcMar>
              <w:top w:w="15" w:type="dxa"/>
              <w:left w:w="108" w:type="dxa"/>
              <w:bottom w:w="0" w:type="dxa"/>
              <w:right w:w="108" w:type="dxa"/>
            </w:tcMar>
            <w:vAlign w:val="center"/>
            <w:hideMark/>
          </w:tcPr>
          <w:p w14:paraId="0C65FDAD" w14:textId="77777777" w:rsidR="004019A0" w:rsidRPr="00B27245" w:rsidRDefault="004019A0"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100%</w:t>
            </w:r>
          </w:p>
        </w:tc>
      </w:tr>
    </w:tbl>
    <w:p w14:paraId="7E25ADAD" w14:textId="77777777" w:rsidR="004019A0" w:rsidRPr="00B27245" w:rsidRDefault="004019A0" w:rsidP="00A47864">
      <w:pPr>
        <w:spacing w:line="276" w:lineRule="auto"/>
        <w:jc w:val="both"/>
        <w:rPr>
          <w:rFonts w:ascii="Times New Roman" w:hAnsi="Times New Roman" w:cs="Times New Roman"/>
          <w:sz w:val="24"/>
          <w:szCs w:val="24"/>
          <w:lang w:val="sr-Cyrl-CS"/>
        </w:rPr>
      </w:pPr>
    </w:p>
    <w:p w14:paraId="2188E531" w14:textId="77777777" w:rsidR="00D87FF7" w:rsidRPr="00B27245" w:rsidRDefault="00D87FF7" w:rsidP="00075899">
      <w:pPr>
        <w:spacing w:line="276" w:lineRule="auto"/>
        <w:jc w:val="center"/>
        <w:rPr>
          <w:rFonts w:ascii="Times New Roman" w:hAnsi="Times New Roman" w:cs="Times New Roman"/>
          <w:sz w:val="24"/>
          <w:szCs w:val="24"/>
          <w:lang w:val="sr-Cyrl-CS"/>
        </w:rPr>
      </w:pPr>
    </w:p>
    <w:p w14:paraId="13BDC1E5" w14:textId="77777777" w:rsidR="00D87FF7" w:rsidRPr="00B27245" w:rsidRDefault="00D87FF7" w:rsidP="00075899">
      <w:pPr>
        <w:spacing w:line="276" w:lineRule="auto"/>
        <w:jc w:val="center"/>
        <w:rPr>
          <w:rFonts w:ascii="Times New Roman" w:hAnsi="Times New Roman" w:cs="Times New Roman"/>
          <w:sz w:val="24"/>
          <w:szCs w:val="24"/>
          <w:lang w:val="sr-Cyrl-CS"/>
        </w:rPr>
      </w:pPr>
    </w:p>
    <w:p w14:paraId="1DA0F004" w14:textId="77777777" w:rsidR="00D87FF7" w:rsidRPr="00B27245" w:rsidRDefault="00D87FF7" w:rsidP="00075899">
      <w:pPr>
        <w:spacing w:line="276" w:lineRule="auto"/>
        <w:jc w:val="center"/>
        <w:rPr>
          <w:rFonts w:ascii="Times New Roman" w:hAnsi="Times New Roman" w:cs="Times New Roman"/>
          <w:sz w:val="24"/>
          <w:szCs w:val="24"/>
          <w:lang w:val="sr-Cyrl-CS"/>
        </w:rPr>
      </w:pPr>
    </w:p>
    <w:p w14:paraId="0684B9D7" w14:textId="38AD611D" w:rsidR="00075899" w:rsidRPr="00B27245" w:rsidRDefault="00A25508" w:rsidP="00075899">
      <w:pPr>
        <w:spacing w:line="276" w:lineRule="auto"/>
        <w:jc w:val="center"/>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Табела </w:t>
      </w:r>
      <w:r w:rsidRPr="00B27245">
        <w:rPr>
          <w:rFonts w:ascii="Times New Roman" w:hAnsi="Times New Roman" w:cs="Times New Roman"/>
          <w:i/>
          <w:sz w:val="24"/>
          <w:szCs w:val="24"/>
          <w:lang w:val="sr-Cyrl-CS"/>
        </w:rPr>
        <w:fldChar w:fldCharType="begin"/>
      </w:r>
      <w:r w:rsidRPr="00B27245">
        <w:rPr>
          <w:rFonts w:ascii="Times New Roman" w:hAnsi="Times New Roman" w:cs="Times New Roman"/>
          <w:sz w:val="24"/>
          <w:szCs w:val="24"/>
          <w:lang w:val="sr-Cyrl-CS"/>
        </w:rPr>
        <w:instrText xml:space="preserve"> SEQ Табела \* ARABIC </w:instrText>
      </w:r>
      <w:r w:rsidRPr="00B27245">
        <w:rPr>
          <w:rFonts w:ascii="Times New Roman" w:hAnsi="Times New Roman" w:cs="Times New Roman"/>
          <w:i/>
          <w:sz w:val="24"/>
          <w:szCs w:val="24"/>
          <w:lang w:val="sr-Cyrl-CS"/>
        </w:rPr>
        <w:fldChar w:fldCharType="separate"/>
      </w:r>
      <w:r w:rsidR="00971B83">
        <w:rPr>
          <w:rFonts w:ascii="Times New Roman" w:hAnsi="Times New Roman" w:cs="Times New Roman"/>
          <w:noProof/>
          <w:sz w:val="24"/>
          <w:szCs w:val="24"/>
          <w:lang w:val="sr-Cyrl-CS"/>
        </w:rPr>
        <w:t>4</w:t>
      </w:r>
      <w:r w:rsidRPr="00B27245">
        <w:rPr>
          <w:rFonts w:ascii="Times New Roman" w:hAnsi="Times New Roman" w:cs="Times New Roman"/>
          <w:i/>
          <w:sz w:val="24"/>
          <w:szCs w:val="24"/>
          <w:lang w:val="sr-Cyrl-CS"/>
        </w:rPr>
        <w:fldChar w:fldCharType="end"/>
      </w:r>
      <w:r w:rsidRPr="00B27245">
        <w:rPr>
          <w:rFonts w:ascii="Times New Roman" w:hAnsi="Times New Roman" w:cs="Times New Roman"/>
          <w:sz w:val="24"/>
          <w:szCs w:val="24"/>
          <w:lang w:val="sr-Cyrl-CS"/>
        </w:rPr>
        <w:t>: Структура п</w:t>
      </w:r>
      <w:r w:rsidR="00075899" w:rsidRPr="00B27245">
        <w:rPr>
          <w:rFonts w:ascii="Times New Roman" w:hAnsi="Times New Roman" w:cs="Times New Roman"/>
          <w:sz w:val="24"/>
          <w:szCs w:val="24"/>
          <w:lang w:val="sr-Cyrl-CS"/>
        </w:rPr>
        <w:t xml:space="preserve">отраживања у име и за рачун државе </w:t>
      </w:r>
      <w:r w:rsidRPr="00B27245">
        <w:rPr>
          <w:rFonts w:ascii="Times New Roman" w:hAnsi="Times New Roman" w:cs="Times New Roman"/>
          <w:sz w:val="24"/>
          <w:szCs w:val="24"/>
          <w:lang w:val="sr-Cyrl-CS"/>
        </w:rPr>
        <w:t xml:space="preserve">према статусу дужника </w:t>
      </w:r>
      <w:r w:rsidR="00D87FF7" w:rsidRPr="00B27245">
        <w:rPr>
          <w:rFonts w:ascii="Times New Roman" w:hAnsi="Times New Roman" w:cs="Times New Roman"/>
          <w:sz w:val="24"/>
          <w:szCs w:val="24"/>
          <w:lang w:val="sr-Cyrl-CS"/>
        </w:rPr>
        <w:t>(милиони е</w:t>
      </w:r>
      <w:r w:rsidR="00075899" w:rsidRPr="00B27245">
        <w:rPr>
          <w:rFonts w:ascii="Times New Roman" w:hAnsi="Times New Roman" w:cs="Times New Roman"/>
          <w:sz w:val="24"/>
          <w:szCs w:val="24"/>
          <w:lang w:val="sr-Cyrl-CS"/>
        </w:rPr>
        <w:t>вра)</w:t>
      </w:r>
    </w:p>
    <w:tbl>
      <w:tblPr>
        <w:tblW w:w="8942" w:type="dxa"/>
        <w:tblCellMar>
          <w:left w:w="0" w:type="dxa"/>
          <w:right w:w="0" w:type="dxa"/>
        </w:tblCellMar>
        <w:tblLook w:val="0600" w:firstRow="0" w:lastRow="0" w:firstColumn="0" w:lastColumn="0" w:noHBand="1" w:noVBand="1"/>
      </w:tblPr>
      <w:tblGrid>
        <w:gridCol w:w="4547"/>
        <w:gridCol w:w="1843"/>
        <w:gridCol w:w="1134"/>
        <w:gridCol w:w="1418"/>
      </w:tblGrid>
      <w:tr w:rsidR="005E2111" w:rsidRPr="00B27245" w14:paraId="2620192B" w14:textId="77777777" w:rsidTr="005E2111">
        <w:trPr>
          <w:trHeight w:val="49"/>
        </w:trPr>
        <w:tc>
          <w:tcPr>
            <w:tcW w:w="4547" w:type="dxa"/>
            <w:tcBorders>
              <w:top w:val="single" w:sz="8" w:space="0" w:color="000000"/>
              <w:left w:val="nil"/>
              <w:bottom w:val="single" w:sz="8" w:space="0" w:color="000000"/>
              <w:right w:val="nil"/>
            </w:tcBorders>
            <w:shd w:val="clear" w:color="auto" w:fill="D8D8D8"/>
            <w:tcMar>
              <w:top w:w="11" w:type="dxa"/>
              <w:left w:w="11" w:type="dxa"/>
              <w:bottom w:w="0" w:type="dxa"/>
              <w:right w:w="11" w:type="dxa"/>
            </w:tcMar>
            <w:vAlign w:val="center"/>
            <w:hideMark/>
          </w:tcPr>
          <w:p w14:paraId="2CDA277A"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Остало</w:t>
            </w:r>
          </w:p>
        </w:tc>
        <w:tc>
          <w:tcPr>
            <w:tcW w:w="2977" w:type="dxa"/>
            <w:gridSpan w:val="2"/>
            <w:tcBorders>
              <w:top w:val="single" w:sz="8" w:space="0" w:color="000000"/>
              <w:left w:val="nil"/>
              <w:bottom w:val="single" w:sz="8" w:space="0" w:color="000000"/>
              <w:right w:val="nil"/>
            </w:tcBorders>
            <w:shd w:val="clear" w:color="auto" w:fill="D8D8D8"/>
            <w:tcMar>
              <w:top w:w="11" w:type="dxa"/>
              <w:left w:w="11" w:type="dxa"/>
              <w:bottom w:w="0" w:type="dxa"/>
              <w:right w:w="11" w:type="dxa"/>
            </w:tcMar>
            <w:vAlign w:val="center"/>
            <w:hideMark/>
          </w:tcPr>
          <w:p w14:paraId="482939E7"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 xml:space="preserve">Потраживање на дан 30.6.2018. </w:t>
            </w:r>
          </w:p>
        </w:tc>
        <w:tc>
          <w:tcPr>
            <w:tcW w:w="1418" w:type="dxa"/>
            <w:tcBorders>
              <w:top w:val="single" w:sz="8" w:space="0" w:color="000000"/>
              <w:left w:val="nil"/>
              <w:bottom w:val="single" w:sz="8" w:space="0" w:color="000000"/>
              <w:right w:val="nil"/>
            </w:tcBorders>
            <w:shd w:val="clear" w:color="auto" w:fill="D8D8D8"/>
            <w:tcMar>
              <w:top w:w="11" w:type="dxa"/>
              <w:left w:w="11" w:type="dxa"/>
              <w:bottom w:w="0" w:type="dxa"/>
              <w:right w:w="11" w:type="dxa"/>
            </w:tcMar>
            <w:vAlign w:val="center"/>
            <w:hideMark/>
          </w:tcPr>
          <w:p w14:paraId="709F30CD" w14:textId="77777777" w:rsidR="00075899" w:rsidRPr="00B27245" w:rsidRDefault="00075899" w:rsidP="00075899">
            <w:pPr>
              <w:spacing w:after="0" w:line="276" w:lineRule="auto"/>
              <w:jc w:val="center"/>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Број дужника</w:t>
            </w:r>
          </w:p>
        </w:tc>
      </w:tr>
      <w:tr w:rsidR="00075899" w:rsidRPr="00B27245" w14:paraId="4EE68F88" w14:textId="77777777" w:rsidTr="005E2111">
        <w:trPr>
          <w:trHeight w:val="49"/>
        </w:trPr>
        <w:tc>
          <w:tcPr>
            <w:tcW w:w="4547" w:type="dxa"/>
            <w:tcBorders>
              <w:top w:val="single" w:sz="8" w:space="0" w:color="000000"/>
              <w:left w:val="nil"/>
              <w:bottom w:val="nil"/>
              <w:right w:val="nil"/>
            </w:tcBorders>
            <w:shd w:val="clear" w:color="auto" w:fill="auto"/>
            <w:tcMar>
              <w:top w:w="11" w:type="dxa"/>
              <w:left w:w="11" w:type="dxa"/>
              <w:bottom w:w="0" w:type="dxa"/>
              <w:right w:w="11" w:type="dxa"/>
            </w:tcMar>
            <w:vAlign w:val="center"/>
          </w:tcPr>
          <w:p w14:paraId="3872414A"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Јавна предузећа</w:t>
            </w:r>
          </w:p>
        </w:tc>
        <w:tc>
          <w:tcPr>
            <w:tcW w:w="1843" w:type="dxa"/>
            <w:tcBorders>
              <w:top w:val="single" w:sz="8" w:space="0" w:color="000000"/>
              <w:left w:val="nil"/>
              <w:bottom w:val="nil"/>
              <w:right w:val="nil"/>
            </w:tcBorders>
            <w:shd w:val="clear" w:color="auto" w:fill="auto"/>
            <w:tcMar>
              <w:top w:w="11" w:type="dxa"/>
              <w:left w:w="11" w:type="dxa"/>
              <w:bottom w:w="0" w:type="dxa"/>
              <w:right w:w="11" w:type="dxa"/>
            </w:tcMar>
            <w:vAlign w:val="center"/>
          </w:tcPr>
          <w:p w14:paraId="123F9657"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364,56</w:t>
            </w:r>
          </w:p>
        </w:tc>
        <w:tc>
          <w:tcPr>
            <w:tcW w:w="1134" w:type="dxa"/>
            <w:tcBorders>
              <w:top w:val="single" w:sz="8" w:space="0" w:color="000000"/>
              <w:left w:val="nil"/>
              <w:bottom w:val="nil"/>
              <w:right w:val="nil"/>
            </w:tcBorders>
            <w:shd w:val="clear" w:color="auto" w:fill="auto"/>
            <w:tcMar>
              <w:top w:w="11" w:type="dxa"/>
              <w:left w:w="11" w:type="dxa"/>
              <w:bottom w:w="0" w:type="dxa"/>
              <w:right w:w="11" w:type="dxa"/>
            </w:tcMar>
            <w:vAlign w:val="center"/>
          </w:tcPr>
          <w:p w14:paraId="2C775502"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11,72%</w:t>
            </w:r>
          </w:p>
        </w:tc>
        <w:tc>
          <w:tcPr>
            <w:tcW w:w="1418" w:type="dxa"/>
            <w:tcBorders>
              <w:top w:val="single" w:sz="8" w:space="0" w:color="000000"/>
              <w:left w:val="nil"/>
              <w:bottom w:val="nil"/>
              <w:right w:val="nil"/>
            </w:tcBorders>
            <w:shd w:val="clear" w:color="auto" w:fill="auto"/>
            <w:tcMar>
              <w:top w:w="11" w:type="dxa"/>
              <w:left w:w="11" w:type="dxa"/>
              <w:bottom w:w="0" w:type="dxa"/>
              <w:right w:w="11" w:type="dxa"/>
            </w:tcMar>
            <w:vAlign w:val="center"/>
          </w:tcPr>
          <w:p w14:paraId="7904F98D"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11</w:t>
            </w:r>
          </w:p>
        </w:tc>
      </w:tr>
      <w:tr w:rsidR="00075899" w:rsidRPr="00B27245" w14:paraId="08D0E3AD" w14:textId="77777777" w:rsidTr="005E2111">
        <w:trPr>
          <w:trHeight w:val="49"/>
        </w:trPr>
        <w:tc>
          <w:tcPr>
            <w:tcW w:w="4547" w:type="dxa"/>
            <w:tcBorders>
              <w:top w:val="single" w:sz="8" w:space="0" w:color="000000"/>
              <w:left w:val="nil"/>
              <w:bottom w:val="nil"/>
              <w:right w:val="nil"/>
            </w:tcBorders>
            <w:shd w:val="clear" w:color="auto" w:fill="auto"/>
            <w:tcMar>
              <w:top w:w="11" w:type="dxa"/>
              <w:left w:w="11" w:type="dxa"/>
              <w:bottom w:w="0" w:type="dxa"/>
              <w:right w:w="11" w:type="dxa"/>
            </w:tcMar>
            <w:vAlign w:val="center"/>
            <w:hideMark/>
          </w:tcPr>
          <w:p w14:paraId="7E1D313D"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 xml:space="preserve">Активна и блокирана привредна друштва </w:t>
            </w:r>
          </w:p>
        </w:tc>
        <w:tc>
          <w:tcPr>
            <w:tcW w:w="1843" w:type="dxa"/>
            <w:tcBorders>
              <w:top w:val="single" w:sz="8" w:space="0" w:color="000000"/>
              <w:left w:val="nil"/>
              <w:bottom w:val="nil"/>
              <w:right w:val="nil"/>
            </w:tcBorders>
            <w:shd w:val="clear" w:color="auto" w:fill="auto"/>
            <w:tcMar>
              <w:top w:w="11" w:type="dxa"/>
              <w:left w:w="11" w:type="dxa"/>
              <w:bottom w:w="0" w:type="dxa"/>
              <w:right w:w="11" w:type="dxa"/>
            </w:tcMar>
            <w:vAlign w:val="center"/>
            <w:hideMark/>
          </w:tcPr>
          <w:p w14:paraId="40F6F363"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123,15</w:t>
            </w:r>
          </w:p>
        </w:tc>
        <w:tc>
          <w:tcPr>
            <w:tcW w:w="1134" w:type="dxa"/>
            <w:tcBorders>
              <w:top w:val="single" w:sz="8" w:space="0" w:color="000000"/>
              <w:left w:val="nil"/>
              <w:bottom w:val="nil"/>
              <w:right w:val="nil"/>
            </w:tcBorders>
            <w:shd w:val="clear" w:color="auto" w:fill="auto"/>
            <w:tcMar>
              <w:top w:w="11" w:type="dxa"/>
              <w:left w:w="11" w:type="dxa"/>
              <w:bottom w:w="0" w:type="dxa"/>
              <w:right w:w="11" w:type="dxa"/>
            </w:tcMar>
            <w:vAlign w:val="center"/>
            <w:hideMark/>
          </w:tcPr>
          <w:p w14:paraId="5CE3EB1D"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4,48%</w:t>
            </w:r>
          </w:p>
        </w:tc>
        <w:tc>
          <w:tcPr>
            <w:tcW w:w="1418" w:type="dxa"/>
            <w:tcBorders>
              <w:top w:val="single" w:sz="8" w:space="0" w:color="000000"/>
              <w:left w:val="nil"/>
              <w:bottom w:val="nil"/>
              <w:right w:val="nil"/>
            </w:tcBorders>
            <w:shd w:val="clear" w:color="auto" w:fill="auto"/>
            <w:tcMar>
              <w:top w:w="11" w:type="dxa"/>
              <w:left w:w="11" w:type="dxa"/>
              <w:bottom w:w="0" w:type="dxa"/>
              <w:right w:w="11" w:type="dxa"/>
            </w:tcMar>
            <w:vAlign w:val="center"/>
            <w:hideMark/>
          </w:tcPr>
          <w:p w14:paraId="2EBFA2AF"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76</w:t>
            </w:r>
          </w:p>
        </w:tc>
      </w:tr>
      <w:tr w:rsidR="00075899" w:rsidRPr="00B27245" w14:paraId="793F9E4C" w14:textId="77777777" w:rsidTr="005E2111">
        <w:trPr>
          <w:trHeight w:val="69"/>
        </w:trPr>
        <w:tc>
          <w:tcPr>
            <w:tcW w:w="4547" w:type="dxa"/>
            <w:tcBorders>
              <w:top w:val="nil"/>
              <w:left w:val="nil"/>
              <w:bottom w:val="nil"/>
              <w:right w:val="nil"/>
            </w:tcBorders>
            <w:shd w:val="clear" w:color="auto" w:fill="auto"/>
            <w:tcMar>
              <w:top w:w="11" w:type="dxa"/>
              <w:left w:w="11" w:type="dxa"/>
              <w:bottom w:w="0" w:type="dxa"/>
              <w:right w:w="11" w:type="dxa"/>
            </w:tcMar>
            <w:vAlign w:val="center"/>
            <w:hideMark/>
          </w:tcPr>
          <w:p w14:paraId="50BB1DFE"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 xml:space="preserve">Привредна друштва у реорганизацији </w:t>
            </w:r>
          </w:p>
        </w:tc>
        <w:tc>
          <w:tcPr>
            <w:tcW w:w="1843" w:type="dxa"/>
            <w:tcBorders>
              <w:top w:val="nil"/>
              <w:left w:val="nil"/>
              <w:bottom w:val="nil"/>
              <w:right w:val="nil"/>
            </w:tcBorders>
            <w:shd w:val="clear" w:color="auto" w:fill="auto"/>
            <w:tcMar>
              <w:top w:w="11" w:type="dxa"/>
              <w:left w:w="11" w:type="dxa"/>
              <w:bottom w:w="0" w:type="dxa"/>
              <w:right w:w="11" w:type="dxa"/>
            </w:tcMar>
            <w:vAlign w:val="center"/>
            <w:hideMark/>
          </w:tcPr>
          <w:p w14:paraId="357A7151"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390,63</w:t>
            </w:r>
          </w:p>
        </w:tc>
        <w:tc>
          <w:tcPr>
            <w:tcW w:w="1134" w:type="dxa"/>
            <w:tcBorders>
              <w:top w:val="nil"/>
              <w:left w:val="nil"/>
              <w:bottom w:val="nil"/>
              <w:right w:val="nil"/>
            </w:tcBorders>
            <w:shd w:val="clear" w:color="auto" w:fill="auto"/>
            <w:tcMar>
              <w:top w:w="11" w:type="dxa"/>
              <w:left w:w="11" w:type="dxa"/>
              <w:bottom w:w="0" w:type="dxa"/>
              <w:right w:w="11" w:type="dxa"/>
            </w:tcMar>
            <w:vAlign w:val="center"/>
            <w:hideMark/>
          </w:tcPr>
          <w:p w14:paraId="3559F450"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14,23%</w:t>
            </w:r>
          </w:p>
        </w:tc>
        <w:tc>
          <w:tcPr>
            <w:tcW w:w="1418" w:type="dxa"/>
            <w:tcBorders>
              <w:top w:val="nil"/>
              <w:left w:val="nil"/>
              <w:bottom w:val="nil"/>
              <w:right w:val="nil"/>
            </w:tcBorders>
            <w:shd w:val="clear" w:color="auto" w:fill="auto"/>
            <w:tcMar>
              <w:top w:w="11" w:type="dxa"/>
              <w:left w:w="11" w:type="dxa"/>
              <w:bottom w:w="0" w:type="dxa"/>
              <w:right w:w="11" w:type="dxa"/>
            </w:tcMar>
            <w:vAlign w:val="center"/>
            <w:hideMark/>
          </w:tcPr>
          <w:p w14:paraId="56FE6A44"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36</w:t>
            </w:r>
          </w:p>
        </w:tc>
      </w:tr>
      <w:tr w:rsidR="00075899" w:rsidRPr="00B27245" w14:paraId="23D966B8" w14:textId="77777777" w:rsidTr="005E2111">
        <w:trPr>
          <w:trHeight w:val="69"/>
        </w:trPr>
        <w:tc>
          <w:tcPr>
            <w:tcW w:w="4547" w:type="dxa"/>
            <w:tcBorders>
              <w:top w:val="nil"/>
              <w:left w:val="nil"/>
              <w:bottom w:val="nil"/>
              <w:right w:val="nil"/>
            </w:tcBorders>
            <w:shd w:val="clear" w:color="auto" w:fill="auto"/>
            <w:tcMar>
              <w:top w:w="11" w:type="dxa"/>
              <w:left w:w="11" w:type="dxa"/>
              <w:bottom w:w="0" w:type="dxa"/>
              <w:right w:w="11" w:type="dxa"/>
            </w:tcMar>
            <w:vAlign w:val="center"/>
            <w:hideMark/>
          </w:tcPr>
          <w:p w14:paraId="18A8C385"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 xml:space="preserve">Стечај/ликвидација </w:t>
            </w:r>
          </w:p>
        </w:tc>
        <w:tc>
          <w:tcPr>
            <w:tcW w:w="1843" w:type="dxa"/>
            <w:tcBorders>
              <w:top w:val="nil"/>
              <w:left w:val="nil"/>
              <w:bottom w:val="nil"/>
              <w:right w:val="nil"/>
            </w:tcBorders>
            <w:shd w:val="clear" w:color="auto" w:fill="auto"/>
            <w:tcMar>
              <w:top w:w="11" w:type="dxa"/>
              <w:left w:w="11" w:type="dxa"/>
              <w:bottom w:w="0" w:type="dxa"/>
              <w:right w:w="11" w:type="dxa"/>
            </w:tcMar>
            <w:vAlign w:val="center"/>
            <w:hideMark/>
          </w:tcPr>
          <w:p w14:paraId="1D618D2D"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1.887,21</w:t>
            </w:r>
          </w:p>
        </w:tc>
        <w:tc>
          <w:tcPr>
            <w:tcW w:w="1134" w:type="dxa"/>
            <w:tcBorders>
              <w:top w:val="nil"/>
              <w:left w:val="nil"/>
              <w:bottom w:val="nil"/>
              <w:right w:val="nil"/>
            </w:tcBorders>
            <w:shd w:val="clear" w:color="auto" w:fill="auto"/>
            <w:tcMar>
              <w:top w:w="11" w:type="dxa"/>
              <w:left w:w="11" w:type="dxa"/>
              <w:bottom w:w="0" w:type="dxa"/>
              <w:right w:w="11" w:type="dxa"/>
            </w:tcMar>
            <w:vAlign w:val="center"/>
            <w:hideMark/>
          </w:tcPr>
          <w:p w14:paraId="4271B23E"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68,73%</w:t>
            </w:r>
          </w:p>
        </w:tc>
        <w:tc>
          <w:tcPr>
            <w:tcW w:w="1418" w:type="dxa"/>
            <w:tcBorders>
              <w:top w:val="nil"/>
              <w:left w:val="nil"/>
              <w:bottom w:val="nil"/>
              <w:right w:val="nil"/>
            </w:tcBorders>
            <w:shd w:val="clear" w:color="auto" w:fill="auto"/>
            <w:tcMar>
              <w:top w:w="11" w:type="dxa"/>
              <w:left w:w="11" w:type="dxa"/>
              <w:bottom w:w="0" w:type="dxa"/>
              <w:right w:w="11" w:type="dxa"/>
            </w:tcMar>
            <w:vAlign w:val="center"/>
            <w:hideMark/>
          </w:tcPr>
          <w:p w14:paraId="1ECFC586"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141</w:t>
            </w:r>
          </w:p>
        </w:tc>
      </w:tr>
      <w:tr w:rsidR="00075899" w:rsidRPr="00B27245" w14:paraId="1C8A2D1B" w14:textId="77777777" w:rsidTr="005E2111">
        <w:trPr>
          <w:trHeight w:val="69"/>
        </w:trPr>
        <w:tc>
          <w:tcPr>
            <w:tcW w:w="4547" w:type="dxa"/>
            <w:tcBorders>
              <w:top w:val="nil"/>
              <w:left w:val="nil"/>
              <w:bottom w:val="nil"/>
              <w:right w:val="nil"/>
            </w:tcBorders>
            <w:shd w:val="clear" w:color="auto" w:fill="auto"/>
            <w:tcMar>
              <w:top w:w="11" w:type="dxa"/>
              <w:left w:w="11" w:type="dxa"/>
              <w:bottom w:w="0" w:type="dxa"/>
              <w:right w:w="11" w:type="dxa"/>
            </w:tcMar>
            <w:vAlign w:val="center"/>
            <w:hideMark/>
          </w:tcPr>
          <w:p w14:paraId="66466DCB"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 xml:space="preserve">Брисани из АПР </w:t>
            </w:r>
          </w:p>
        </w:tc>
        <w:tc>
          <w:tcPr>
            <w:tcW w:w="1843" w:type="dxa"/>
            <w:tcBorders>
              <w:top w:val="nil"/>
              <w:left w:val="nil"/>
              <w:bottom w:val="nil"/>
              <w:right w:val="nil"/>
            </w:tcBorders>
            <w:shd w:val="clear" w:color="auto" w:fill="auto"/>
            <w:tcMar>
              <w:top w:w="11" w:type="dxa"/>
              <w:left w:w="11" w:type="dxa"/>
              <w:bottom w:w="0" w:type="dxa"/>
              <w:right w:w="11" w:type="dxa"/>
            </w:tcMar>
            <w:vAlign w:val="center"/>
            <w:hideMark/>
          </w:tcPr>
          <w:p w14:paraId="36EEF37E"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29,54</w:t>
            </w:r>
          </w:p>
        </w:tc>
        <w:tc>
          <w:tcPr>
            <w:tcW w:w="1134" w:type="dxa"/>
            <w:tcBorders>
              <w:top w:val="nil"/>
              <w:left w:val="nil"/>
              <w:bottom w:val="nil"/>
              <w:right w:val="nil"/>
            </w:tcBorders>
            <w:shd w:val="clear" w:color="auto" w:fill="auto"/>
            <w:tcMar>
              <w:top w:w="11" w:type="dxa"/>
              <w:left w:w="11" w:type="dxa"/>
              <w:bottom w:w="0" w:type="dxa"/>
              <w:right w:w="11" w:type="dxa"/>
            </w:tcMar>
            <w:vAlign w:val="center"/>
            <w:hideMark/>
          </w:tcPr>
          <w:p w14:paraId="07FFEE16"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1,08%</w:t>
            </w:r>
          </w:p>
        </w:tc>
        <w:tc>
          <w:tcPr>
            <w:tcW w:w="1418" w:type="dxa"/>
            <w:tcBorders>
              <w:top w:val="nil"/>
              <w:left w:val="nil"/>
              <w:bottom w:val="nil"/>
              <w:right w:val="nil"/>
            </w:tcBorders>
            <w:shd w:val="clear" w:color="auto" w:fill="auto"/>
            <w:tcMar>
              <w:top w:w="11" w:type="dxa"/>
              <w:left w:w="11" w:type="dxa"/>
              <w:bottom w:w="0" w:type="dxa"/>
              <w:right w:w="11" w:type="dxa"/>
            </w:tcMar>
            <w:vAlign w:val="center"/>
            <w:hideMark/>
          </w:tcPr>
          <w:p w14:paraId="005D7626"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26</w:t>
            </w:r>
          </w:p>
        </w:tc>
      </w:tr>
      <w:tr w:rsidR="00075899" w:rsidRPr="00B27245" w14:paraId="06FD3320" w14:textId="77777777" w:rsidTr="005E2111">
        <w:trPr>
          <w:trHeight w:val="69"/>
        </w:trPr>
        <w:tc>
          <w:tcPr>
            <w:tcW w:w="4547" w:type="dxa"/>
            <w:tcBorders>
              <w:top w:val="nil"/>
              <w:left w:val="nil"/>
              <w:bottom w:val="nil"/>
              <w:right w:val="nil"/>
            </w:tcBorders>
            <w:shd w:val="clear" w:color="auto" w:fill="auto"/>
            <w:tcMar>
              <w:top w:w="11" w:type="dxa"/>
              <w:left w:w="11" w:type="dxa"/>
              <w:bottom w:w="0" w:type="dxa"/>
              <w:right w:w="11" w:type="dxa"/>
            </w:tcMar>
            <w:vAlign w:val="center"/>
            <w:hideMark/>
          </w:tcPr>
          <w:p w14:paraId="7BF1191B" w14:textId="2CC705B9"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 xml:space="preserve">Потраживања преузета од </w:t>
            </w:r>
            <w:r w:rsidR="00EF4241" w:rsidRPr="00B27245">
              <w:rPr>
                <w:rFonts w:ascii="Times New Roman" w:hAnsi="Times New Roman" w:cs="Times New Roman"/>
                <w:sz w:val="20"/>
                <w:szCs w:val="24"/>
                <w:lang w:val="sr-Cyrl-CS"/>
              </w:rPr>
              <w:t xml:space="preserve">Југобанка Југбанка ад Косовска Митровица </w:t>
            </w:r>
            <w:r w:rsidRPr="00B27245">
              <w:rPr>
                <w:rFonts w:ascii="Times New Roman" w:hAnsi="Times New Roman" w:cs="Times New Roman"/>
                <w:sz w:val="20"/>
                <w:szCs w:val="24"/>
                <w:lang w:val="sr-Cyrl-CS"/>
              </w:rPr>
              <w:t xml:space="preserve">* </w:t>
            </w:r>
          </w:p>
        </w:tc>
        <w:tc>
          <w:tcPr>
            <w:tcW w:w="1843" w:type="dxa"/>
            <w:tcBorders>
              <w:top w:val="nil"/>
              <w:left w:val="nil"/>
              <w:bottom w:val="nil"/>
              <w:right w:val="nil"/>
            </w:tcBorders>
            <w:shd w:val="clear" w:color="auto" w:fill="auto"/>
            <w:tcMar>
              <w:top w:w="11" w:type="dxa"/>
              <w:left w:w="11" w:type="dxa"/>
              <w:bottom w:w="0" w:type="dxa"/>
              <w:right w:w="11" w:type="dxa"/>
            </w:tcMar>
            <w:vAlign w:val="center"/>
            <w:hideMark/>
          </w:tcPr>
          <w:p w14:paraId="6B5D2727"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273,57</w:t>
            </w:r>
          </w:p>
        </w:tc>
        <w:tc>
          <w:tcPr>
            <w:tcW w:w="1134" w:type="dxa"/>
            <w:tcBorders>
              <w:top w:val="nil"/>
              <w:left w:val="nil"/>
              <w:bottom w:val="nil"/>
              <w:right w:val="nil"/>
            </w:tcBorders>
            <w:shd w:val="clear" w:color="auto" w:fill="auto"/>
            <w:tcMar>
              <w:top w:w="11" w:type="dxa"/>
              <w:left w:w="11" w:type="dxa"/>
              <w:bottom w:w="0" w:type="dxa"/>
              <w:right w:w="11" w:type="dxa"/>
            </w:tcMar>
            <w:vAlign w:val="center"/>
            <w:hideMark/>
          </w:tcPr>
          <w:p w14:paraId="6FB3F73B"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9,96%</w:t>
            </w:r>
          </w:p>
        </w:tc>
        <w:tc>
          <w:tcPr>
            <w:tcW w:w="1418" w:type="dxa"/>
            <w:tcBorders>
              <w:top w:val="nil"/>
              <w:left w:val="nil"/>
              <w:bottom w:val="nil"/>
              <w:right w:val="nil"/>
            </w:tcBorders>
            <w:shd w:val="clear" w:color="auto" w:fill="auto"/>
            <w:tcMar>
              <w:top w:w="11" w:type="dxa"/>
              <w:left w:w="11" w:type="dxa"/>
              <w:bottom w:w="0" w:type="dxa"/>
              <w:right w:w="11" w:type="dxa"/>
            </w:tcMar>
            <w:vAlign w:val="center"/>
            <w:hideMark/>
          </w:tcPr>
          <w:p w14:paraId="66207A35"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14</w:t>
            </w:r>
          </w:p>
        </w:tc>
      </w:tr>
      <w:tr w:rsidR="00075899" w:rsidRPr="00B27245" w14:paraId="3ACE71B8" w14:textId="77777777" w:rsidTr="005E2111">
        <w:trPr>
          <w:trHeight w:val="69"/>
        </w:trPr>
        <w:tc>
          <w:tcPr>
            <w:tcW w:w="4547" w:type="dxa"/>
            <w:tcBorders>
              <w:top w:val="nil"/>
              <w:left w:val="nil"/>
              <w:bottom w:val="single" w:sz="8" w:space="0" w:color="000000"/>
              <w:right w:val="nil"/>
            </w:tcBorders>
            <w:shd w:val="clear" w:color="auto" w:fill="auto"/>
            <w:tcMar>
              <w:top w:w="11" w:type="dxa"/>
              <w:left w:w="11" w:type="dxa"/>
              <w:bottom w:w="0" w:type="dxa"/>
              <w:right w:w="11" w:type="dxa"/>
            </w:tcMar>
            <w:vAlign w:val="center"/>
            <w:hideMark/>
          </w:tcPr>
          <w:p w14:paraId="3A9F0D5F"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sz w:val="20"/>
                <w:szCs w:val="24"/>
                <w:lang w:val="sr-Cyrl-CS"/>
              </w:rPr>
              <w:t xml:space="preserve">Имовина стечена наплатом потраживања/замена испуњења и средства намењена продаји </w:t>
            </w:r>
          </w:p>
        </w:tc>
        <w:tc>
          <w:tcPr>
            <w:tcW w:w="1843" w:type="dxa"/>
            <w:tcBorders>
              <w:top w:val="nil"/>
              <w:left w:val="nil"/>
              <w:bottom w:val="single" w:sz="8" w:space="0" w:color="000000"/>
              <w:right w:val="nil"/>
            </w:tcBorders>
            <w:shd w:val="clear" w:color="auto" w:fill="auto"/>
            <w:tcMar>
              <w:top w:w="11" w:type="dxa"/>
              <w:left w:w="11" w:type="dxa"/>
              <w:bottom w:w="0" w:type="dxa"/>
              <w:right w:w="11" w:type="dxa"/>
            </w:tcMar>
            <w:vAlign w:val="center"/>
            <w:hideMark/>
          </w:tcPr>
          <w:p w14:paraId="02D0B894"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41,74</w:t>
            </w:r>
          </w:p>
        </w:tc>
        <w:tc>
          <w:tcPr>
            <w:tcW w:w="1134" w:type="dxa"/>
            <w:tcBorders>
              <w:top w:val="nil"/>
              <w:left w:val="nil"/>
              <w:bottom w:val="single" w:sz="8" w:space="0" w:color="000000"/>
              <w:right w:val="nil"/>
            </w:tcBorders>
            <w:shd w:val="clear" w:color="auto" w:fill="auto"/>
            <w:tcMar>
              <w:top w:w="11" w:type="dxa"/>
              <w:left w:w="11" w:type="dxa"/>
              <w:bottom w:w="0" w:type="dxa"/>
              <w:right w:w="11" w:type="dxa"/>
            </w:tcMar>
            <w:vAlign w:val="center"/>
            <w:hideMark/>
          </w:tcPr>
          <w:p w14:paraId="1C45A8AF"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1,52%</w:t>
            </w:r>
          </w:p>
        </w:tc>
        <w:tc>
          <w:tcPr>
            <w:tcW w:w="1418" w:type="dxa"/>
            <w:tcBorders>
              <w:top w:val="nil"/>
              <w:left w:val="nil"/>
              <w:bottom w:val="single" w:sz="8" w:space="0" w:color="000000"/>
              <w:right w:val="nil"/>
            </w:tcBorders>
            <w:shd w:val="clear" w:color="auto" w:fill="auto"/>
            <w:tcMar>
              <w:top w:w="11" w:type="dxa"/>
              <w:left w:w="11" w:type="dxa"/>
              <w:bottom w:w="0" w:type="dxa"/>
              <w:right w:w="11" w:type="dxa"/>
            </w:tcMar>
            <w:vAlign w:val="center"/>
            <w:hideMark/>
          </w:tcPr>
          <w:p w14:paraId="37650DC8"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sz w:val="20"/>
                <w:szCs w:val="24"/>
                <w:lang w:val="sr-Cyrl-CS"/>
              </w:rPr>
              <w:t>/</w:t>
            </w:r>
          </w:p>
        </w:tc>
      </w:tr>
      <w:tr w:rsidR="005E2111" w:rsidRPr="00B27245" w14:paraId="42EC75C3" w14:textId="77777777" w:rsidTr="00075899">
        <w:trPr>
          <w:trHeight w:val="290"/>
        </w:trPr>
        <w:tc>
          <w:tcPr>
            <w:tcW w:w="4547" w:type="dxa"/>
            <w:tcBorders>
              <w:top w:val="single" w:sz="8" w:space="0" w:color="000000"/>
              <w:left w:val="nil"/>
              <w:bottom w:val="single" w:sz="8" w:space="0" w:color="000000"/>
              <w:right w:val="nil"/>
            </w:tcBorders>
            <w:shd w:val="clear" w:color="auto" w:fill="D8D8D8"/>
            <w:tcMar>
              <w:top w:w="11" w:type="dxa"/>
              <w:left w:w="11" w:type="dxa"/>
              <w:bottom w:w="0" w:type="dxa"/>
              <w:right w:w="11" w:type="dxa"/>
            </w:tcMar>
            <w:vAlign w:val="center"/>
            <w:hideMark/>
          </w:tcPr>
          <w:p w14:paraId="1CED854D" w14:textId="77777777" w:rsidR="00075899" w:rsidRPr="00B27245" w:rsidRDefault="00075899" w:rsidP="00075899">
            <w:pPr>
              <w:spacing w:after="0" w:line="276" w:lineRule="auto"/>
              <w:jc w:val="both"/>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Укупно у име и за рачун државе</w:t>
            </w:r>
            <w:r w:rsidRPr="00B27245">
              <w:rPr>
                <w:rFonts w:ascii="Times New Roman" w:hAnsi="Times New Roman" w:cs="Times New Roman"/>
                <w:sz w:val="20"/>
                <w:szCs w:val="24"/>
                <w:lang w:val="sr-Cyrl-CS"/>
              </w:rPr>
              <w:t xml:space="preserve"> </w:t>
            </w:r>
          </w:p>
        </w:tc>
        <w:tc>
          <w:tcPr>
            <w:tcW w:w="1843" w:type="dxa"/>
            <w:tcBorders>
              <w:top w:val="single" w:sz="8" w:space="0" w:color="000000"/>
              <w:left w:val="nil"/>
              <w:bottom w:val="single" w:sz="8" w:space="0" w:color="000000"/>
              <w:right w:val="nil"/>
            </w:tcBorders>
            <w:shd w:val="clear" w:color="auto" w:fill="D8D8D8"/>
            <w:tcMar>
              <w:top w:w="11" w:type="dxa"/>
              <w:left w:w="11" w:type="dxa"/>
              <w:bottom w:w="0" w:type="dxa"/>
              <w:right w:w="11" w:type="dxa"/>
            </w:tcMar>
            <w:vAlign w:val="center"/>
            <w:hideMark/>
          </w:tcPr>
          <w:p w14:paraId="5F1F8C33"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3.110,46</w:t>
            </w:r>
          </w:p>
        </w:tc>
        <w:tc>
          <w:tcPr>
            <w:tcW w:w="1134" w:type="dxa"/>
            <w:tcBorders>
              <w:top w:val="single" w:sz="8" w:space="0" w:color="000000"/>
              <w:left w:val="nil"/>
              <w:bottom w:val="single" w:sz="8" w:space="0" w:color="000000"/>
              <w:right w:val="nil"/>
            </w:tcBorders>
            <w:shd w:val="clear" w:color="auto" w:fill="D8D8D8"/>
            <w:tcMar>
              <w:top w:w="11" w:type="dxa"/>
              <w:left w:w="11" w:type="dxa"/>
              <w:bottom w:w="0" w:type="dxa"/>
              <w:right w:w="11" w:type="dxa"/>
            </w:tcMar>
            <w:vAlign w:val="center"/>
            <w:hideMark/>
          </w:tcPr>
          <w:p w14:paraId="58526754" w14:textId="77777777" w:rsidR="00075899" w:rsidRPr="00B27245" w:rsidRDefault="00075899"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100%</w:t>
            </w:r>
          </w:p>
        </w:tc>
        <w:tc>
          <w:tcPr>
            <w:tcW w:w="1418" w:type="dxa"/>
            <w:tcBorders>
              <w:top w:val="single" w:sz="8" w:space="0" w:color="000000"/>
              <w:left w:val="nil"/>
              <w:bottom w:val="single" w:sz="8" w:space="0" w:color="000000"/>
              <w:right w:val="nil"/>
            </w:tcBorders>
            <w:shd w:val="clear" w:color="auto" w:fill="D8D8D8"/>
            <w:tcMar>
              <w:top w:w="11" w:type="dxa"/>
              <w:left w:w="11" w:type="dxa"/>
              <w:bottom w:w="0" w:type="dxa"/>
              <w:right w:w="11" w:type="dxa"/>
            </w:tcMar>
            <w:vAlign w:val="center"/>
            <w:hideMark/>
          </w:tcPr>
          <w:p w14:paraId="6C52E372" w14:textId="77777777" w:rsidR="00075899" w:rsidRPr="00B27245" w:rsidRDefault="005A67B4" w:rsidP="00075899">
            <w:pPr>
              <w:spacing w:after="0" w:line="276" w:lineRule="auto"/>
              <w:jc w:val="right"/>
              <w:rPr>
                <w:rFonts w:ascii="Times New Roman" w:hAnsi="Times New Roman" w:cs="Times New Roman"/>
                <w:sz w:val="20"/>
                <w:szCs w:val="24"/>
                <w:lang w:val="sr-Cyrl-CS"/>
              </w:rPr>
            </w:pPr>
            <w:r w:rsidRPr="00B27245">
              <w:rPr>
                <w:rFonts w:ascii="Times New Roman" w:hAnsi="Times New Roman" w:cs="Times New Roman"/>
                <w:b/>
                <w:bCs/>
                <w:sz w:val="20"/>
                <w:szCs w:val="24"/>
                <w:lang w:val="sr-Cyrl-CS"/>
              </w:rPr>
              <w:t>304</w:t>
            </w:r>
          </w:p>
        </w:tc>
      </w:tr>
    </w:tbl>
    <w:p w14:paraId="046EA2AB" w14:textId="77777777" w:rsidR="00075899" w:rsidRPr="00B27245" w:rsidRDefault="00075899" w:rsidP="00A47864">
      <w:pPr>
        <w:spacing w:line="276" w:lineRule="auto"/>
        <w:jc w:val="both"/>
        <w:rPr>
          <w:rFonts w:ascii="Times New Roman" w:hAnsi="Times New Roman" w:cs="Times New Roman"/>
          <w:sz w:val="24"/>
          <w:szCs w:val="24"/>
          <w:lang w:val="sr-Cyrl-CS"/>
        </w:rPr>
      </w:pPr>
    </w:p>
    <w:p w14:paraId="23633205" w14:textId="77777777" w:rsidR="00240478" w:rsidRPr="00B27245" w:rsidRDefault="00240478" w:rsidP="00D87FF7">
      <w:pPr>
        <w:spacing w:after="0" w:line="276"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У протеклом периоду наплата потраживања била је суочена са низом проблема. У пракси се АОД сусреће са великим бројем проблема и ограничавајућих фактора у реализацији наплате потраживања у име и за рачун државе. </w:t>
      </w:r>
    </w:p>
    <w:p w14:paraId="2F82B0A0" w14:textId="70AEDEAF" w:rsidR="00240478" w:rsidRPr="00B27245" w:rsidRDefault="00240478" w:rsidP="00D87FF7">
      <w:pPr>
        <w:spacing w:after="0" w:line="276"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Како би се убрзао поступак намирења </w:t>
      </w:r>
      <w:r w:rsidR="00D92668" w:rsidRPr="00B27245">
        <w:rPr>
          <w:rFonts w:ascii="Times New Roman" w:hAnsi="Times New Roman" w:cs="Times New Roman"/>
          <w:sz w:val="24"/>
          <w:szCs w:val="24"/>
          <w:lang w:val="sr-Cyrl-CS"/>
        </w:rPr>
        <w:t>Програм</w:t>
      </w:r>
      <w:r w:rsidRPr="00B27245">
        <w:rPr>
          <w:rFonts w:ascii="Times New Roman" w:hAnsi="Times New Roman" w:cs="Times New Roman"/>
          <w:sz w:val="24"/>
          <w:szCs w:val="24"/>
          <w:lang w:val="sr-Cyrl-CS"/>
        </w:rPr>
        <w:t xml:space="preserve"> предвиђа спровођење пилот пројекта којим ће се продати потраживања мањег дела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након чега ће на продају бити понуђен и остатак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АОД и појединих државних финансијских поверилаца.</w:t>
      </w:r>
    </w:p>
    <w:p w14:paraId="43BEB68D" w14:textId="762C3A22" w:rsidR="004019A0" w:rsidRPr="00B27245" w:rsidRDefault="004019A0" w:rsidP="00D87FF7">
      <w:pPr>
        <w:spacing w:after="0" w:line="276"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Ради реа</w:t>
      </w:r>
      <w:r w:rsidR="008A4A72" w:rsidRPr="00B27245">
        <w:rPr>
          <w:rFonts w:ascii="Times New Roman" w:hAnsi="Times New Roman" w:cs="Times New Roman"/>
          <w:sz w:val="24"/>
          <w:szCs w:val="24"/>
          <w:lang w:val="sr-Cyrl-CS"/>
        </w:rPr>
        <w:t>лизације пилот пројекта АОД</w:t>
      </w:r>
      <w:r w:rsidRPr="00B27245">
        <w:rPr>
          <w:rFonts w:ascii="Times New Roman" w:hAnsi="Times New Roman" w:cs="Times New Roman"/>
          <w:sz w:val="24"/>
          <w:szCs w:val="24"/>
          <w:lang w:val="sr-Cyrl-CS"/>
        </w:rPr>
        <w:t xml:space="preserve"> је потписала Меморандум са Владом Велике Британије и Министарством финансија Републике Србије. Уз помоћ консултанта ангажованог на пројекту, АОД је извршила низ активности усмерених ка ефикаснијој наплати потраживања, а применом Методологије за идентификацију проблематичних кредита, изабрано је 16 група дужника који су били предмет додатне анализе и за које су припремљени додатни подаци за потенцијалне инвеститоре. У протеклом периоду конс</w:t>
      </w:r>
      <w:r w:rsidR="0065610A" w:rsidRPr="00B27245">
        <w:rPr>
          <w:rFonts w:ascii="Times New Roman" w:hAnsi="Times New Roman" w:cs="Times New Roman"/>
          <w:sz w:val="24"/>
          <w:szCs w:val="24"/>
          <w:lang w:val="sr-Cyrl-CS"/>
        </w:rPr>
        <w:t>ултант је у сарадњи са АОД</w:t>
      </w:r>
      <w:r w:rsidRPr="00B27245">
        <w:rPr>
          <w:rFonts w:ascii="Times New Roman" w:hAnsi="Times New Roman" w:cs="Times New Roman"/>
          <w:sz w:val="24"/>
          <w:szCs w:val="24"/>
          <w:lang w:val="sr-Cyrl-CS"/>
        </w:rPr>
        <w:t xml:space="preserve"> и Министарством</w:t>
      </w:r>
      <w:r w:rsidR="0065610A" w:rsidRPr="00B27245">
        <w:rPr>
          <w:rFonts w:ascii="Times New Roman" w:hAnsi="Times New Roman" w:cs="Times New Roman"/>
          <w:sz w:val="24"/>
          <w:szCs w:val="24"/>
          <w:lang w:val="sr-Cyrl-CS"/>
        </w:rPr>
        <w:t xml:space="preserve"> финансија</w:t>
      </w:r>
      <w:r w:rsidR="00EC38F8" w:rsidRPr="00B27245">
        <w:rPr>
          <w:rFonts w:ascii="Times New Roman" w:hAnsi="Times New Roman" w:cs="Times New Roman"/>
          <w:sz w:val="24"/>
          <w:szCs w:val="24"/>
          <w:lang w:val="sr-Cyrl-CS"/>
        </w:rPr>
        <w:t xml:space="preserve"> </w:t>
      </w:r>
      <w:r w:rsidR="00EC38F8" w:rsidRPr="00B27245">
        <w:rPr>
          <w:rFonts w:ascii="Times New Roman" w:hAnsi="Times New Roman"/>
          <w:sz w:val="24"/>
          <w:szCs w:val="24"/>
          <w:lang w:val="sr-Cyrl-CS"/>
        </w:rPr>
        <w:t xml:space="preserve">(у даљем тексту: МФ) </w:t>
      </w:r>
      <w:r w:rsidRPr="00B27245">
        <w:rPr>
          <w:rFonts w:ascii="Times New Roman" w:hAnsi="Times New Roman" w:cs="Times New Roman"/>
          <w:sz w:val="24"/>
          <w:szCs w:val="24"/>
          <w:lang w:val="sr-Cyrl-CS"/>
        </w:rPr>
        <w:t xml:space="preserve"> радио на припреми и прикупљању релевантних информација и документације (кредитне документације, документације у вези са средствима обезбеђења и др.), а планиране су и активности које се односе на процену колатерала, индикативну процену наплативости потраживања, израду трансакционе документације. Одабране групе дужника биле су предмет </w:t>
      </w:r>
      <w:r w:rsidR="00AD75BC" w:rsidRPr="00B27245">
        <w:rPr>
          <w:rFonts w:ascii="Times New Roman" w:hAnsi="Times New Roman" w:cs="Times New Roman"/>
          <w:sz w:val="24"/>
          <w:szCs w:val="24"/>
          <w:lang w:val="sr-Cyrl-CS"/>
        </w:rPr>
        <w:t xml:space="preserve">детаљног </w:t>
      </w:r>
      <w:r w:rsidRPr="00B27245">
        <w:rPr>
          <w:rFonts w:ascii="Times New Roman" w:hAnsi="Times New Roman" w:cs="Times New Roman"/>
          <w:sz w:val="24"/>
          <w:szCs w:val="24"/>
          <w:lang w:val="sr-Cyrl-CS"/>
        </w:rPr>
        <w:t>разматрања.</w:t>
      </w:r>
    </w:p>
    <w:p w14:paraId="4A56BA61" w14:textId="0EF061B9" w:rsidR="00A47864" w:rsidRPr="00B27245" w:rsidRDefault="00AD75BC" w:rsidP="0065610A">
      <w:pPr>
        <w:spacing w:line="276"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Након разрешења потраживања пилот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активности ће бити усмерене ка разрешавању преосталог </w:t>
      </w:r>
      <w:r w:rsidR="0065610A" w:rsidRPr="00B27245">
        <w:rPr>
          <w:rFonts w:ascii="Times New Roman" w:hAnsi="Times New Roman" w:cs="Times New Roman"/>
          <w:sz w:val="24"/>
          <w:szCs w:val="24"/>
          <w:lang w:val="sr-Cyrl-CS"/>
        </w:rPr>
        <w:t>„великог”</w:t>
      </w:r>
      <w:r w:rsidRPr="00B27245">
        <w:rPr>
          <w:rFonts w:ascii="Times New Roman" w:hAnsi="Times New Roman" w:cs="Times New Roman"/>
          <w:sz w:val="24"/>
          <w:szCs w:val="24"/>
          <w:lang w:val="sr-Cyrl-CS"/>
        </w:rPr>
        <w:t xml:space="preserve">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АОД, при чему је могуће придруживање и других државних финансијских поверилаца. Наиме, </w:t>
      </w:r>
      <w:r w:rsidRPr="00B27245">
        <w:rPr>
          <w:rFonts w:ascii="Times New Roman" w:hAnsi="Times New Roman"/>
          <w:sz w:val="24"/>
          <w:lang w:val="sr-Cyrl-CS"/>
        </w:rPr>
        <w:t xml:space="preserve">у контексту </w:t>
      </w:r>
      <w:r w:rsidR="0065610A" w:rsidRPr="00B27245">
        <w:rPr>
          <w:rFonts w:ascii="Times New Roman" w:hAnsi="Times New Roman"/>
          <w:sz w:val="24"/>
          <w:lang w:val="sr-Cyrl-CS"/>
        </w:rPr>
        <w:t>реализације Стратегије</w:t>
      </w:r>
      <w:r w:rsidRPr="00B27245">
        <w:rPr>
          <w:rFonts w:ascii="Times New Roman" w:hAnsi="Times New Roman"/>
          <w:sz w:val="24"/>
          <w:lang w:val="sr-Cyrl-CS"/>
        </w:rPr>
        <w:t>, у</w:t>
      </w:r>
      <w:r w:rsidR="008A4A72" w:rsidRPr="00B27245">
        <w:rPr>
          <w:rFonts w:ascii="Times New Roman" w:hAnsi="Times New Roman"/>
          <w:sz w:val="24"/>
          <w:lang w:val="sr-Cyrl-CS"/>
        </w:rPr>
        <w:t xml:space="preserve"> фебруару 2017. године, АОД</w:t>
      </w:r>
      <w:r w:rsidRPr="00B27245">
        <w:rPr>
          <w:rFonts w:ascii="Times New Roman" w:hAnsi="Times New Roman"/>
          <w:sz w:val="24"/>
          <w:lang w:val="sr-Cyrl-CS"/>
        </w:rPr>
        <w:t>, Фонд за развој</w:t>
      </w:r>
      <w:r w:rsidR="001E356B">
        <w:rPr>
          <w:rFonts w:ascii="Times New Roman" w:hAnsi="Times New Roman"/>
          <w:sz w:val="24"/>
          <w:lang w:val="sr-Cyrl-CS"/>
        </w:rPr>
        <w:t xml:space="preserve"> Републике Србије</w:t>
      </w:r>
      <w:r w:rsidRPr="00B27245">
        <w:rPr>
          <w:rFonts w:ascii="Times New Roman" w:hAnsi="Times New Roman"/>
          <w:sz w:val="24"/>
          <w:lang w:val="sr-Cyrl-CS"/>
        </w:rPr>
        <w:t>, AOФИ, Банка Поштанска штедионица а.д. и Министарство финансија потписали су трогодишњи Меморандум о сарадњи у вези са координацијом активности за постизање ефикасније наплате проблематичних потраживања (</w:t>
      </w:r>
      <w:r w:rsidR="0065610A" w:rsidRPr="00B27245">
        <w:rPr>
          <w:rFonts w:ascii="Times New Roman" w:hAnsi="Times New Roman"/>
          <w:sz w:val="24"/>
          <w:lang w:val="sr-Cyrl-CS"/>
        </w:rPr>
        <w:t xml:space="preserve">у даљем тексту: </w:t>
      </w:r>
      <w:r w:rsidRPr="00B27245">
        <w:rPr>
          <w:rFonts w:ascii="Times New Roman" w:hAnsi="Times New Roman"/>
          <w:sz w:val="24"/>
          <w:lang w:val="sr-Cyrl-CS"/>
        </w:rPr>
        <w:t>Меморандум), услед чињенице да портфељи ових институција садрже велики број заједничких дужника и да заједнички приступ може увећати ефикасност решавања питања проблематичних пласмана.</w:t>
      </w:r>
      <w:r w:rsidRPr="00B27245">
        <w:rPr>
          <w:rFonts w:ascii="Times New Roman" w:hAnsi="Times New Roman" w:cs="Times New Roman"/>
          <w:sz w:val="24"/>
          <w:szCs w:val="24"/>
          <w:lang w:val="sr-Cyrl-CS"/>
        </w:rPr>
        <w:t xml:space="preserve"> </w:t>
      </w:r>
      <w:r w:rsidRPr="00B27245">
        <w:rPr>
          <w:rFonts w:ascii="Times New Roman" w:hAnsi="Times New Roman" w:cs="Times New Roman"/>
          <w:sz w:val="24"/>
          <w:szCs w:val="24"/>
          <w:lang w:val="sr-Cyrl-CS"/>
        </w:rPr>
        <w:lastRenderedPageBreak/>
        <w:t xml:space="preserve">Приликом продаје </w:t>
      </w:r>
      <w:r w:rsidR="0065610A" w:rsidRPr="00B27245">
        <w:rPr>
          <w:rFonts w:ascii="Times New Roman" w:hAnsi="Times New Roman" w:cs="Times New Roman"/>
          <w:sz w:val="24"/>
          <w:szCs w:val="24"/>
          <w:lang w:val="sr-Cyrl-CS"/>
        </w:rPr>
        <w:t>„великог”</w:t>
      </w:r>
      <w:r w:rsidRPr="00B27245">
        <w:rPr>
          <w:rFonts w:ascii="Times New Roman" w:hAnsi="Times New Roman" w:cs="Times New Roman"/>
          <w:sz w:val="24"/>
          <w:szCs w:val="24"/>
          <w:lang w:val="sr-Cyrl-CS"/>
        </w:rPr>
        <w:t xml:space="preserve">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потребно је размотрити најефикасније механизме укључивања других државних финансијских поверилаца, а н</w:t>
      </w:r>
      <w:r w:rsidR="0083182E" w:rsidRPr="00B27245">
        <w:rPr>
          <w:rFonts w:ascii="Times New Roman" w:hAnsi="Times New Roman" w:cs="Times New Roman"/>
          <w:sz w:val="24"/>
          <w:szCs w:val="24"/>
          <w:lang w:val="sr-Cyrl-CS"/>
        </w:rPr>
        <w:t>а основу постојећег Меморандума</w:t>
      </w:r>
      <w:r w:rsidRPr="00B27245">
        <w:rPr>
          <w:rFonts w:ascii="Times New Roman" w:hAnsi="Times New Roman" w:cs="Times New Roman"/>
          <w:sz w:val="24"/>
          <w:szCs w:val="24"/>
          <w:lang w:val="sr-Cyrl-CS"/>
        </w:rPr>
        <w:t>.</w:t>
      </w:r>
    </w:p>
    <w:p w14:paraId="7C38F320" w14:textId="57FE6EC5" w:rsidR="005E528F" w:rsidRPr="00B27245" w:rsidRDefault="005E528F" w:rsidP="0065610A">
      <w:pPr>
        <w:pStyle w:val="Heading2"/>
        <w:numPr>
          <w:ilvl w:val="2"/>
          <w:numId w:val="31"/>
        </w:numPr>
        <w:spacing w:after="0"/>
        <w:jc w:val="center"/>
        <w:rPr>
          <w:b w:val="0"/>
          <w:lang w:val="sr-Cyrl-CS"/>
        </w:rPr>
      </w:pPr>
      <w:r w:rsidRPr="00B27245">
        <w:rPr>
          <w:b w:val="0"/>
          <w:lang w:val="sr-Cyrl-CS"/>
        </w:rPr>
        <w:t xml:space="preserve">Продаја потраживања пилот </w:t>
      </w:r>
      <w:r w:rsidR="00655AA7" w:rsidRPr="00B27245">
        <w:rPr>
          <w:b w:val="0"/>
          <w:lang w:val="sr-Cyrl-CS"/>
        </w:rPr>
        <w:t>портфеља</w:t>
      </w:r>
    </w:p>
    <w:p w14:paraId="2FD4154D" w14:textId="77777777" w:rsidR="00947398" w:rsidRPr="00B27245" w:rsidRDefault="00947398" w:rsidP="0065610A">
      <w:pPr>
        <w:spacing w:after="0"/>
        <w:jc w:val="both"/>
        <w:rPr>
          <w:rFonts w:ascii="Times New Roman" w:hAnsi="Times New Roman" w:cs="Times New Roman"/>
          <w:sz w:val="24"/>
          <w:szCs w:val="24"/>
          <w:lang w:val="sr-Cyrl-CS"/>
        </w:rPr>
      </w:pPr>
    </w:p>
    <w:p w14:paraId="7641FC6B" w14:textId="476D9624" w:rsidR="00A12D44" w:rsidRPr="00B27245" w:rsidRDefault="00081508" w:rsidP="0065610A">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Продаја пилот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подразумева неколико корака. </w:t>
      </w:r>
    </w:p>
    <w:p w14:paraId="55999095" w14:textId="70B24042" w:rsidR="00081508" w:rsidRPr="00B27245" w:rsidRDefault="00D03F2C" w:rsidP="0065610A">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b/>
          <w:sz w:val="24"/>
          <w:szCs w:val="24"/>
          <w:lang w:val="sr-Cyrl-CS"/>
        </w:rPr>
        <w:t>Први корак</w:t>
      </w:r>
      <w:r w:rsidR="0065610A" w:rsidRPr="00B27245">
        <w:rPr>
          <w:rFonts w:ascii="Times New Roman" w:hAnsi="Times New Roman" w:cs="Times New Roman"/>
          <w:b/>
          <w:sz w:val="24"/>
          <w:szCs w:val="24"/>
          <w:lang w:val="sr-Cyrl-CS"/>
        </w:rPr>
        <w:t>,</w:t>
      </w:r>
      <w:r w:rsidRPr="00B27245">
        <w:rPr>
          <w:rFonts w:ascii="Times New Roman" w:hAnsi="Times New Roman" w:cs="Times New Roman"/>
          <w:sz w:val="24"/>
          <w:szCs w:val="24"/>
          <w:lang w:val="sr-Cyrl-CS"/>
        </w:rPr>
        <w:t xml:space="preserve"> односно п</w:t>
      </w:r>
      <w:r w:rsidR="00081508" w:rsidRPr="00B27245">
        <w:rPr>
          <w:rFonts w:ascii="Times New Roman" w:hAnsi="Times New Roman" w:cs="Times New Roman"/>
          <w:sz w:val="24"/>
          <w:szCs w:val="24"/>
          <w:lang w:val="sr-Cyrl-CS"/>
        </w:rPr>
        <w:t>рипремне активности обухватају</w:t>
      </w:r>
      <w:r w:rsidR="00B02193" w:rsidRPr="00B27245">
        <w:rPr>
          <w:rFonts w:ascii="Times New Roman" w:hAnsi="Times New Roman" w:cs="Times New Roman"/>
          <w:sz w:val="24"/>
          <w:szCs w:val="24"/>
          <w:lang w:val="sr-Cyrl-CS"/>
        </w:rPr>
        <w:t xml:space="preserve"> припреме нацрта прегледа портфеља потраживања (</w:t>
      </w:r>
      <w:r w:rsidR="00B02193" w:rsidRPr="00B27245">
        <w:rPr>
          <w:rFonts w:ascii="Times New Roman" w:hAnsi="Times New Roman" w:cs="Times New Roman"/>
          <w:i/>
          <w:sz w:val="24"/>
          <w:szCs w:val="24"/>
          <w:lang w:val="sr-Cyrl-CS"/>
        </w:rPr>
        <w:t>Data tape)</w:t>
      </w:r>
      <w:r w:rsidR="0065610A" w:rsidRPr="00B27245">
        <w:rPr>
          <w:rFonts w:ascii="Times New Roman" w:hAnsi="Times New Roman" w:cs="Times New Roman"/>
          <w:sz w:val="24"/>
          <w:szCs w:val="24"/>
          <w:lang w:val="sr-Cyrl-CS"/>
        </w:rPr>
        <w:t xml:space="preserve">, </w:t>
      </w:r>
      <w:r w:rsidR="00B02193" w:rsidRPr="00B27245">
        <w:rPr>
          <w:rFonts w:ascii="Times New Roman" w:hAnsi="Times New Roman" w:cs="Times New Roman"/>
          <w:sz w:val="24"/>
          <w:szCs w:val="24"/>
          <w:lang w:val="sr-Cyrl-CS"/>
        </w:rPr>
        <w:t>као и испитивање тржишта (</w:t>
      </w:r>
      <w:r w:rsidR="00B02193" w:rsidRPr="00B27245">
        <w:rPr>
          <w:rFonts w:ascii="Times New Roman" w:hAnsi="Times New Roman" w:cs="Times New Roman"/>
          <w:i/>
          <w:sz w:val="24"/>
          <w:szCs w:val="24"/>
          <w:lang w:val="sr-Cyrl-CS"/>
        </w:rPr>
        <w:t>Market sounding</w:t>
      </w:r>
      <w:r w:rsidR="00B02193" w:rsidRPr="00B27245">
        <w:rPr>
          <w:rFonts w:ascii="Times New Roman" w:hAnsi="Times New Roman" w:cs="Times New Roman"/>
          <w:sz w:val="24"/>
          <w:szCs w:val="24"/>
          <w:lang w:val="sr-Cyrl-CS"/>
        </w:rPr>
        <w:t xml:space="preserve">) о заинтересованости потенцијалних инвеститора за предложено уступање портфеља. </w:t>
      </w:r>
      <w:r w:rsidR="00081508" w:rsidRPr="00B27245">
        <w:rPr>
          <w:rFonts w:ascii="Times New Roman" w:hAnsi="Times New Roman" w:cs="Times New Roman"/>
          <w:sz w:val="24"/>
          <w:szCs w:val="24"/>
          <w:lang w:val="sr-Cyrl-CS"/>
        </w:rPr>
        <w:t xml:space="preserve"> </w:t>
      </w:r>
      <w:r w:rsidR="00B02193" w:rsidRPr="00B27245">
        <w:rPr>
          <w:rFonts w:ascii="Times New Roman" w:hAnsi="Times New Roman" w:cs="Times New Roman"/>
          <w:sz w:val="24"/>
          <w:szCs w:val="24"/>
          <w:lang w:val="sr-Cyrl-CS"/>
        </w:rPr>
        <w:t xml:space="preserve"> Уз наведено, Саветник у оквиру GGF пројекта припрема и доставља АОД-у анализу састава и образложење самог </w:t>
      </w:r>
      <w:r w:rsidR="00655AA7" w:rsidRPr="00B27245">
        <w:rPr>
          <w:rFonts w:ascii="Times New Roman" w:hAnsi="Times New Roman" w:cs="Times New Roman"/>
          <w:sz w:val="24"/>
          <w:szCs w:val="24"/>
          <w:lang w:val="sr-Cyrl-CS"/>
        </w:rPr>
        <w:t>портфеља</w:t>
      </w:r>
      <w:r w:rsidR="00B02193" w:rsidRPr="00B27245">
        <w:rPr>
          <w:rFonts w:ascii="Times New Roman" w:hAnsi="Times New Roman" w:cs="Times New Roman"/>
          <w:sz w:val="24"/>
          <w:szCs w:val="24"/>
          <w:lang w:val="sr-Cyrl-CS"/>
        </w:rPr>
        <w:t xml:space="preserve">. </w:t>
      </w:r>
    </w:p>
    <w:p w14:paraId="7F4C7CB1" w14:textId="5897D4E0" w:rsidR="00B02193" w:rsidRPr="00B27245" w:rsidRDefault="002137A5" w:rsidP="0065610A">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b/>
          <w:sz w:val="24"/>
          <w:szCs w:val="24"/>
          <w:lang w:val="sr-Cyrl-CS"/>
        </w:rPr>
        <w:t>Други корак</w:t>
      </w:r>
      <w:r w:rsidRPr="00B27245">
        <w:rPr>
          <w:rFonts w:ascii="Times New Roman" w:hAnsi="Times New Roman" w:cs="Times New Roman"/>
          <w:sz w:val="24"/>
          <w:szCs w:val="24"/>
          <w:lang w:val="sr-Cyrl-CS"/>
        </w:rPr>
        <w:t xml:space="preserve"> </w:t>
      </w:r>
      <w:r w:rsidR="00B02193" w:rsidRPr="00B27245">
        <w:rPr>
          <w:rFonts w:ascii="Times New Roman" w:hAnsi="Times New Roman" w:cs="Times New Roman"/>
          <w:sz w:val="24"/>
          <w:szCs w:val="24"/>
          <w:lang w:val="sr-Cyrl-CS"/>
        </w:rPr>
        <w:t xml:space="preserve">чине припремне активности за спровођење тендерског поступка за продају пилот </w:t>
      </w:r>
      <w:r w:rsidR="00655AA7" w:rsidRPr="00B27245">
        <w:rPr>
          <w:rFonts w:ascii="Times New Roman" w:hAnsi="Times New Roman" w:cs="Times New Roman"/>
          <w:sz w:val="24"/>
          <w:szCs w:val="24"/>
          <w:lang w:val="sr-Cyrl-CS"/>
        </w:rPr>
        <w:t>портфеља</w:t>
      </w:r>
      <w:r w:rsidR="0089259F" w:rsidRPr="00B27245">
        <w:rPr>
          <w:rFonts w:ascii="Times New Roman" w:hAnsi="Times New Roman" w:cs="Times New Roman"/>
          <w:sz w:val="24"/>
          <w:szCs w:val="24"/>
          <w:lang w:val="sr-Cyrl-CS"/>
        </w:rPr>
        <w:t xml:space="preserve"> које </w:t>
      </w:r>
      <w:r w:rsidR="00B02193" w:rsidRPr="00B27245">
        <w:rPr>
          <w:rFonts w:ascii="Times New Roman" w:hAnsi="Times New Roman" w:cs="Times New Roman"/>
          <w:sz w:val="24"/>
          <w:szCs w:val="24"/>
          <w:lang w:val="sr-Cyrl-CS"/>
        </w:rPr>
        <w:t>подразумевају припрему огласа о уступању портфеља потраживања, усаглашавање нацрта прегледа портфеља потраживања (</w:t>
      </w:r>
      <w:r w:rsidR="00B02193" w:rsidRPr="00B27245">
        <w:rPr>
          <w:rFonts w:ascii="Times New Roman" w:hAnsi="Times New Roman" w:cs="Times New Roman"/>
          <w:i/>
          <w:sz w:val="24"/>
          <w:szCs w:val="24"/>
          <w:lang w:val="sr-Cyrl-CS"/>
        </w:rPr>
        <w:t>Data tape</w:t>
      </w:r>
      <w:r w:rsidR="00B02193" w:rsidRPr="00B27245">
        <w:rPr>
          <w:rFonts w:ascii="Times New Roman" w:hAnsi="Times New Roman" w:cs="Times New Roman"/>
          <w:sz w:val="24"/>
          <w:szCs w:val="24"/>
          <w:lang w:val="sr-Cyrl-CS"/>
        </w:rPr>
        <w:t>), израду и усаглашавање нацрта поступка тендерске продаје (</w:t>
      </w:r>
      <w:r w:rsidR="00B02193" w:rsidRPr="00B27245">
        <w:rPr>
          <w:rFonts w:ascii="Times New Roman" w:hAnsi="Times New Roman" w:cs="Times New Roman"/>
          <w:i/>
          <w:sz w:val="24"/>
          <w:szCs w:val="24"/>
          <w:lang w:val="sr-Cyrl-CS"/>
        </w:rPr>
        <w:t>Process Letter</w:t>
      </w:r>
      <w:r w:rsidR="00B02193" w:rsidRPr="00B27245">
        <w:rPr>
          <w:rFonts w:ascii="Times New Roman" w:hAnsi="Times New Roman" w:cs="Times New Roman"/>
          <w:sz w:val="24"/>
          <w:szCs w:val="24"/>
          <w:lang w:val="sr-Cyrl-CS"/>
        </w:rPr>
        <w:t>), израду и усаглашавање нацрта обавезујуће понуде и нацрта правила за собу са подацима (</w:t>
      </w:r>
      <w:r w:rsidR="00B02193" w:rsidRPr="00B27245">
        <w:rPr>
          <w:rFonts w:ascii="Times New Roman" w:hAnsi="Times New Roman" w:cs="Times New Roman"/>
          <w:i/>
          <w:sz w:val="24"/>
          <w:szCs w:val="24"/>
          <w:lang w:val="sr-Cyrl-CS"/>
        </w:rPr>
        <w:t>Data Room Rules</w:t>
      </w:r>
      <w:r w:rsidR="00B02193" w:rsidRPr="00B27245">
        <w:rPr>
          <w:rFonts w:ascii="Times New Roman" w:hAnsi="Times New Roman" w:cs="Times New Roman"/>
          <w:sz w:val="24"/>
          <w:szCs w:val="24"/>
          <w:lang w:val="sr-Cyrl-CS"/>
        </w:rPr>
        <w:t xml:space="preserve">). Сви наведени документи се израђују на српском језику и на енглеском језику. Како би се омогућио адекватан приступ информацијама, неопходно је да АОД организује  собу са подацима. </w:t>
      </w:r>
      <w:r w:rsidR="0065610A" w:rsidRPr="00B27245">
        <w:rPr>
          <w:rFonts w:ascii="Times New Roman" w:hAnsi="Times New Roman" w:cs="Times New Roman"/>
          <w:sz w:val="24"/>
          <w:szCs w:val="24"/>
          <w:lang w:val="sr-Cyrl-CS"/>
        </w:rPr>
        <w:t xml:space="preserve"> </w:t>
      </w:r>
    </w:p>
    <w:p w14:paraId="345886F7" w14:textId="17DD5A7B" w:rsidR="005E528F" w:rsidRPr="00B27245" w:rsidRDefault="00B02193" w:rsidP="0065610A">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Паралелно, потребно је спровести анализу Правилника о уступању потраживања банака у стечају како би се омогућио ефикасан поступак продаје потраживања у оквиру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и предложиле ев</w:t>
      </w:r>
      <w:r w:rsidR="008A4A72" w:rsidRPr="00B27245">
        <w:rPr>
          <w:rFonts w:ascii="Times New Roman" w:hAnsi="Times New Roman" w:cs="Times New Roman"/>
          <w:sz w:val="24"/>
          <w:szCs w:val="24"/>
          <w:lang w:val="sr-Cyrl-CS"/>
        </w:rPr>
        <w:t>ентуално потребне измене тог правилника</w:t>
      </w:r>
      <w:r w:rsidRPr="00B27245">
        <w:rPr>
          <w:rFonts w:ascii="Times New Roman" w:hAnsi="Times New Roman" w:cs="Times New Roman"/>
          <w:sz w:val="24"/>
          <w:szCs w:val="24"/>
          <w:lang w:val="sr-Cyrl-CS"/>
        </w:rPr>
        <w:t>.</w:t>
      </w:r>
      <w:r w:rsidR="0065610A" w:rsidRPr="00B27245">
        <w:rPr>
          <w:rFonts w:ascii="Times New Roman" w:hAnsi="Times New Roman" w:cs="Times New Roman"/>
          <w:sz w:val="24"/>
          <w:szCs w:val="24"/>
          <w:lang w:val="sr-Cyrl-CS"/>
        </w:rPr>
        <w:t xml:space="preserve"> </w:t>
      </w:r>
    </w:p>
    <w:p w14:paraId="433E8487" w14:textId="22BEDB69" w:rsidR="002137A5" w:rsidRPr="00B27245" w:rsidRDefault="009E1D2A" w:rsidP="0065610A">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b/>
          <w:sz w:val="24"/>
          <w:szCs w:val="24"/>
          <w:lang w:val="sr-Cyrl-CS"/>
        </w:rPr>
        <w:t>Трећи корак</w:t>
      </w:r>
      <w:r w:rsidRPr="00B27245">
        <w:rPr>
          <w:rFonts w:ascii="Times New Roman" w:hAnsi="Times New Roman" w:cs="Times New Roman"/>
          <w:sz w:val="24"/>
          <w:szCs w:val="24"/>
          <w:lang w:val="sr-Cyrl-CS"/>
        </w:rPr>
        <w:t xml:space="preserve"> представља п</w:t>
      </w:r>
      <w:r w:rsidR="002137A5" w:rsidRPr="00B27245">
        <w:rPr>
          <w:rFonts w:ascii="Times New Roman" w:hAnsi="Times New Roman" w:cs="Times New Roman"/>
          <w:sz w:val="24"/>
          <w:szCs w:val="24"/>
          <w:lang w:val="sr-Cyrl-CS"/>
        </w:rPr>
        <w:t xml:space="preserve">окретање тендерског поступка за продају пилот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w:t>
      </w:r>
      <w:r w:rsidR="00173399" w:rsidRPr="00B27245">
        <w:rPr>
          <w:rFonts w:ascii="Times New Roman" w:hAnsi="Times New Roman" w:cs="Times New Roman"/>
          <w:sz w:val="24"/>
          <w:szCs w:val="24"/>
          <w:lang w:val="sr-Cyrl-CS"/>
        </w:rPr>
        <w:t xml:space="preserve">и </w:t>
      </w:r>
      <w:r w:rsidRPr="00B27245">
        <w:rPr>
          <w:rFonts w:ascii="Times New Roman" w:hAnsi="Times New Roman" w:cs="Times New Roman"/>
          <w:sz w:val="24"/>
          <w:szCs w:val="24"/>
          <w:lang w:val="sr-Cyrl-CS"/>
        </w:rPr>
        <w:t>спроводи се путем о</w:t>
      </w:r>
      <w:r w:rsidR="002137A5" w:rsidRPr="00B27245">
        <w:rPr>
          <w:rFonts w:ascii="Times New Roman" w:hAnsi="Times New Roman" w:cs="Times New Roman"/>
          <w:sz w:val="24"/>
          <w:szCs w:val="24"/>
          <w:lang w:val="sr-Cyrl-CS"/>
        </w:rPr>
        <w:t>бјав</w:t>
      </w:r>
      <w:r w:rsidRPr="00B27245">
        <w:rPr>
          <w:rFonts w:ascii="Times New Roman" w:hAnsi="Times New Roman" w:cs="Times New Roman"/>
          <w:sz w:val="24"/>
          <w:szCs w:val="24"/>
          <w:lang w:val="sr-Cyrl-CS"/>
        </w:rPr>
        <w:t>е</w:t>
      </w:r>
      <w:r w:rsidR="002137A5" w:rsidRPr="00B27245">
        <w:rPr>
          <w:rFonts w:ascii="Times New Roman" w:hAnsi="Times New Roman" w:cs="Times New Roman"/>
          <w:sz w:val="24"/>
          <w:szCs w:val="24"/>
          <w:lang w:val="sr-Cyrl-CS"/>
        </w:rPr>
        <w:t xml:space="preserve"> огласа о уступању портфеља потраживања</w:t>
      </w:r>
      <w:r w:rsidRPr="00B27245">
        <w:rPr>
          <w:rFonts w:ascii="Times New Roman" w:hAnsi="Times New Roman" w:cs="Times New Roman"/>
          <w:sz w:val="24"/>
          <w:szCs w:val="24"/>
          <w:lang w:val="sr-Cyrl-CS"/>
        </w:rPr>
        <w:t xml:space="preserve">, којим се позивају заинтересовани инвеститори да учествују на тендеру за продају пилот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Паралелно са тим активностима, п</w:t>
      </w:r>
      <w:r w:rsidR="002137A5" w:rsidRPr="00B27245">
        <w:rPr>
          <w:rFonts w:ascii="Times New Roman" w:hAnsi="Times New Roman" w:cs="Times New Roman"/>
          <w:sz w:val="24"/>
          <w:szCs w:val="24"/>
          <w:lang w:val="sr-Cyrl-CS"/>
        </w:rPr>
        <w:t>рипрема</w:t>
      </w:r>
      <w:r w:rsidRPr="00B27245">
        <w:rPr>
          <w:rFonts w:ascii="Times New Roman" w:hAnsi="Times New Roman" w:cs="Times New Roman"/>
          <w:sz w:val="24"/>
          <w:szCs w:val="24"/>
          <w:lang w:val="sr-Cyrl-CS"/>
        </w:rPr>
        <w:t xml:space="preserve"> се и</w:t>
      </w:r>
      <w:r w:rsidR="002137A5" w:rsidRPr="00B27245">
        <w:rPr>
          <w:rFonts w:ascii="Times New Roman" w:hAnsi="Times New Roman" w:cs="Times New Roman"/>
          <w:sz w:val="24"/>
          <w:szCs w:val="24"/>
          <w:lang w:val="sr-Cyrl-CS"/>
        </w:rPr>
        <w:t xml:space="preserve"> нацрт </w:t>
      </w:r>
      <w:r w:rsidRPr="00B27245">
        <w:rPr>
          <w:rFonts w:ascii="Times New Roman" w:hAnsi="Times New Roman" w:cs="Times New Roman"/>
          <w:sz w:val="24"/>
          <w:szCs w:val="24"/>
          <w:lang w:val="sr-Cyrl-CS"/>
        </w:rPr>
        <w:t>у</w:t>
      </w:r>
      <w:r w:rsidR="002137A5" w:rsidRPr="00B27245">
        <w:rPr>
          <w:rFonts w:ascii="Times New Roman" w:hAnsi="Times New Roman" w:cs="Times New Roman"/>
          <w:sz w:val="24"/>
          <w:szCs w:val="24"/>
          <w:lang w:val="sr-Cyrl-CS"/>
        </w:rPr>
        <w:t>говора о уступању портфеља потраживања</w:t>
      </w:r>
      <w:r w:rsidRPr="00B27245">
        <w:rPr>
          <w:rFonts w:ascii="Times New Roman" w:hAnsi="Times New Roman" w:cs="Times New Roman"/>
          <w:sz w:val="24"/>
          <w:szCs w:val="24"/>
          <w:lang w:val="sr-Cyrl-CS"/>
        </w:rPr>
        <w:t xml:space="preserve"> од стране саветника, који ће након усаглашавања са АОД у финалној верзији бити </w:t>
      </w:r>
      <w:r w:rsidR="002137A5" w:rsidRPr="00B27245">
        <w:rPr>
          <w:rFonts w:ascii="Times New Roman" w:hAnsi="Times New Roman" w:cs="Times New Roman"/>
          <w:sz w:val="24"/>
          <w:szCs w:val="24"/>
          <w:lang w:val="sr-Cyrl-CS"/>
        </w:rPr>
        <w:t>дос</w:t>
      </w:r>
      <w:r w:rsidRPr="00B27245">
        <w:rPr>
          <w:rFonts w:ascii="Times New Roman" w:hAnsi="Times New Roman" w:cs="Times New Roman"/>
          <w:sz w:val="24"/>
          <w:szCs w:val="24"/>
          <w:lang w:val="sr-Cyrl-CS"/>
        </w:rPr>
        <w:t>т</w:t>
      </w:r>
      <w:r w:rsidR="002137A5" w:rsidRPr="00B27245">
        <w:rPr>
          <w:rFonts w:ascii="Times New Roman" w:hAnsi="Times New Roman" w:cs="Times New Roman"/>
          <w:sz w:val="24"/>
          <w:szCs w:val="24"/>
          <w:lang w:val="sr-Cyrl-CS"/>
        </w:rPr>
        <w:t xml:space="preserve">упан </w:t>
      </w:r>
      <w:r w:rsidRPr="00B27245">
        <w:rPr>
          <w:rFonts w:ascii="Times New Roman" w:hAnsi="Times New Roman" w:cs="Times New Roman"/>
          <w:sz w:val="24"/>
          <w:szCs w:val="24"/>
          <w:lang w:val="sr-Cyrl-CS"/>
        </w:rPr>
        <w:t>заинтересованим</w:t>
      </w:r>
      <w:r w:rsidR="002137A5" w:rsidRPr="00B27245">
        <w:rPr>
          <w:rFonts w:ascii="Times New Roman" w:hAnsi="Times New Roman" w:cs="Times New Roman"/>
          <w:sz w:val="24"/>
          <w:szCs w:val="24"/>
          <w:lang w:val="sr-Cyrl-CS"/>
        </w:rPr>
        <w:t xml:space="preserve"> инвеститорима</w:t>
      </w:r>
      <w:r w:rsidRPr="00B27245">
        <w:rPr>
          <w:rFonts w:ascii="Times New Roman" w:hAnsi="Times New Roman" w:cs="Times New Roman"/>
          <w:sz w:val="24"/>
          <w:szCs w:val="24"/>
          <w:lang w:val="sr-Cyrl-CS"/>
        </w:rPr>
        <w:t xml:space="preserve"> ради припреме и подношења обавезујућих понуда.</w:t>
      </w:r>
    </w:p>
    <w:p w14:paraId="506EFDDE" w14:textId="44FFA2F4" w:rsidR="00B02193" w:rsidRPr="00B27245" w:rsidRDefault="009E1D2A" w:rsidP="0065610A">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b/>
          <w:sz w:val="24"/>
          <w:szCs w:val="24"/>
          <w:lang w:val="sr-Cyrl-CS"/>
        </w:rPr>
        <w:t>Четврти корак</w:t>
      </w:r>
      <w:r w:rsidR="00486C4E" w:rsidRPr="00B27245">
        <w:rPr>
          <w:rFonts w:ascii="Times New Roman" w:hAnsi="Times New Roman" w:cs="Times New Roman"/>
          <w:sz w:val="24"/>
          <w:szCs w:val="24"/>
          <w:lang w:val="sr-Cyrl-CS"/>
        </w:rPr>
        <w:t xml:space="preserve"> је наставак т</w:t>
      </w:r>
      <w:r w:rsidRPr="00B27245">
        <w:rPr>
          <w:rFonts w:ascii="Times New Roman" w:hAnsi="Times New Roman" w:cs="Times New Roman"/>
          <w:sz w:val="24"/>
          <w:szCs w:val="24"/>
          <w:lang w:val="sr-Cyrl-CS"/>
        </w:rPr>
        <w:t>ендерск</w:t>
      </w:r>
      <w:r w:rsidR="00486C4E" w:rsidRPr="00B27245">
        <w:rPr>
          <w:rFonts w:ascii="Times New Roman" w:hAnsi="Times New Roman" w:cs="Times New Roman"/>
          <w:sz w:val="24"/>
          <w:szCs w:val="24"/>
          <w:lang w:val="sr-Cyrl-CS"/>
        </w:rPr>
        <w:t>ог</w:t>
      </w:r>
      <w:r w:rsidRPr="00B27245">
        <w:rPr>
          <w:rFonts w:ascii="Times New Roman" w:hAnsi="Times New Roman" w:cs="Times New Roman"/>
          <w:sz w:val="24"/>
          <w:szCs w:val="24"/>
          <w:lang w:val="sr-Cyrl-CS"/>
        </w:rPr>
        <w:t xml:space="preserve"> поступ</w:t>
      </w:r>
      <w:r w:rsidR="00486C4E" w:rsidRPr="00B27245">
        <w:rPr>
          <w:rFonts w:ascii="Times New Roman" w:hAnsi="Times New Roman" w:cs="Times New Roman"/>
          <w:sz w:val="24"/>
          <w:szCs w:val="24"/>
          <w:lang w:val="sr-Cyrl-CS"/>
        </w:rPr>
        <w:t>ка</w:t>
      </w:r>
      <w:r w:rsidRPr="00B27245">
        <w:rPr>
          <w:rFonts w:ascii="Times New Roman" w:hAnsi="Times New Roman" w:cs="Times New Roman"/>
          <w:sz w:val="24"/>
          <w:szCs w:val="24"/>
          <w:lang w:val="sr-Cyrl-CS"/>
        </w:rPr>
        <w:t xml:space="preserve"> кроз активности заинтересованих инвеститора на испитивању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w:t>
      </w:r>
      <w:r w:rsidRPr="00B27245">
        <w:rPr>
          <w:rFonts w:ascii="Times New Roman" w:hAnsi="Times New Roman"/>
          <w:i/>
          <w:sz w:val="24"/>
          <w:lang w:val="sr-Cyrl-CS"/>
        </w:rPr>
        <w:t>Due Diligence</w:t>
      </w:r>
      <w:r w:rsidRPr="00B27245">
        <w:rPr>
          <w:rFonts w:ascii="Times New Roman" w:hAnsi="Times New Roman"/>
          <w:sz w:val="24"/>
          <w:lang w:val="sr-Cyrl-CS"/>
        </w:rPr>
        <w:t xml:space="preserve">) </w:t>
      </w:r>
      <w:r w:rsidRPr="00B27245">
        <w:rPr>
          <w:rFonts w:ascii="Times New Roman" w:hAnsi="Times New Roman" w:cs="Times New Roman"/>
          <w:sz w:val="24"/>
          <w:szCs w:val="24"/>
          <w:lang w:val="sr-Cyrl-CS"/>
        </w:rPr>
        <w:t xml:space="preserve">кроз посете соби са подацима, ради припреме обавезујућих понуда. </w:t>
      </w:r>
    </w:p>
    <w:p w14:paraId="4D0E0AC9" w14:textId="60B400E6" w:rsidR="00B02193" w:rsidRPr="00B27245" w:rsidRDefault="00B02193"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Паралелно, процена вредности средстава обезбеђења припремљена је од стране Саветника у оквиру GGF пројекта и достављена ј</w:t>
      </w:r>
      <w:r w:rsidR="0065610A" w:rsidRPr="00B27245">
        <w:rPr>
          <w:rFonts w:ascii="Times New Roman" w:hAnsi="Times New Roman" w:cs="Times New Roman"/>
          <w:sz w:val="24"/>
          <w:szCs w:val="24"/>
          <w:lang w:val="sr-Cyrl-CS"/>
        </w:rPr>
        <w:t>е АОД</w:t>
      </w:r>
      <w:r w:rsidRPr="00B27245">
        <w:rPr>
          <w:rFonts w:ascii="Times New Roman" w:hAnsi="Times New Roman" w:cs="Times New Roman"/>
          <w:sz w:val="24"/>
          <w:szCs w:val="24"/>
          <w:lang w:val="sr-Cyrl-CS"/>
        </w:rPr>
        <w:t xml:space="preserve">, која ће бити предмет усаглашавања. Поред достављене процене, Саветник припрема и индикативну процену вредности потраживања са аспекта инвеститора на основу достављених података од стране АОД, као и на основу процена средстава обезбеђења. Након израде индикативне процене вредности са аспекта инвеститора, припрема се анализа о начину  алокације прихода од продаје. </w:t>
      </w:r>
    </w:p>
    <w:p w14:paraId="2EC09265" w14:textId="19387C2D" w:rsidR="009E1D2A" w:rsidRPr="00B27245" w:rsidRDefault="009E1D2A"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По пријему обавезујућих понуда, АОД </w:t>
      </w:r>
      <w:r w:rsidR="0089259F" w:rsidRPr="00B27245">
        <w:rPr>
          <w:rFonts w:ascii="Times New Roman" w:hAnsi="Times New Roman" w:cs="Times New Roman"/>
          <w:sz w:val="24"/>
          <w:szCs w:val="24"/>
          <w:lang w:val="sr-Cyrl-CS"/>
        </w:rPr>
        <w:t xml:space="preserve">ће организовати поступак побољшања достављених Обавезујућих понуда и одлучити о њиховој прихватљивости, и након одлука надлежних органа, </w:t>
      </w:r>
      <w:r w:rsidRPr="00B27245">
        <w:rPr>
          <w:rFonts w:ascii="Times New Roman" w:hAnsi="Times New Roman" w:cs="Times New Roman"/>
          <w:sz w:val="24"/>
          <w:szCs w:val="24"/>
          <w:lang w:val="sr-Cyrl-CS"/>
        </w:rPr>
        <w:t xml:space="preserve">са најбољим понуђачем </w:t>
      </w:r>
      <w:r w:rsidR="0089259F" w:rsidRPr="00B27245">
        <w:rPr>
          <w:rFonts w:ascii="Times New Roman" w:hAnsi="Times New Roman" w:cs="Times New Roman"/>
          <w:sz w:val="24"/>
          <w:szCs w:val="24"/>
          <w:lang w:val="sr-Cyrl-CS"/>
        </w:rPr>
        <w:t xml:space="preserve">ступити </w:t>
      </w:r>
      <w:r w:rsidRPr="00B27245">
        <w:rPr>
          <w:rFonts w:ascii="Times New Roman" w:hAnsi="Times New Roman" w:cs="Times New Roman"/>
          <w:sz w:val="24"/>
          <w:szCs w:val="24"/>
          <w:lang w:val="sr-Cyrl-CS"/>
        </w:rPr>
        <w:t xml:space="preserve">у преговоре ради финализације и закључења уговора о уступању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w:t>
      </w:r>
    </w:p>
    <w:p w14:paraId="2CBCEA36" w14:textId="77777777" w:rsidR="002137A5" w:rsidRPr="00B27245" w:rsidRDefault="002137A5" w:rsidP="002137A5">
      <w:pPr>
        <w:jc w:val="both"/>
        <w:rPr>
          <w:rFonts w:ascii="Times New Roman" w:hAnsi="Times New Roman" w:cs="Times New Roman"/>
          <w:sz w:val="24"/>
          <w:szCs w:val="24"/>
          <w:lang w:val="sr-Cyrl-CS"/>
        </w:rPr>
      </w:pPr>
    </w:p>
    <w:p w14:paraId="3790BAFC" w14:textId="0C8D4A67" w:rsidR="00947398" w:rsidRPr="00B27245" w:rsidRDefault="00486C4E" w:rsidP="00E41891">
      <w:pPr>
        <w:pStyle w:val="Heading2"/>
        <w:numPr>
          <w:ilvl w:val="2"/>
          <w:numId w:val="31"/>
        </w:numPr>
        <w:spacing w:after="0"/>
        <w:jc w:val="center"/>
        <w:rPr>
          <w:b w:val="0"/>
          <w:lang w:val="sr-Cyrl-CS"/>
        </w:rPr>
      </w:pPr>
      <w:r w:rsidRPr="00B27245">
        <w:rPr>
          <w:b w:val="0"/>
          <w:lang w:val="sr-Cyrl-CS"/>
        </w:rPr>
        <w:lastRenderedPageBreak/>
        <w:t xml:space="preserve">Продаја потраживања великог </w:t>
      </w:r>
      <w:r w:rsidR="00655AA7" w:rsidRPr="00B27245">
        <w:rPr>
          <w:b w:val="0"/>
          <w:lang w:val="sr-Cyrl-CS"/>
        </w:rPr>
        <w:t>портфеља</w:t>
      </w:r>
    </w:p>
    <w:p w14:paraId="236C0CFD" w14:textId="77777777" w:rsidR="00E41891" w:rsidRPr="00B27245" w:rsidRDefault="00E41891" w:rsidP="00E41891">
      <w:pPr>
        <w:spacing w:after="0"/>
        <w:rPr>
          <w:lang w:val="sr-Cyrl-CS" w:eastAsia="en-GB"/>
        </w:rPr>
      </w:pPr>
    </w:p>
    <w:p w14:paraId="46622F9C" w14:textId="21EC6C7C" w:rsidR="00486C4E" w:rsidRPr="00B27245" w:rsidRDefault="00E41891" w:rsidP="00E41891">
      <w:pPr>
        <w:spacing w:after="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w:t>
      </w:r>
      <w:r w:rsidRPr="00B27245">
        <w:rPr>
          <w:rFonts w:ascii="Times New Roman" w:hAnsi="Times New Roman" w:cs="Times New Roman"/>
          <w:sz w:val="24"/>
          <w:szCs w:val="24"/>
          <w:lang w:val="sr-Cyrl-CS"/>
        </w:rPr>
        <w:tab/>
      </w:r>
      <w:r w:rsidR="00A12D44" w:rsidRPr="00B27245">
        <w:rPr>
          <w:rFonts w:ascii="Times New Roman" w:hAnsi="Times New Roman" w:cs="Times New Roman"/>
          <w:sz w:val="24"/>
          <w:szCs w:val="24"/>
          <w:lang w:val="sr-Cyrl-CS"/>
        </w:rPr>
        <w:t xml:space="preserve">Након спровођења продаје пилот </w:t>
      </w:r>
      <w:r w:rsidR="00655AA7" w:rsidRPr="00B27245">
        <w:rPr>
          <w:rFonts w:ascii="Times New Roman" w:hAnsi="Times New Roman" w:cs="Times New Roman"/>
          <w:sz w:val="24"/>
          <w:szCs w:val="24"/>
          <w:lang w:val="sr-Cyrl-CS"/>
        </w:rPr>
        <w:t>портфеља</w:t>
      </w:r>
      <w:r w:rsidR="00A12D44" w:rsidRPr="00B27245">
        <w:rPr>
          <w:rFonts w:ascii="Times New Roman" w:hAnsi="Times New Roman" w:cs="Times New Roman"/>
          <w:sz w:val="24"/>
          <w:szCs w:val="24"/>
          <w:lang w:val="sr-Cyrl-CS"/>
        </w:rPr>
        <w:t xml:space="preserve">, потребно је предузети низ активности у погледу продаје </w:t>
      </w:r>
      <w:r w:rsidRPr="00B27245">
        <w:rPr>
          <w:rFonts w:ascii="Times New Roman" w:hAnsi="Times New Roman" w:cs="Times New Roman"/>
          <w:sz w:val="24"/>
          <w:szCs w:val="24"/>
          <w:lang w:val="sr-Cyrl-CS"/>
        </w:rPr>
        <w:t>„великог”</w:t>
      </w:r>
      <w:r w:rsidR="00A12D44" w:rsidRPr="00B27245">
        <w:rPr>
          <w:rFonts w:ascii="Times New Roman" w:hAnsi="Times New Roman" w:cs="Times New Roman"/>
          <w:sz w:val="24"/>
          <w:szCs w:val="24"/>
          <w:lang w:val="sr-Cyrl-CS"/>
        </w:rPr>
        <w:t xml:space="preserve"> </w:t>
      </w:r>
      <w:r w:rsidR="00655AA7" w:rsidRPr="00B27245">
        <w:rPr>
          <w:rFonts w:ascii="Times New Roman" w:hAnsi="Times New Roman" w:cs="Times New Roman"/>
          <w:sz w:val="24"/>
          <w:szCs w:val="24"/>
          <w:lang w:val="sr-Cyrl-CS"/>
        </w:rPr>
        <w:t>портфеља</w:t>
      </w:r>
      <w:r w:rsidR="00A12D44" w:rsidRPr="00B27245">
        <w:rPr>
          <w:rFonts w:ascii="Times New Roman" w:hAnsi="Times New Roman" w:cs="Times New Roman"/>
          <w:sz w:val="24"/>
          <w:szCs w:val="24"/>
          <w:lang w:val="sr-Cyrl-CS"/>
        </w:rPr>
        <w:t xml:space="preserve">. </w:t>
      </w:r>
      <w:r w:rsidR="00486C4E" w:rsidRPr="00B27245">
        <w:rPr>
          <w:rFonts w:ascii="Times New Roman" w:hAnsi="Times New Roman" w:cs="Times New Roman"/>
          <w:sz w:val="24"/>
          <w:szCs w:val="24"/>
          <w:lang w:val="sr-Cyrl-CS"/>
        </w:rPr>
        <w:t>Продаја великог</w:t>
      </w:r>
      <w:r w:rsidR="00C97C9C" w:rsidRPr="00B27245">
        <w:rPr>
          <w:rFonts w:ascii="Times New Roman" w:hAnsi="Times New Roman" w:cs="Times New Roman"/>
          <w:sz w:val="24"/>
          <w:szCs w:val="24"/>
          <w:lang w:val="sr-Cyrl-CS"/>
        </w:rPr>
        <w:t xml:space="preserve"> </w:t>
      </w:r>
      <w:r w:rsidR="00655AA7" w:rsidRPr="00B27245">
        <w:rPr>
          <w:rFonts w:ascii="Times New Roman" w:hAnsi="Times New Roman" w:cs="Times New Roman"/>
          <w:sz w:val="24"/>
          <w:szCs w:val="24"/>
          <w:lang w:val="sr-Cyrl-CS"/>
        </w:rPr>
        <w:t>портфеља</w:t>
      </w:r>
      <w:r w:rsidR="00486C4E" w:rsidRPr="00B27245">
        <w:rPr>
          <w:rFonts w:ascii="Times New Roman" w:hAnsi="Times New Roman" w:cs="Times New Roman"/>
          <w:sz w:val="24"/>
          <w:szCs w:val="24"/>
          <w:lang w:val="sr-Cyrl-CS"/>
        </w:rPr>
        <w:t xml:space="preserve"> такође подразумева неколико корака. </w:t>
      </w:r>
    </w:p>
    <w:p w14:paraId="3FC95A40" w14:textId="209F3DE4" w:rsidR="00486C4E" w:rsidRPr="00B27245" w:rsidRDefault="00486C4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b/>
          <w:sz w:val="24"/>
          <w:szCs w:val="24"/>
          <w:lang w:val="sr-Cyrl-CS"/>
        </w:rPr>
        <w:t>Први корак</w:t>
      </w:r>
      <w:r w:rsidR="00E41891" w:rsidRPr="00B27245">
        <w:rPr>
          <w:rFonts w:ascii="Times New Roman" w:hAnsi="Times New Roman" w:cs="Times New Roman"/>
          <w:b/>
          <w:sz w:val="24"/>
          <w:szCs w:val="24"/>
          <w:lang w:val="sr-Cyrl-CS"/>
        </w:rPr>
        <w:t>,</w:t>
      </w:r>
      <w:r w:rsidRPr="00B27245">
        <w:rPr>
          <w:rFonts w:ascii="Times New Roman" w:hAnsi="Times New Roman" w:cs="Times New Roman"/>
          <w:sz w:val="24"/>
          <w:szCs w:val="24"/>
          <w:lang w:val="sr-Cyrl-CS"/>
        </w:rPr>
        <w:t xml:space="preserve"> односно припремне активности, слично као и у случају пилот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обухватају:</w:t>
      </w:r>
    </w:p>
    <w:p w14:paraId="2A981647" w14:textId="6CCD1660" w:rsidR="00486C4E" w:rsidRPr="00B27245" w:rsidRDefault="00486C4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 процену вредности средстава обезбеђења и наплативости потраживања </w:t>
      </w:r>
      <w:r w:rsidR="005E2111" w:rsidRPr="00B27245">
        <w:rPr>
          <w:rFonts w:ascii="Times New Roman" w:hAnsi="Times New Roman" w:cs="Times New Roman"/>
          <w:sz w:val="24"/>
          <w:szCs w:val="24"/>
          <w:lang w:val="sr-Cyrl-CS"/>
        </w:rPr>
        <w:t>великог</w:t>
      </w:r>
      <w:r w:rsidR="00655AA7" w:rsidRPr="00B27245">
        <w:rPr>
          <w:rFonts w:ascii="Times New Roman" w:hAnsi="Times New Roman" w:cs="Times New Roman"/>
          <w:sz w:val="24"/>
          <w:szCs w:val="24"/>
          <w:lang w:val="sr-Cyrl-CS"/>
        </w:rPr>
        <w:t xml:space="preserve"> портфеља</w:t>
      </w:r>
      <w:r w:rsidRPr="00B27245">
        <w:rPr>
          <w:rFonts w:ascii="Times New Roman" w:hAnsi="Times New Roman" w:cs="Times New Roman"/>
          <w:sz w:val="24"/>
          <w:szCs w:val="24"/>
          <w:lang w:val="sr-Cyrl-CS"/>
        </w:rPr>
        <w:t xml:space="preserve">, </w:t>
      </w:r>
    </w:p>
    <w:p w14:paraId="279B7125" w14:textId="77777777" w:rsidR="00486C4E" w:rsidRPr="00B27245" w:rsidRDefault="00486C4E" w:rsidP="00E41891">
      <w:pPr>
        <w:spacing w:after="0"/>
        <w:ind w:left="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2) спровођење поступка избора саветника за продају, </w:t>
      </w:r>
    </w:p>
    <w:p w14:paraId="115059A2" w14:textId="77777777" w:rsidR="00486C4E" w:rsidRPr="00B27245" w:rsidRDefault="00486C4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3) припрему индикативне процене вредности потраживања са аспекта инвеститора,</w:t>
      </w:r>
    </w:p>
    <w:p w14:paraId="528B5060" w14:textId="45481FE8" w:rsidR="00486C4E" w:rsidRPr="00B27245" w:rsidRDefault="00724F9E" w:rsidP="00947398">
      <w:pPr>
        <w:spacing w:after="0"/>
        <w:ind w:left="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4</w:t>
      </w:r>
      <w:r w:rsidR="00486C4E" w:rsidRPr="00B27245">
        <w:rPr>
          <w:rFonts w:ascii="Times New Roman" w:hAnsi="Times New Roman" w:cs="Times New Roman"/>
          <w:sz w:val="24"/>
          <w:szCs w:val="24"/>
          <w:lang w:val="sr-Cyrl-CS"/>
        </w:rPr>
        <w:t xml:space="preserve">) </w:t>
      </w:r>
      <w:r w:rsidR="00BF63F9" w:rsidRPr="00B27245">
        <w:rPr>
          <w:rFonts w:ascii="Times New Roman" w:hAnsi="Times New Roman" w:cs="Times New Roman"/>
          <w:sz w:val="24"/>
          <w:szCs w:val="24"/>
          <w:lang w:val="sr-Cyrl-CS"/>
        </w:rPr>
        <w:t>ф</w:t>
      </w:r>
      <w:r w:rsidR="00486C4E" w:rsidRPr="00B27245">
        <w:rPr>
          <w:rFonts w:ascii="Times New Roman" w:hAnsi="Times New Roman" w:cs="Times New Roman"/>
          <w:sz w:val="24"/>
          <w:szCs w:val="24"/>
          <w:lang w:val="sr-Cyrl-CS"/>
        </w:rPr>
        <w:t xml:space="preserve">ормирање великог </w:t>
      </w:r>
      <w:r w:rsidR="00655AA7" w:rsidRPr="00B27245">
        <w:rPr>
          <w:rFonts w:ascii="Times New Roman" w:hAnsi="Times New Roman" w:cs="Times New Roman"/>
          <w:sz w:val="24"/>
          <w:szCs w:val="24"/>
          <w:lang w:val="sr-Cyrl-CS"/>
        </w:rPr>
        <w:t>портфеља</w:t>
      </w:r>
      <w:r w:rsidR="00486C4E" w:rsidRPr="00B27245">
        <w:rPr>
          <w:rFonts w:ascii="Times New Roman" w:hAnsi="Times New Roman" w:cs="Times New Roman"/>
          <w:sz w:val="24"/>
          <w:szCs w:val="24"/>
          <w:lang w:val="sr-Cyrl-CS"/>
        </w:rPr>
        <w:t xml:space="preserve"> за продају,</w:t>
      </w:r>
    </w:p>
    <w:p w14:paraId="45975960" w14:textId="5454DCEA" w:rsidR="00486C4E" w:rsidRPr="00B27245" w:rsidRDefault="00724F9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5</w:t>
      </w:r>
      <w:r w:rsidR="00486C4E" w:rsidRPr="00B27245">
        <w:rPr>
          <w:rFonts w:ascii="Times New Roman" w:hAnsi="Times New Roman" w:cs="Times New Roman"/>
          <w:sz w:val="24"/>
          <w:szCs w:val="24"/>
          <w:lang w:val="sr-Cyrl-CS"/>
        </w:rPr>
        <w:t xml:space="preserve">) припрему </w:t>
      </w:r>
      <w:r w:rsidR="00BF63F9" w:rsidRPr="00B27245">
        <w:rPr>
          <w:rFonts w:ascii="Times New Roman" w:hAnsi="Times New Roman" w:cs="Times New Roman"/>
          <w:sz w:val="24"/>
          <w:szCs w:val="24"/>
          <w:lang w:val="sr-Cyrl-CS"/>
        </w:rPr>
        <w:t>с</w:t>
      </w:r>
      <w:r w:rsidR="00486C4E" w:rsidRPr="00B27245">
        <w:rPr>
          <w:rFonts w:ascii="Times New Roman" w:hAnsi="Times New Roman" w:cs="Times New Roman"/>
          <w:sz w:val="24"/>
          <w:szCs w:val="24"/>
          <w:lang w:val="sr-Cyrl-CS"/>
        </w:rPr>
        <w:t xml:space="preserve">поразума о приступању продаји </w:t>
      </w:r>
      <w:r w:rsidR="0089259F" w:rsidRPr="00B27245">
        <w:rPr>
          <w:rFonts w:ascii="Times New Roman" w:hAnsi="Times New Roman" w:cs="Times New Roman"/>
          <w:sz w:val="24"/>
          <w:szCs w:val="24"/>
          <w:lang w:val="sr-Cyrl-CS"/>
        </w:rPr>
        <w:t xml:space="preserve">великог </w:t>
      </w:r>
      <w:r w:rsidR="00655AA7" w:rsidRPr="00B27245">
        <w:rPr>
          <w:rFonts w:ascii="Times New Roman" w:hAnsi="Times New Roman" w:cs="Times New Roman"/>
          <w:sz w:val="24"/>
          <w:szCs w:val="24"/>
          <w:lang w:val="sr-Cyrl-CS"/>
        </w:rPr>
        <w:t>портфеља</w:t>
      </w:r>
      <w:r w:rsidR="00486C4E" w:rsidRPr="00B27245">
        <w:rPr>
          <w:rFonts w:ascii="Times New Roman" w:hAnsi="Times New Roman" w:cs="Times New Roman"/>
          <w:sz w:val="24"/>
          <w:szCs w:val="24"/>
          <w:lang w:val="sr-Cyrl-CS"/>
        </w:rPr>
        <w:t xml:space="preserve"> и алокацији прихода од продаје, уз (опционо) утврђивање минималне (резервационе) цене, и</w:t>
      </w:r>
    </w:p>
    <w:p w14:paraId="4947CB14" w14:textId="49237E33" w:rsidR="00947398" w:rsidRPr="00B27245" w:rsidRDefault="00724F9E" w:rsidP="00E41891">
      <w:pPr>
        <w:spacing w:after="0"/>
        <w:ind w:left="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6</w:t>
      </w:r>
      <w:r w:rsidR="00486C4E" w:rsidRPr="00B27245">
        <w:rPr>
          <w:rFonts w:ascii="Times New Roman" w:hAnsi="Times New Roman" w:cs="Times New Roman"/>
          <w:sz w:val="24"/>
          <w:szCs w:val="24"/>
          <w:lang w:val="sr-Cyrl-CS"/>
        </w:rPr>
        <w:t>) припре</w:t>
      </w:r>
      <w:r w:rsidR="00394563" w:rsidRPr="00B27245">
        <w:rPr>
          <w:rFonts w:ascii="Times New Roman" w:hAnsi="Times New Roman" w:cs="Times New Roman"/>
          <w:sz w:val="24"/>
          <w:szCs w:val="24"/>
          <w:lang w:val="sr-Cyrl-CS"/>
        </w:rPr>
        <w:t>му процедуре тендерске продаје.</w:t>
      </w:r>
    </w:p>
    <w:p w14:paraId="71AD3D78" w14:textId="77777777" w:rsidR="00394563" w:rsidRPr="00B27245" w:rsidRDefault="00394563" w:rsidP="00E41891">
      <w:pPr>
        <w:spacing w:after="0"/>
        <w:ind w:left="720"/>
        <w:jc w:val="both"/>
        <w:rPr>
          <w:rFonts w:ascii="Times New Roman" w:hAnsi="Times New Roman" w:cs="Times New Roman"/>
          <w:sz w:val="24"/>
          <w:szCs w:val="24"/>
          <w:lang w:val="sr-Cyrl-CS"/>
        </w:rPr>
      </w:pPr>
    </w:p>
    <w:p w14:paraId="6246A571" w14:textId="77777777" w:rsidR="00486C4E" w:rsidRPr="00B27245" w:rsidRDefault="00486C4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По окончању ових активности могуће је започети процедуру тендерске продаје.</w:t>
      </w:r>
    </w:p>
    <w:p w14:paraId="4B45BE76" w14:textId="27BEC6A7" w:rsidR="00BE2A02" w:rsidRPr="00B27245" w:rsidRDefault="00486C4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Процена вредности средстава обезбеђења и наплативости потраживања </w:t>
      </w:r>
      <w:r w:rsidR="00655AA7" w:rsidRPr="00B27245">
        <w:rPr>
          <w:rFonts w:ascii="Times New Roman" w:hAnsi="Times New Roman" w:cs="Times New Roman"/>
          <w:sz w:val="24"/>
          <w:szCs w:val="24"/>
          <w:lang w:val="sr-Cyrl-CS"/>
        </w:rPr>
        <w:t>портфеља</w:t>
      </w:r>
      <w:r w:rsidR="00A44201" w:rsidRPr="00B27245">
        <w:rPr>
          <w:rFonts w:ascii="Times New Roman" w:hAnsi="Times New Roman" w:cs="Times New Roman"/>
          <w:sz w:val="24"/>
          <w:szCs w:val="24"/>
          <w:lang w:val="sr-Cyrl-CS"/>
        </w:rPr>
        <w:t xml:space="preserve"> захтева ангажовање овлашћеног ревизора или вештака </w:t>
      </w:r>
      <w:r w:rsidRPr="00B27245">
        <w:rPr>
          <w:rFonts w:ascii="Times New Roman" w:hAnsi="Times New Roman" w:cs="Times New Roman"/>
          <w:sz w:val="24"/>
          <w:szCs w:val="24"/>
          <w:lang w:val="sr-Cyrl-CS"/>
        </w:rPr>
        <w:t xml:space="preserve">и </w:t>
      </w:r>
      <w:r w:rsidR="00A44201" w:rsidRPr="00B27245">
        <w:rPr>
          <w:rFonts w:ascii="Times New Roman" w:hAnsi="Times New Roman" w:cs="Times New Roman"/>
          <w:sz w:val="24"/>
          <w:szCs w:val="24"/>
          <w:lang w:val="sr-Cyrl-CS"/>
        </w:rPr>
        <w:t xml:space="preserve">биће </w:t>
      </w:r>
      <w:r w:rsidRPr="00B27245">
        <w:rPr>
          <w:rFonts w:ascii="Times New Roman" w:hAnsi="Times New Roman" w:cs="Times New Roman"/>
          <w:sz w:val="24"/>
          <w:szCs w:val="24"/>
          <w:lang w:val="sr-Cyrl-CS"/>
        </w:rPr>
        <w:t>достављен</w:t>
      </w:r>
      <w:r w:rsidR="00E41891" w:rsidRPr="00B27245">
        <w:rPr>
          <w:rFonts w:ascii="Times New Roman" w:hAnsi="Times New Roman" w:cs="Times New Roman"/>
          <w:sz w:val="24"/>
          <w:szCs w:val="24"/>
          <w:lang w:val="sr-Cyrl-CS"/>
        </w:rPr>
        <w:t>а АОД</w:t>
      </w:r>
      <w:r w:rsidR="00A44201" w:rsidRPr="00B27245">
        <w:rPr>
          <w:rFonts w:ascii="Times New Roman" w:hAnsi="Times New Roman" w:cs="Times New Roman"/>
          <w:sz w:val="24"/>
          <w:szCs w:val="24"/>
          <w:lang w:val="sr-Cyrl-CS"/>
        </w:rPr>
        <w:t>, као и свим државним повериоцима чија потраживања су предмет продаје</w:t>
      </w:r>
      <w:r w:rsidRPr="00B27245">
        <w:rPr>
          <w:rFonts w:ascii="Times New Roman" w:hAnsi="Times New Roman" w:cs="Times New Roman"/>
          <w:sz w:val="24"/>
          <w:szCs w:val="24"/>
          <w:lang w:val="sr-Cyrl-CS"/>
        </w:rPr>
        <w:t xml:space="preserve">. Поред достављене процене, доставља се и предлог алокације прихода од продаје </w:t>
      </w:r>
      <w:r w:rsidR="00BE2A02" w:rsidRPr="00B27245">
        <w:rPr>
          <w:rFonts w:ascii="Times New Roman" w:hAnsi="Times New Roman" w:cs="Times New Roman"/>
          <w:sz w:val="24"/>
          <w:szCs w:val="24"/>
          <w:lang w:val="sr-Cyrl-CS"/>
        </w:rPr>
        <w:t xml:space="preserve">великог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w:t>
      </w:r>
      <w:r w:rsidR="00BE2A02" w:rsidRPr="00B27245">
        <w:rPr>
          <w:rFonts w:ascii="Times New Roman" w:hAnsi="Times New Roman" w:cs="Times New Roman"/>
          <w:sz w:val="24"/>
          <w:szCs w:val="24"/>
          <w:lang w:val="sr-Cyrl-CS"/>
        </w:rPr>
        <w:t>Паралелно са тиме, спроводи се поступак избора саветника за продају, по правилима Светске банке. Након што саветник буде ангажован путем закључења уговора</w:t>
      </w:r>
      <w:r w:rsidRPr="00B27245">
        <w:rPr>
          <w:rFonts w:ascii="Times New Roman" w:hAnsi="Times New Roman" w:cs="Times New Roman"/>
          <w:sz w:val="24"/>
          <w:szCs w:val="24"/>
          <w:lang w:val="sr-Cyrl-CS"/>
        </w:rPr>
        <w:t xml:space="preserve">, </w:t>
      </w:r>
      <w:r w:rsidR="00BE2A02" w:rsidRPr="00B27245">
        <w:rPr>
          <w:rFonts w:ascii="Times New Roman" w:hAnsi="Times New Roman" w:cs="Times New Roman"/>
          <w:sz w:val="24"/>
          <w:szCs w:val="24"/>
          <w:lang w:val="sr-Cyrl-CS"/>
        </w:rPr>
        <w:t xml:space="preserve">он </w:t>
      </w:r>
      <w:r w:rsidRPr="00B27245">
        <w:rPr>
          <w:rFonts w:ascii="Times New Roman" w:hAnsi="Times New Roman" w:cs="Times New Roman"/>
          <w:sz w:val="24"/>
          <w:szCs w:val="24"/>
          <w:lang w:val="sr-Cyrl-CS"/>
        </w:rPr>
        <w:t>припрема индикативну процену вредности потраживања са аспекта инвеститора на основу достављених података од стране АОД</w:t>
      </w:r>
      <w:r w:rsidR="00BE2A02" w:rsidRPr="00B27245">
        <w:rPr>
          <w:rFonts w:ascii="Times New Roman" w:hAnsi="Times New Roman" w:cs="Times New Roman"/>
          <w:sz w:val="24"/>
          <w:szCs w:val="24"/>
          <w:lang w:val="sr-Cyrl-CS"/>
        </w:rPr>
        <w:t xml:space="preserve"> и државних поверилаца</w:t>
      </w:r>
      <w:r w:rsidRPr="00B27245">
        <w:rPr>
          <w:rFonts w:ascii="Times New Roman" w:hAnsi="Times New Roman" w:cs="Times New Roman"/>
          <w:sz w:val="24"/>
          <w:szCs w:val="24"/>
          <w:lang w:val="sr-Cyrl-CS"/>
        </w:rPr>
        <w:t xml:space="preserve">. </w:t>
      </w:r>
    </w:p>
    <w:p w14:paraId="4DA8899C" w14:textId="3AABD570" w:rsidR="00BE2A02" w:rsidRPr="00B27245" w:rsidRDefault="00BE2A02"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Процена вредности средстава обезбеђења и наплативости потраживања потребна је </w:t>
      </w:r>
      <w:r w:rsidR="00C906E5" w:rsidRPr="00B27245">
        <w:rPr>
          <w:rFonts w:ascii="Times New Roman" w:hAnsi="Times New Roman" w:cs="Times New Roman"/>
          <w:sz w:val="24"/>
          <w:szCs w:val="24"/>
          <w:lang w:val="sr-Cyrl-CS"/>
        </w:rPr>
        <w:t xml:space="preserve">и </w:t>
      </w:r>
      <w:r w:rsidRPr="00B27245">
        <w:rPr>
          <w:rFonts w:ascii="Times New Roman" w:hAnsi="Times New Roman" w:cs="Times New Roman"/>
          <w:sz w:val="24"/>
          <w:szCs w:val="24"/>
          <w:lang w:val="sr-Cyrl-CS"/>
        </w:rPr>
        <w:t xml:space="preserve">ради могућности упоређења са очекиваним приливима од евентуалне продаје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(у складу са индикативном проценом вредности потраживања израђеном са аспекта инвеститора),</w:t>
      </w:r>
      <w:r w:rsidR="00D24B28" w:rsidRPr="00B27245">
        <w:rPr>
          <w:rFonts w:ascii="Times New Roman" w:hAnsi="Times New Roman" w:cs="Times New Roman"/>
          <w:sz w:val="24"/>
          <w:szCs w:val="24"/>
          <w:lang w:val="sr-Cyrl-CS"/>
        </w:rPr>
        <w:t xml:space="preserve"> у зависности од структуре </w:t>
      </w:r>
      <w:r w:rsidR="00655AA7" w:rsidRPr="00B27245">
        <w:rPr>
          <w:rFonts w:ascii="Times New Roman" w:hAnsi="Times New Roman" w:cs="Times New Roman"/>
          <w:sz w:val="24"/>
          <w:szCs w:val="24"/>
          <w:lang w:val="sr-Cyrl-CS"/>
        </w:rPr>
        <w:t>портфеља</w:t>
      </w:r>
      <w:r w:rsidR="00D24B28" w:rsidRPr="00B27245">
        <w:rPr>
          <w:rFonts w:ascii="Times New Roman" w:hAnsi="Times New Roman" w:cs="Times New Roman"/>
          <w:sz w:val="24"/>
          <w:szCs w:val="24"/>
          <w:lang w:val="sr-Cyrl-CS"/>
        </w:rPr>
        <w:t>,</w:t>
      </w:r>
      <w:r w:rsidRPr="00B27245">
        <w:rPr>
          <w:rFonts w:ascii="Times New Roman" w:hAnsi="Times New Roman" w:cs="Times New Roman"/>
          <w:sz w:val="24"/>
          <w:szCs w:val="24"/>
          <w:lang w:val="sr-Cyrl-CS"/>
        </w:rPr>
        <w:t xml:space="preserve"> а за потребе доношења одлука надлежних органа државних поверилаца о приступању продаји</w:t>
      </w:r>
    </w:p>
    <w:p w14:paraId="55B41038" w14:textId="37E291E2" w:rsidR="00486C4E" w:rsidRPr="00B27245" w:rsidRDefault="00BE2A02"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У коначном, ангажовани с</w:t>
      </w:r>
      <w:r w:rsidR="00486C4E" w:rsidRPr="00B27245">
        <w:rPr>
          <w:rFonts w:ascii="Times New Roman" w:hAnsi="Times New Roman" w:cs="Times New Roman"/>
          <w:sz w:val="24"/>
          <w:szCs w:val="24"/>
          <w:lang w:val="sr-Cyrl-CS"/>
        </w:rPr>
        <w:t xml:space="preserve">аветник припрема предлог процедуре тендерске продаје </w:t>
      </w:r>
      <w:r w:rsidRPr="00B27245">
        <w:rPr>
          <w:rFonts w:ascii="Times New Roman" w:hAnsi="Times New Roman" w:cs="Times New Roman"/>
          <w:sz w:val="24"/>
          <w:szCs w:val="24"/>
          <w:lang w:val="sr-Cyrl-CS"/>
        </w:rPr>
        <w:t xml:space="preserve">великог </w:t>
      </w:r>
      <w:r w:rsidR="00486C4E" w:rsidRPr="00B27245">
        <w:rPr>
          <w:rFonts w:ascii="Times New Roman" w:hAnsi="Times New Roman" w:cs="Times New Roman"/>
          <w:sz w:val="24"/>
          <w:szCs w:val="24"/>
          <w:lang w:val="sr-Cyrl-CS"/>
        </w:rPr>
        <w:t xml:space="preserve">портфеља, </w:t>
      </w:r>
      <w:r w:rsidRPr="00B27245">
        <w:rPr>
          <w:rFonts w:ascii="Times New Roman" w:hAnsi="Times New Roman" w:cs="Times New Roman"/>
          <w:sz w:val="24"/>
          <w:szCs w:val="24"/>
          <w:lang w:val="sr-Cyrl-CS"/>
        </w:rPr>
        <w:t>као и</w:t>
      </w:r>
      <w:r w:rsidR="00486C4E" w:rsidRPr="00B27245">
        <w:rPr>
          <w:rFonts w:ascii="Times New Roman" w:hAnsi="Times New Roman" w:cs="Times New Roman"/>
          <w:sz w:val="24"/>
          <w:szCs w:val="24"/>
          <w:lang w:val="sr-Cyrl-CS"/>
        </w:rPr>
        <w:t xml:space="preserve"> предлог тендерске документације, која поред процедуре тендерске продаје (</w:t>
      </w:r>
      <w:r w:rsidR="00486C4E" w:rsidRPr="00B27245">
        <w:rPr>
          <w:rFonts w:ascii="Times New Roman" w:hAnsi="Times New Roman" w:cs="Times New Roman"/>
          <w:i/>
          <w:sz w:val="24"/>
          <w:szCs w:val="24"/>
          <w:lang w:val="sr-Cyrl-CS"/>
        </w:rPr>
        <w:t>Process Letter</w:t>
      </w:r>
      <w:r w:rsidR="00486C4E" w:rsidRPr="00B27245">
        <w:rPr>
          <w:rFonts w:ascii="Times New Roman" w:hAnsi="Times New Roman" w:cs="Times New Roman"/>
          <w:sz w:val="24"/>
          <w:szCs w:val="24"/>
          <w:lang w:val="sr-Cyrl-CS"/>
        </w:rPr>
        <w:t xml:space="preserve">) садржи и преглед </w:t>
      </w:r>
      <w:r w:rsidR="00655AA7" w:rsidRPr="00B27245">
        <w:rPr>
          <w:rFonts w:ascii="Times New Roman" w:hAnsi="Times New Roman" w:cs="Times New Roman"/>
          <w:sz w:val="24"/>
          <w:szCs w:val="24"/>
          <w:lang w:val="sr-Cyrl-CS"/>
        </w:rPr>
        <w:t>портфеља</w:t>
      </w:r>
      <w:r w:rsidR="00D24B28" w:rsidRPr="00B27245">
        <w:rPr>
          <w:rFonts w:ascii="Times New Roman" w:hAnsi="Times New Roman" w:cs="Times New Roman"/>
          <w:sz w:val="24"/>
          <w:szCs w:val="24"/>
          <w:lang w:val="sr-Cyrl-CS"/>
        </w:rPr>
        <w:t xml:space="preserve"> </w:t>
      </w:r>
      <w:r w:rsidR="00486C4E" w:rsidRPr="00B27245">
        <w:rPr>
          <w:rFonts w:ascii="Times New Roman" w:hAnsi="Times New Roman" w:cs="Times New Roman"/>
          <w:sz w:val="24"/>
          <w:szCs w:val="24"/>
          <w:lang w:val="sr-Cyrl-CS"/>
        </w:rPr>
        <w:t>потраживања (</w:t>
      </w:r>
      <w:r w:rsidR="00486C4E" w:rsidRPr="00B27245">
        <w:rPr>
          <w:rFonts w:ascii="Times New Roman" w:hAnsi="Times New Roman" w:cs="Times New Roman"/>
          <w:i/>
          <w:sz w:val="24"/>
          <w:szCs w:val="24"/>
          <w:lang w:val="sr-Cyrl-CS"/>
        </w:rPr>
        <w:t>Data tape</w:t>
      </w:r>
      <w:r w:rsidR="00486C4E" w:rsidRPr="00B27245">
        <w:rPr>
          <w:rFonts w:ascii="Times New Roman" w:hAnsi="Times New Roman" w:cs="Times New Roman"/>
          <w:sz w:val="24"/>
          <w:szCs w:val="24"/>
          <w:lang w:val="sr-Cyrl-CS"/>
        </w:rPr>
        <w:t xml:space="preserve">), нацрт Обавезујуће понуде и нацрт Уговора о уступању </w:t>
      </w:r>
      <w:r w:rsidR="00655AA7" w:rsidRPr="00B27245">
        <w:rPr>
          <w:rFonts w:ascii="Times New Roman" w:hAnsi="Times New Roman" w:cs="Times New Roman"/>
          <w:sz w:val="24"/>
          <w:szCs w:val="24"/>
          <w:lang w:val="sr-Cyrl-CS"/>
        </w:rPr>
        <w:t>портфеља</w:t>
      </w:r>
      <w:r w:rsidR="00D24B28" w:rsidRPr="00B27245">
        <w:rPr>
          <w:rFonts w:ascii="Times New Roman" w:hAnsi="Times New Roman" w:cs="Times New Roman"/>
          <w:sz w:val="24"/>
          <w:szCs w:val="24"/>
          <w:lang w:val="sr-Cyrl-CS"/>
        </w:rPr>
        <w:t xml:space="preserve"> </w:t>
      </w:r>
      <w:r w:rsidR="00486C4E" w:rsidRPr="00B27245">
        <w:rPr>
          <w:rFonts w:ascii="Times New Roman" w:hAnsi="Times New Roman" w:cs="Times New Roman"/>
          <w:sz w:val="24"/>
          <w:szCs w:val="24"/>
          <w:lang w:val="sr-Cyrl-CS"/>
        </w:rPr>
        <w:t>потраживања, као и Правила за собу са подацима (</w:t>
      </w:r>
      <w:r w:rsidR="00486C4E" w:rsidRPr="00B27245">
        <w:rPr>
          <w:rFonts w:ascii="Times New Roman" w:hAnsi="Times New Roman" w:cs="Times New Roman"/>
          <w:i/>
          <w:sz w:val="24"/>
          <w:szCs w:val="24"/>
          <w:lang w:val="sr-Cyrl-CS"/>
        </w:rPr>
        <w:t>Data Room Rules</w:t>
      </w:r>
      <w:r w:rsidR="00486C4E" w:rsidRPr="00B27245">
        <w:rPr>
          <w:rFonts w:ascii="Times New Roman" w:hAnsi="Times New Roman" w:cs="Times New Roman"/>
          <w:sz w:val="24"/>
          <w:szCs w:val="24"/>
          <w:lang w:val="sr-Cyrl-CS"/>
        </w:rPr>
        <w:t>).</w:t>
      </w:r>
    </w:p>
    <w:p w14:paraId="77DF196B" w14:textId="11237510" w:rsidR="00C906E5" w:rsidRPr="00B27245" w:rsidRDefault="00C906E5"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Последњи корак у припремној фази је припрема Споразума о приступању продаји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и алокацији прихода од продаје. Овом споразуму претходи анализа састава и образложење самог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које припрема ангажовани саветник, </w:t>
      </w:r>
      <w:r w:rsidR="00D24B28" w:rsidRPr="00B27245">
        <w:rPr>
          <w:rFonts w:ascii="Times New Roman" w:hAnsi="Times New Roman" w:cs="Times New Roman"/>
          <w:sz w:val="24"/>
          <w:szCs w:val="24"/>
          <w:lang w:val="sr-Cyrl-CS"/>
        </w:rPr>
        <w:t xml:space="preserve">и </w:t>
      </w:r>
      <w:r w:rsidRPr="00B27245">
        <w:rPr>
          <w:rFonts w:ascii="Times New Roman" w:hAnsi="Times New Roman" w:cs="Times New Roman"/>
          <w:sz w:val="24"/>
          <w:szCs w:val="24"/>
          <w:lang w:val="sr-Cyrl-CS"/>
        </w:rPr>
        <w:t xml:space="preserve">која се доставља АОД и државним повериоцима. Паралелно са тиме, ангажовани саветник припрема нацрт Споразума о приступању продаји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и алокацији прихода од продаје на основу индикативне процене вредности потраживања са аспекта инвеститора.</w:t>
      </w:r>
      <w:r w:rsidR="00E41891" w:rsidRPr="00B27245">
        <w:rPr>
          <w:rFonts w:ascii="Times New Roman" w:hAnsi="Times New Roman" w:cs="Times New Roman"/>
          <w:sz w:val="24"/>
          <w:szCs w:val="24"/>
          <w:lang w:val="sr-Cyrl-CS"/>
        </w:rPr>
        <w:t xml:space="preserve"> </w:t>
      </w:r>
    </w:p>
    <w:p w14:paraId="44DF1F59" w14:textId="42A8AE36" w:rsidR="00C906E5" w:rsidRPr="00B27245" w:rsidRDefault="00C906E5"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По усаглашавању предлога</w:t>
      </w:r>
      <w:r w:rsidR="00D24B28" w:rsidRPr="00B27245">
        <w:rPr>
          <w:rFonts w:ascii="Times New Roman" w:hAnsi="Times New Roman" w:cs="Times New Roman"/>
          <w:sz w:val="24"/>
          <w:szCs w:val="24"/>
          <w:lang w:val="sr-Cyrl-CS"/>
        </w:rPr>
        <w:t xml:space="preserve"> структуре </w:t>
      </w:r>
      <w:r w:rsidR="00655AA7" w:rsidRPr="00B27245">
        <w:rPr>
          <w:rFonts w:ascii="Times New Roman" w:hAnsi="Times New Roman" w:cs="Times New Roman"/>
          <w:sz w:val="24"/>
          <w:szCs w:val="24"/>
          <w:lang w:val="sr-Cyrl-CS"/>
        </w:rPr>
        <w:t>портфеља</w:t>
      </w:r>
      <w:r w:rsidR="00D24B28" w:rsidRPr="00B27245">
        <w:rPr>
          <w:rFonts w:ascii="Times New Roman" w:hAnsi="Times New Roman" w:cs="Times New Roman"/>
          <w:sz w:val="24"/>
          <w:szCs w:val="24"/>
          <w:lang w:val="sr-Cyrl-CS"/>
        </w:rPr>
        <w:t xml:space="preserve"> за </w:t>
      </w:r>
      <w:r w:rsidR="00EF2976" w:rsidRPr="00B27245">
        <w:rPr>
          <w:rFonts w:ascii="Times New Roman" w:hAnsi="Times New Roman" w:cs="Times New Roman"/>
          <w:sz w:val="24"/>
          <w:szCs w:val="24"/>
          <w:lang w:val="sr-Cyrl-CS"/>
        </w:rPr>
        <w:t>продају и</w:t>
      </w:r>
      <w:r w:rsidRPr="00B27245">
        <w:rPr>
          <w:rFonts w:ascii="Times New Roman" w:hAnsi="Times New Roman" w:cs="Times New Roman"/>
          <w:sz w:val="24"/>
          <w:szCs w:val="24"/>
          <w:lang w:val="sr-Cyrl-CS"/>
        </w:rPr>
        <w:t xml:space="preserve"> процедуре тендерске продаје, АОД и појединачни државни повериоци припремају и усвајају (1) одлуке о приступању продаји конкретних потраживања у оквиру великог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(2) предлог споразума о алокацији прихода, а затим и (3) одлуку о прихватању резервационе </w:t>
      </w:r>
      <w:r w:rsidRPr="00B27245">
        <w:rPr>
          <w:rFonts w:ascii="Times New Roman" w:hAnsi="Times New Roman" w:cs="Times New Roman"/>
          <w:sz w:val="24"/>
          <w:szCs w:val="24"/>
          <w:lang w:val="sr-Cyrl-CS"/>
        </w:rPr>
        <w:lastRenderedPageBreak/>
        <w:t xml:space="preserve">цене (на нивоу средње вредности процене наплативости потраживања), те (4) процедуру тендерске продаје великог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(као прилога споразума о алокацији прихода).</w:t>
      </w:r>
    </w:p>
    <w:p w14:paraId="3EC26E60" w14:textId="3E77C466" w:rsidR="00486C4E" w:rsidRPr="00B27245" w:rsidRDefault="00486C4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b/>
          <w:sz w:val="24"/>
          <w:szCs w:val="24"/>
          <w:lang w:val="sr-Cyrl-CS"/>
        </w:rPr>
        <w:t>Други корак</w:t>
      </w:r>
      <w:r w:rsidRPr="00B27245">
        <w:rPr>
          <w:rFonts w:ascii="Times New Roman" w:hAnsi="Times New Roman" w:cs="Times New Roman"/>
          <w:sz w:val="24"/>
          <w:szCs w:val="24"/>
          <w:lang w:val="sr-Cyrl-CS"/>
        </w:rPr>
        <w:t xml:space="preserve"> чине припремне активности за спровођење тендерског поступка за продају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w:t>
      </w:r>
      <w:r w:rsidR="00A12D44" w:rsidRPr="00B27245">
        <w:rPr>
          <w:rFonts w:ascii="Times New Roman" w:hAnsi="Times New Roman" w:cs="Times New Roman"/>
          <w:sz w:val="24"/>
          <w:szCs w:val="24"/>
          <w:lang w:val="sr-Cyrl-CS"/>
        </w:rPr>
        <w:t>Припремне</w:t>
      </w:r>
      <w:r w:rsidRPr="00B27245">
        <w:rPr>
          <w:rFonts w:ascii="Times New Roman" w:hAnsi="Times New Roman" w:cs="Times New Roman"/>
          <w:sz w:val="24"/>
          <w:szCs w:val="24"/>
          <w:lang w:val="sr-Cyrl-CS"/>
        </w:rPr>
        <w:t xml:space="preserve"> активности подразумевају припрему огласа о уступању портфеља потраживања, усаглашавање прегледа портфеља потраживања (</w:t>
      </w:r>
      <w:r w:rsidRPr="00B27245">
        <w:rPr>
          <w:rFonts w:ascii="Times New Roman" w:hAnsi="Times New Roman" w:cs="Times New Roman"/>
          <w:i/>
          <w:sz w:val="24"/>
          <w:szCs w:val="24"/>
          <w:lang w:val="sr-Cyrl-CS"/>
        </w:rPr>
        <w:t>Data tape</w:t>
      </w:r>
      <w:r w:rsidRPr="00B27245">
        <w:rPr>
          <w:rFonts w:ascii="Times New Roman" w:hAnsi="Times New Roman" w:cs="Times New Roman"/>
          <w:sz w:val="24"/>
          <w:szCs w:val="24"/>
          <w:lang w:val="sr-Cyrl-CS"/>
        </w:rPr>
        <w:t xml:space="preserve">), </w:t>
      </w:r>
      <w:r w:rsidR="00173399" w:rsidRPr="00B27245">
        <w:rPr>
          <w:rFonts w:ascii="Times New Roman" w:hAnsi="Times New Roman" w:cs="Times New Roman"/>
          <w:sz w:val="24"/>
          <w:szCs w:val="24"/>
          <w:lang w:val="sr-Cyrl-CS"/>
        </w:rPr>
        <w:t>припрему кратког информационог меморандума (</w:t>
      </w:r>
      <w:r w:rsidR="00173399" w:rsidRPr="00B27245">
        <w:rPr>
          <w:rFonts w:ascii="Times New Roman" w:hAnsi="Times New Roman" w:cs="Times New Roman"/>
          <w:i/>
          <w:sz w:val="24"/>
          <w:szCs w:val="24"/>
          <w:lang w:val="sr-Cyrl-CS"/>
        </w:rPr>
        <w:t>Тeaser</w:t>
      </w:r>
      <w:r w:rsidR="00173399" w:rsidRPr="00B27245">
        <w:rPr>
          <w:rFonts w:ascii="Times New Roman" w:hAnsi="Times New Roman" w:cs="Times New Roman"/>
          <w:sz w:val="24"/>
          <w:szCs w:val="24"/>
          <w:lang w:val="sr-Cyrl-CS"/>
        </w:rPr>
        <w:t xml:space="preserve">) за потребе маркетинга од стране саветника и достава потенцијалним инвеститорима, </w:t>
      </w:r>
      <w:r w:rsidRPr="00B27245">
        <w:rPr>
          <w:rFonts w:ascii="Times New Roman" w:hAnsi="Times New Roman" w:cs="Times New Roman"/>
          <w:sz w:val="24"/>
          <w:szCs w:val="24"/>
          <w:lang w:val="sr-Cyrl-CS"/>
        </w:rPr>
        <w:t>израду нацрта обавезујуће понуде и правила за собу са подацима (</w:t>
      </w:r>
      <w:r w:rsidRPr="00B27245">
        <w:rPr>
          <w:rFonts w:ascii="Times New Roman" w:hAnsi="Times New Roman" w:cs="Times New Roman"/>
          <w:i/>
          <w:sz w:val="24"/>
          <w:szCs w:val="24"/>
          <w:lang w:val="sr-Cyrl-CS"/>
        </w:rPr>
        <w:t>Data Room Rules</w:t>
      </w:r>
      <w:r w:rsidRPr="00B27245">
        <w:rPr>
          <w:rFonts w:ascii="Times New Roman" w:hAnsi="Times New Roman" w:cs="Times New Roman"/>
          <w:sz w:val="24"/>
          <w:szCs w:val="24"/>
          <w:lang w:val="sr-Cyrl-CS"/>
        </w:rPr>
        <w:t xml:space="preserve">). Како би се омогућио адекватан приступ информацијама, неопходно је да АОД организује  </w:t>
      </w:r>
      <w:r w:rsidR="00173399" w:rsidRPr="00B27245">
        <w:rPr>
          <w:rFonts w:ascii="Times New Roman" w:hAnsi="Times New Roman" w:cs="Times New Roman"/>
          <w:sz w:val="24"/>
          <w:szCs w:val="24"/>
          <w:lang w:val="sr-Cyrl-CS"/>
        </w:rPr>
        <w:t xml:space="preserve">виртуелну </w:t>
      </w:r>
      <w:r w:rsidRPr="00B27245">
        <w:rPr>
          <w:rFonts w:ascii="Times New Roman" w:hAnsi="Times New Roman" w:cs="Times New Roman"/>
          <w:sz w:val="24"/>
          <w:szCs w:val="24"/>
          <w:lang w:val="sr-Cyrl-CS"/>
        </w:rPr>
        <w:t>собу са подацима</w:t>
      </w:r>
      <w:r w:rsidR="00173399" w:rsidRPr="00B27245">
        <w:rPr>
          <w:rFonts w:ascii="Times New Roman" w:hAnsi="Times New Roman" w:cs="Times New Roman"/>
          <w:sz w:val="24"/>
          <w:szCs w:val="24"/>
          <w:lang w:val="sr-Cyrl-CS"/>
        </w:rPr>
        <w:t>, у ком циљу је потребно приступити ангажовању потребног добављача од стране АОД</w:t>
      </w:r>
      <w:r w:rsidRPr="00B27245">
        <w:rPr>
          <w:rFonts w:ascii="Times New Roman" w:hAnsi="Times New Roman" w:cs="Times New Roman"/>
          <w:sz w:val="24"/>
          <w:szCs w:val="24"/>
          <w:lang w:val="sr-Cyrl-CS"/>
        </w:rPr>
        <w:t>.</w:t>
      </w:r>
    </w:p>
    <w:p w14:paraId="441138EF" w14:textId="77029B78" w:rsidR="00486C4E" w:rsidRPr="00B27245" w:rsidRDefault="00486C4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b/>
          <w:sz w:val="24"/>
          <w:szCs w:val="24"/>
          <w:lang w:val="sr-Cyrl-CS"/>
        </w:rPr>
        <w:t>Трећи корак</w:t>
      </w:r>
      <w:r w:rsidRPr="00B27245">
        <w:rPr>
          <w:rFonts w:ascii="Times New Roman" w:hAnsi="Times New Roman" w:cs="Times New Roman"/>
          <w:sz w:val="24"/>
          <w:szCs w:val="24"/>
          <w:lang w:val="sr-Cyrl-CS"/>
        </w:rPr>
        <w:t xml:space="preserve"> представља покретање тендерског поступка за продају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w:t>
      </w:r>
      <w:r w:rsidR="00173399" w:rsidRPr="00B27245">
        <w:rPr>
          <w:rFonts w:ascii="Times New Roman" w:hAnsi="Times New Roman" w:cs="Times New Roman"/>
          <w:sz w:val="24"/>
          <w:szCs w:val="24"/>
          <w:lang w:val="sr-Cyrl-CS"/>
        </w:rPr>
        <w:t xml:space="preserve">и </w:t>
      </w:r>
      <w:r w:rsidRPr="00B27245">
        <w:rPr>
          <w:rFonts w:ascii="Times New Roman" w:hAnsi="Times New Roman" w:cs="Times New Roman"/>
          <w:sz w:val="24"/>
          <w:szCs w:val="24"/>
          <w:lang w:val="sr-Cyrl-CS"/>
        </w:rPr>
        <w:t xml:space="preserve">спроводи се путем објаве огласа о уступању </w:t>
      </w:r>
      <w:r w:rsidR="00655AA7" w:rsidRPr="00B27245">
        <w:rPr>
          <w:rFonts w:ascii="Times New Roman" w:hAnsi="Times New Roman" w:cs="Times New Roman"/>
          <w:sz w:val="24"/>
          <w:szCs w:val="24"/>
          <w:lang w:val="sr-Cyrl-CS"/>
        </w:rPr>
        <w:t>портфеља</w:t>
      </w:r>
      <w:r w:rsidR="00EF2976" w:rsidRPr="00B27245" w:rsidDel="00EF2976">
        <w:rPr>
          <w:rFonts w:ascii="Times New Roman" w:hAnsi="Times New Roman" w:cs="Times New Roman"/>
          <w:sz w:val="24"/>
          <w:szCs w:val="24"/>
          <w:lang w:val="sr-Cyrl-CS"/>
        </w:rPr>
        <w:t xml:space="preserve"> </w:t>
      </w:r>
      <w:r w:rsidRPr="00B27245">
        <w:rPr>
          <w:rFonts w:ascii="Times New Roman" w:hAnsi="Times New Roman" w:cs="Times New Roman"/>
          <w:sz w:val="24"/>
          <w:szCs w:val="24"/>
          <w:lang w:val="sr-Cyrl-CS"/>
        </w:rPr>
        <w:t xml:space="preserve">потраживања, којим се позивају заинтересовани инвеститори да учествују на тендеру за продају </w:t>
      </w:r>
      <w:r w:rsidR="00173399" w:rsidRPr="00B27245">
        <w:rPr>
          <w:rFonts w:ascii="Times New Roman" w:hAnsi="Times New Roman" w:cs="Times New Roman"/>
          <w:sz w:val="24"/>
          <w:szCs w:val="24"/>
          <w:lang w:val="sr-Cyrl-CS"/>
        </w:rPr>
        <w:t>великог</w:t>
      </w:r>
      <w:r w:rsidRPr="00B27245">
        <w:rPr>
          <w:rFonts w:ascii="Times New Roman" w:hAnsi="Times New Roman" w:cs="Times New Roman"/>
          <w:sz w:val="24"/>
          <w:szCs w:val="24"/>
          <w:lang w:val="sr-Cyrl-CS"/>
        </w:rPr>
        <w:t xml:space="preserve">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Паралелно са тим активностима, припрема се и нацрт уговора о уступању </w:t>
      </w:r>
      <w:r w:rsidR="00655AA7" w:rsidRPr="00B27245">
        <w:rPr>
          <w:rFonts w:ascii="Times New Roman" w:hAnsi="Times New Roman" w:cs="Times New Roman"/>
          <w:sz w:val="24"/>
          <w:szCs w:val="24"/>
          <w:lang w:val="sr-Cyrl-CS"/>
        </w:rPr>
        <w:t>портфеља</w:t>
      </w:r>
      <w:r w:rsidR="00EF2976" w:rsidRPr="00B27245" w:rsidDel="00EF2976">
        <w:rPr>
          <w:rFonts w:ascii="Times New Roman" w:hAnsi="Times New Roman" w:cs="Times New Roman"/>
          <w:sz w:val="24"/>
          <w:szCs w:val="24"/>
          <w:lang w:val="sr-Cyrl-CS"/>
        </w:rPr>
        <w:t xml:space="preserve"> </w:t>
      </w:r>
      <w:r w:rsidRPr="00B27245">
        <w:rPr>
          <w:rFonts w:ascii="Times New Roman" w:hAnsi="Times New Roman" w:cs="Times New Roman"/>
          <w:sz w:val="24"/>
          <w:szCs w:val="24"/>
          <w:lang w:val="sr-Cyrl-CS"/>
        </w:rPr>
        <w:t xml:space="preserve">потраживања од стране саветника, који ће након усаглашавања са АОД </w:t>
      </w:r>
      <w:r w:rsidR="00173399" w:rsidRPr="00B27245">
        <w:rPr>
          <w:rFonts w:ascii="Times New Roman" w:hAnsi="Times New Roman" w:cs="Times New Roman"/>
          <w:sz w:val="24"/>
          <w:szCs w:val="24"/>
          <w:lang w:val="sr-Cyrl-CS"/>
        </w:rPr>
        <w:t xml:space="preserve">(поступајући у име и за рачун државних поверилаца) </w:t>
      </w:r>
      <w:r w:rsidRPr="00B27245">
        <w:rPr>
          <w:rFonts w:ascii="Times New Roman" w:hAnsi="Times New Roman" w:cs="Times New Roman"/>
          <w:sz w:val="24"/>
          <w:szCs w:val="24"/>
          <w:lang w:val="sr-Cyrl-CS"/>
        </w:rPr>
        <w:t>у финалној верзији бити доступан заинтересованим инвеститорима ради припреме и подношења обавезујућих понуда.</w:t>
      </w:r>
    </w:p>
    <w:p w14:paraId="63C1FD6B" w14:textId="06681091" w:rsidR="00982768" w:rsidRPr="00B27245" w:rsidRDefault="00486C4E" w:rsidP="00E41891">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b/>
          <w:sz w:val="24"/>
          <w:szCs w:val="24"/>
          <w:lang w:val="sr-Cyrl-CS"/>
        </w:rPr>
        <w:t>Четврти корак</w:t>
      </w:r>
      <w:r w:rsidRPr="00B27245">
        <w:rPr>
          <w:rFonts w:ascii="Times New Roman" w:hAnsi="Times New Roman" w:cs="Times New Roman"/>
          <w:sz w:val="24"/>
          <w:szCs w:val="24"/>
          <w:lang w:val="sr-Cyrl-CS"/>
        </w:rPr>
        <w:t xml:space="preserve"> је наставак тендерског поступка кроз активности заинтересованих инвеститора на испитивању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w:t>
      </w:r>
      <w:r w:rsidRPr="00B27245">
        <w:rPr>
          <w:rFonts w:ascii="Times New Roman" w:hAnsi="Times New Roman"/>
          <w:i/>
          <w:sz w:val="24"/>
          <w:lang w:val="sr-Cyrl-CS"/>
        </w:rPr>
        <w:t>Due Diligence</w:t>
      </w:r>
      <w:r w:rsidRPr="00B27245">
        <w:rPr>
          <w:rFonts w:ascii="Times New Roman" w:hAnsi="Times New Roman"/>
          <w:sz w:val="24"/>
          <w:lang w:val="sr-Cyrl-CS"/>
        </w:rPr>
        <w:t xml:space="preserve">) </w:t>
      </w:r>
      <w:r w:rsidRPr="00B27245">
        <w:rPr>
          <w:rFonts w:ascii="Times New Roman" w:hAnsi="Times New Roman" w:cs="Times New Roman"/>
          <w:sz w:val="24"/>
          <w:szCs w:val="24"/>
          <w:lang w:val="sr-Cyrl-CS"/>
        </w:rPr>
        <w:t>кроз посете соби са подацима, ради припреме обавезујућих понуда. По пријему обавезујућих понуда</w:t>
      </w:r>
      <w:r w:rsidR="0089259F" w:rsidRPr="00B27245">
        <w:rPr>
          <w:rFonts w:ascii="Times New Roman" w:hAnsi="Times New Roman" w:cs="Times New Roman"/>
          <w:sz w:val="24"/>
          <w:szCs w:val="24"/>
          <w:lang w:val="sr-Cyrl-CS"/>
        </w:rPr>
        <w:t>, АОД ће организовати поступак побољшања достављених Обавезујућих понуда, након чега ће</w:t>
      </w:r>
      <w:r w:rsidR="00173399" w:rsidRPr="00B27245">
        <w:rPr>
          <w:rFonts w:ascii="Times New Roman" w:hAnsi="Times New Roman" w:cs="Times New Roman"/>
          <w:sz w:val="24"/>
          <w:szCs w:val="24"/>
          <w:lang w:val="sr-Cyrl-CS"/>
        </w:rPr>
        <w:t xml:space="preserve">(поступајући у име и за рачун државних поверилаца) </w:t>
      </w:r>
      <w:r w:rsidR="0089259F" w:rsidRPr="00B27245">
        <w:rPr>
          <w:rFonts w:ascii="Times New Roman" w:hAnsi="Times New Roman" w:cs="Times New Roman"/>
          <w:sz w:val="24"/>
          <w:szCs w:val="24"/>
          <w:lang w:val="sr-Cyrl-CS"/>
        </w:rPr>
        <w:t>из</w:t>
      </w:r>
      <w:r w:rsidRPr="00B27245">
        <w:rPr>
          <w:rFonts w:ascii="Times New Roman" w:hAnsi="Times New Roman" w:cs="Times New Roman"/>
          <w:sz w:val="24"/>
          <w:szCs w:val="24"/>
          <w:lang w:val="sr-Cyrl-CS"/>
        </w:rPr>
        <w:t>врши</w:t>
      </w:r>
      <w:r w:rsidR="0089259F" w:rsidRPr="00B27245">
        <w:rPr>
          <w:rFonts w:ascii="Times New Roman" w:hAnsi="Times New Roman" w:cs="Times New Roman"/>
          <w:sz w:val="24"/>
          <w:szCs w:val="24"/>
          <w:lang w:val="sr-Cyrl-CS"/>
        </w:rPr>
        <w:t>ти</w:t>
      </w:r>
      <w:r w:rsidRPr="00B27245">
        <w:rPr>
          <w:rFonts w:ascii="Times New Roman" w:hAnsi="Times New Roman" w:cs="Times New Roman"/>
          <w:sz w:val="24"/>
          <w:szCs w:val="24"/>
          <w:lang w:val="sr-Cyrl-CS"/>
        </w:rPr>
        <w:t xml:space="preserve"> анализу и </w:t>
      </w:r>
      <w:r w:rsidR="0089259F" w:rsidRPr="00B27245">
        <w:rPr>
          <w:rFonts w:ascii="Times New Roman" w:hAnsi="Times New Roman" w:cs="Times New Roman"/>
          <w:sz w:val="24"/>
          <w:szCs w:val="24"/>
          <w:lang w:val="sr-Cyrl-CS"/>
        </w:rPr>
        <w:t xml:space="preserve">донети одлуку </w:t>
      </w:r>
      <w:r w:rsidRPr="00B27245">
        <w:rPr>
          <w:rFonts w:ascii="Times New Roman" w:hAnsi="Times New Roman" w:cs="Times New Roman"/>
          <w:sz w:val="24"/>
          <w:szCs w:val="24"/>
          <w:lang w:val="sr-Cyrl-CS"/>
        </w:rPr>
        <w:t>о прихватљивости</w:t>
      </w:r>
      <w:r w:rsidR="00EF2976" w:rsidRPr="00B27245">
        <w:rPr>
          <w:rFonts w:ascii="Times New Roman" w:hAnsi="Times New Roman" w:cs="Times New Roman"/>
          <w:sz w:val="24"/>
          <w:szCs w:val="24"/>
          <w:lang w:val="sr-Cyrl-CS"/>
        </w:rPr>
        <w:t xml:space="preserve"> </w:t>
      </w:r>
      <w:r w:rsidR="0089259F" w:rsidRPr="00B27245">
        <w:rPr>
          <w:rFonts w:ascii="Times New Roman" w:hAnsi="Times New Roman" w:cs="Times New Roman"/>
          <w:sz w:val="24"/>
          <w:szCs w:val="24"/>
          <w:lang w:val="sr-Cyrl-CS"/>
        </w:rPr>
        <w:t xml:space="preserve">побољшаних </w:t>
      </w:r>
      <w:r w:rsidR="00EF2976" w:rsidRPr="00B27245">
        <w:rPr>
          <w:rFonts w:ascii="Times New Roman" w:hAnsi="Times New Roman" w:cs="Times New Roman"/>
          <w:sz w:val="24"/>
          <w:szCs w:val="24"/>
          <w:lang w:val="sr-Cyrl-CS"/>
        </w:rPr>
        <w:t>понуда</w:t>
      </w:r>
      <w:r w:rsidRPr="00B27245">
        <w:rPr>
          <w:rFonts w:ascii="Times New Roman" w:hAnsi="Times New Roman" w:cs="Times New Roman"/>
          <w:sz w:val="24"/>
          <w:szCs w:val="24"/>
          <w:lang w:val="sr-Cyrl-CS"/>
        </w:rPr>
        <w:t>, те са најбољим понуђачем ступ</w:t>
      </w:r>
      <w:r w:rsidR="0089259F" w:rsidRPr="00B27245">
        <w:rPr>
          <w:rFonts w:ascii="Times New Roman" w:hAnsi="Times New Roman" w:cs="Times New Roman"/>
          <w:sz w:val="24"/>
          <w:szCs w:val="24"/>
          <w:lang w:val="sr-Cyrl-CS"/>
        </w:rPr>
        <w:t>ити</w:t>
      </w:r>
      <w:r w:rsidRPr="00B27245">
        <w:rPr>
          <w:rFonts w:ascii="Times New Roman" w:hAnsi="Times New Roman" w:cs="Times New Roman"/>
          <w:sz w:val="24"/>
          <w:szCs w:val="24"/>
          <w:lang w:val="sr-Cyrl-CS"/>
        </w:rPr>
        <w:t xml:space="preserve"> у преговоре ради финализације и закључења уговора о уступању </w:t>
      </w:r>
      <w:r w:rsidR="00655AA7" w:rsidRPr="00B27245">
        <w:rPr>
          <w:rFonts w:ascii="Times New Roman" w:hAnsi="Times New Roman" w:cs="Times New Roman"/>
          <w:sz w:val="24"/>
          <w:szCs w:val="24"/>
          <w:lang w:val="sr-Cyrl-CS"/>
        </w:rPr>
        <w:t>портфеља</w:t>
      </w:r>
      <w:r w:rsidRPr="00B27245">
        <w:rPr>
          <w:rFonts w:ascii="Times New Roman" w:hAnsi="Times New Roman" w:cs="Times New Roman"/>
          <w:sz w:val="24"/>
          <w:szCs w:val="24"/>
          <w:lang w:val="sr-Cyrl-CS"/>
        </w:rPr>
        <w:t xml:space="preserve">.   </w:t>
      </w:r>
    </w:p>
    <w:p w14:paraId="2423CE7C" w14:textId="77777777" w:rsidR="00982768" w:rsidRPr="00B27245" w:rsidRDefault="00982768" w:rsidP="00E41891">
      <w:pPr>
        <w:spacing w:after="0"/>
        <w:jc w:val="both"/>
        <w:rPr>
          <w:rFonts w:ascii="Times New Roman" w:hAnsi="Times New Roman" w:cs="Times New Roman"/>
          <w:sz w:val="24"/>
          <w:szCs w:val="24"/>
          <w:lang w:val="sr-Cyrl-CS"/>
        </w:rPr>
      </w:pPr>
    </w:p>
    <w:p w14:paraId="0CB53202" w14:textId="53E64CAA" w:rsidR="00982768" w:rsidRPr="00B27245" w:rsidRDefault="00982768" w:rsidP="00E41891">
      <w:pPr>
        <w:pStyle w:val="Heading2"/>
        <w:numPr>
          <w:ilvl w:val="2"/>
          <w:numId w:val="31"/>
        </w:numPr>
        <w:spacing w:after="0"/>
        <w:jc w:val="center"/>
        <w:rPr>
          <w:b w:val="0"/>
          <w:bCs/>
          <w:lang w:val="sr-Cyrl-CS"/>
        </w:rPr>
      </w:pPr>
      <w:r w:rsidRPr="00B27245">
        <w:rPr>
          <w:b w:val="0"/>
          <w:bCs/>
          <w:lang w:val="sr-Cyrl-CS"/>
        </w:rPr>
        <w:t xml:space="preserve">Решавање преосталог </w:t>
      </w:r>
      <w:r w:rsidR="00655AA7" w:rsidRPr="00B27245">
        <w:rPr>
          <w:b w:val="0"/>
          <w:bCs/>
          <w:lang w:val="sr-Cyrl-CS"/>
        </w:rPr>
        <w:t>портфеља</w:t>
      </w:r>
      <w:r w:rsidRPr="00B27245">
        <w:rPr>
          <w:b w:val="0"/>
          <w:bCs/>
          <w:lang w:val="sr-Cyrl-CS"/>
        </w:rPr>
        <w:t xml:space="preserve"> </w:t>
      </w:r>
      <w:r w:rsidR="0083182E" w:rsidRPr="00B27245">
        <w:rPr>
          <w:b w:val="0"/>
          <w:bCs/>
          <w:lang w:val="sr-Cyrl-CS"/>
        </w:rPr>
        <w:t>д</w:t>
      </w:r>
      <w:r w:rsidRPr="00B27245">
        <w:rPr>
          <w:b w:val="0"/>
          <w:bCs/>
          <w:lang w:val="sr-Cyrl-CS"/>
        </w:rPr>
        <w:t>ржавних поверилаца</w:t>
      </w:r>
    </w:p>
    <w:p w14:paraId="1E4C2ABB" w14:textId="77777777" w:rsidR="00982768" w:rsidRPr="00B27245" w:rsidRDefault="00982768" w:rsidP="00E41891">
      <w:pPr>
        <w:spacing w:after="0"/>
        <w:rPr>
          <w:lang w:val="sr-Cyrl-CS" w:eastAsia="en-GB"/>
        </w:rPr>
      </w:pPr>
    </w:p>
    <w:p w14:paraId="6B0FFDA8" w14:textId="605D8306" w:rsidR="00982768" w:rsidRPr="00B27245" w:rsidRDefault="00982768" w:rsidP="00E41891">
      <w:pPr>
        <w:spacing w:after="0"/>
        <w:ind w:firstLine="720"/>
        <w:jc w:val="both"/>
        <w:rPr>
          <w:rFonts w:ascii="Times New Roman" w:hAnsi="Times New Roman"/>
          <w:sz w:val="24"/>
          <w:szCs w:val="24"/>
          <w:lang w:val="sr-Cyrl-CS"/>
        </w:rPr>
      </w:pPr>
      <w:r w:rsidRPr="00B27245">
        <w:rPr>
          <w:rFonts w:ascii="Times New Roman" w:hAnsi="Times New Roman"/>
          <w:sz w:val="24"/>
          <w:szCs w:val="24"/>
          <w:lang w:val="sr-Cyrl-CS"/>
        </w:rPr>
        <w:t>Након спровођења продаје пил</w:t>
      </w:r>
      <w:r w:rsidR="00EC38F8" w:rsidRPr="00B27245">
        <w:rPr>
          <w:rFonts w:ascii="Times New Roman" w:hAnsi="Times New Roman"/>
          <w:sz w:val="24"/>
          <w:szCs w:val="24"/>
          <w:lang w:val="sr-Cyrl-CS"/>
        </w:rPr>
        <w:t>от и „великог</w:t>
      </w:r>
      <w:r w:rsidR="00EC38F8" w:rsidRPr="00B27245">
        <w:rPr>
          <w:rFonts w:ascii="Times New Roman" w:hAnsi="Times New Roman" w:cs="Times New Roman"/>
          <w:sz w:val="24"/>
          <w:szCs w:val="24"/>
          <w:lang w:val="sr-Cyrl-CS"/>
        </w:rPr>
        <w:t>”</w:t>
      </w:r>
      <w:r w:rsidRPr="00B27245">
        <w:rPr>
          <w:rFonts w:ascii="Times New Roman" w:hAnsi="Times New Roman"/>
          <w:sz w:val="24"/>
          <w:szCs w:val="24"/>
          <w:lang w:val="sr-Cyrl-CS"/>
        </w:rPr>
        <w:t xml:space="preserve"> </w:t>
      </w:r>
      <w:r w:rsidR="00655AA7" w:rsidRPr="00B27245">
        <w:rPr>
          <w:rFonts w:ascii="Times New Roman" w:hAnsi="Times New Roman"/>
          <w:sz w:val="24"/>
          <w:szCs w:val="24"/>
          <w:lang w:val="sr-Cyrl-CS"/>
        </w:rPr>
        <w:t>портфеља</w:t>
      </w:r>
      <w:r w:rsidRPr="00B27245">
        <w:rPr>
          <w:rFonts w:ascii="Times New Roman" w:hAnsi="Times New Roman"/>
          <w:sz w:val="24"/>
          <w:szCs w:val="24"/>
          <w:lang w:val="sr-Cyrl-CS"/>
        </w:rPr>
        <w:t xml:space="preserve">, потребно је предузети низ активности у погледу решавања преосталог потраживања </w:t>
      </w:r>
      <w:r w:rsidR="0083182E" w:rsidRPr="00B27245">
        <w:rPr>
          <w:rFonts w:ascii="Times New Roman" w:hAnsi="Times New Roman"/>
          <w:sz w:val="24"/>
          <w:szCs w:val="24"/>
          <w:lang w:val="sr-Cyrl-CS"/>
        </w:rPr>
        <w:t>д</w:t>
      </w:r>
      <w:r w:rsidRPr="00B27245">
        <w:rPr>
          <w:rFonts w:ascii="Times New Roman" w:hAnsi="Times New Roman"/>
          <w:sz w:val="24"/>
          <w:szCs w:val="24"/>
          <w:lang w:val="sr-Cyrl-CS"/>
        </w:rPr>
        <w:t>ржавних поверилаца.</w:t>
      </w:r>
    </w:p>
    <w:p w14:paraId="5F82F8EF" w14:textId="22BFFB42" w:rsidR="00982768" w:rsidRPr="00B27245" w:rsidRDefault="00982768" w:rsidP="00EC38F8">
      <w:pPr>
        <w:spacing w:after="0"/>
        <w:ind w:firstLine="720"/>
        <w:jc w:val="both"/>
        <w:rPr>
          <w:rFonts w:ascii="Times New Roman" w:hAnsi="Times New Roman"/>
          <w:sz w:val="24"/>
          <w:szCs w:val="24"/>
          <w:lang w:val="sr-Cyrl-CS"/>
        </w:rPr>
      </w:pPr>
      <w:r w:rsidRPr="00B27245">
        <w:rPr>
          <w:rFonts w:ascii="Times New Roman" w:hAnsi="Times New Roman"/>
          <w:sz w:val="24"/>
          <w:szCs w:val="24"/>
          <w:lang w:val="sr-Cyrl-CS"/>
        </w:rPr>
        <w:t>Први корак</w:t>
      </w:r>
      <w:r w:rsidR="00EC38F8" w:rsidRPr="00B27245">
        <w:rPr>
          <w:rFonts w:ascii="Times New Roman" w:hAnsi="Times New Roman"/>
          <w:sz w:val="24"/>
          <w:szCs w:val="24"/>
          <w:lang w:val="sr-Cyrl-CS"/>
        </w:rPr>
        <w:t>,</w:t>
      </w:r>
      <w:r w:rsidRPr="00B27245">
        <w:rPr>
          <w:rFonts w:ascii="Times New Roman" w:hAnsi="Times New Roman"/>
          <w:sz w:val="24"/>
          <w:szCs w:val="24"/>
          <w:lang w:val="sr-Cyrl-CS"/>
        </w:rPr>
        <w:t xml:space="preserve"> односно припремне активности укључују избор саветника за припрему анализе.</w:t>
      </w:r>
      <w:r w:rsidR="00BB163E" w:rsidRPr="00B27245">
        <w:rPr>
          <w:rFonts w:ascii="Times New Roman" w:hAnsi="Times New Roman"/>
          <w:sz w:val="24"/>
          <w:szCs w:val="24"/>
          <w:lang w:val="sr-Cyrl-CS"/>
        </w:rPr>
        <w:t xml:space="preserve"> </w:t>
      </w:r>
      <w:r w:rsidRPr="00B27245">
        <w:rPr>
          <w:rFonts w:ascii="Times New Roman" w:hAnsi="Times New Roman"/>
          <w:sz w:val="24"/>
          <w:szCs w:val="24"/>
          <w:lang w:val="sr-Cyrl-CS"/>
        </w:rPr>
        <w:t>Други корак укључује припрему анализе од стране ангажованог саветника и достав</w:t>
      </w:r>
      <w:r w:rsidR="00BB163E" w:rsidRPr="00B27245">
        <w:rPr>
          <w:rFonts w:ascii="Times New Roman" w:hAnsi="Times New Roman"/>
          <w:sz w:val="24"/>
          <w:szCs w:val="24"/>
          <w:lang w:val="sr-Cyrl-CS"/>
        </w:rPr>
        <w:t>љање исте</w:t>
      </w:r>
      <w:r w:rsidRPr="00B27245">
        <w:rPr>
          <w:rFonts w:ascii="Times New Roman" w:hAnsi="Times New Roman"/>
          <w:sz w:val="24"/>
          <w:szCs w:val="24"/>
          <w:lang w:val="sr-Cyrl-CS"/>
        </w:rPr>
        <w:t xml:space="preserve"> МФ и АОД, са предлогом евентуално потребних измена правног оквира на основу којих би се омогућило решавање преосталог </w:t>
      </w:r>
      <w:r w:rsidR="00655AA7" w:rsidRPr="00B27245">
        <w:rPr>
          <w:rFonts w:ascii="Times New Roman" w:hAnsi="Times New Roman"/>
          <w:sz w:val="24"/>
          <w:szCs w:val="24"/>
          <w:lang w:val="sr-Cyrl-CS"/>
        </w:rPr>
        <w:t>портфеља</w:t>
      </w:r>
      <w:r w:rsidRPr="00B27245">
        <w:rPr>
          <w:rFonts w:ascii="Times New Roman" w:hAnsi="Times New Roman"/>
          <w:sz w:val="24"/>
          <w:szCs w:val="24"/>
          <w:lang w:val="sr-Cyrl-CS"/>
        </w:rPr>
        <w:t xml:space="preserve">. </w:t>
      </w:r>
    </w:p>
    <w:p w14:paraId="3E94E009" w14:textId="5FD7D8D1" w:rsidR="00982768" w:rsidRPr="00B27245" w:rsidRDefault="00982768" w:rsidP="00EC38F8">
      <w:pPr>
        <w:spacing w:after="0"/>
        <w:ind w:firstLine="720"/>
        <w:jc w:val="both"/>
        <w:rPr>
          <w:rFonts w:ascii="Times New Roman" w:hAnsi="Times New Roman"/>
          <w:sz w:val="24"/>
          <w:szCs w:val="24"/>
          <w:lang w:val="sr-Cyrl-CS"/>
        </w:rPr>
      </w:pPr>
      <w:r w:rsidRPr="00B27245">
        <w:rPr>
          <w:rFonts w:ascii="Times New Roman" w:hAnsi="Times New Roman"/>
          <w:sz w:val="24"/>
          <w:szCs w:val="24"/>
          <w:lang w:val="sr-Cyrl-CS"/>
        </w:rPr>
        <w:t xml:space="preserve">Финална фаза представља процес доношења одлуке о начину решавања преосталог </w:t>
      </w:r>
      <w:r w:rsidR="00655AA7" w:rsidRPr="00B27245">
        <w:rPr>
          <w:rFonts w:ascii="Times New Roman" w:hAnsi="Times New Roman"/>
          <w:sz w:val="24"/>
          <w:szCs w:val="24"/>
          <w:lang w:val="sr-Cyrl-CS"/>
        </w:rPr>
        <w:t>портфеља</w:t>
      </w:r>
      <w:r w:rsidRPr="00B27245">
        <w:rPr>
          <w:rFonts w:ascii="Times New Roman" w:hAnsi="Times New Roman"/>
          <w:sz w:val="24"/>
          <w:szCs w:val="24"/>
          <w:lang w:val="sr-Cyrl-CS"/>
        </w:rPr>
        <w:t xml:space="preserve"> </w:t>
      </w:r>
      <w:r w:rsidR="0083182E" w:rsidRPr="00B27245">
        <w:rPr>
          <w:rFonts w:ascii="Times New Roman" w:hAnsi="Times New Roman"/>
          <w:sz w:val="24"/>
          <w:szCs w:val="24"/>
          <w:lang w:val="sr-Cyrl-CS"/>
        </w:rPr>
        <w:t>д</w:t>
      </w:r>
      <w:r w:rsidRPr="00B27245">
        <w:rPr>
          <w:rFonts w:ascii="Times New Roman" w:hAnsi="Times New Roman"/>
          <w:sz w:val="24"/>
          <w:szCs w:val="24"/>
          <w:lang w:val="sr-Cyrl-CS"/>
        </w:rPr>
        <w:t>ржавних поверилаца, укључујући и искњижење ванбилансних ненаплативих потраживања</w:t>
      </w:r>
      <w:r w:rsidR="00BB163E" w:rsidRPr="00B27245">
        <w:rPr>
          <w:rFonts w:ascii="Times New Roman" w:hAnsi="Times New Roman"/>
          <w:sz w:val="24"/>
          <w:szCs w:val="24"/>
          <w:lang w:val="sr-Cyrl-CS"/>
        </w:rPr>
        <w:t>, и имплементација поменутог решења</w:t>
      </w:r>
      <w:r w:rsidRPr="00B27245">
        <w:rPr>
          <w:rFonts w:ascii="Times New Roman" w:hAnsi="Times New Roman"/>
          <w:sz w:val="24"/>
          <w:szCs w:val="24"/>
          <w:lang w:val="sr-Cyrl-CS"/>
        </w:rPr>
        <w:t>.</w:t>
      </w:r>
    </w:p>
    <w:p w14:paraId="373A456D" w14:textId="77777777" w:rsidR="003318EF" w:rsidRPr="00B27245" w:rsidRDefault="003318EF" w:rsidP="00EC38F8">
      <w:pPr>
        <w:spacing w:after="0"/>
        <w:jc w:val="both"/>
        <w:rPr>
          <w:rFonts w:ascii="Times New Roman" w:hAnsi="Times New Roman"/>
          <w:sz w:val="24"/>
          <w:szCs w:val="24"/>
          <w:lang w:val="sr-Cyrl-CS"/>
        </w:rPr>
      </w:pPr>
    </w:p>
    <w:p w14:paraId="3E22A87B" w14:textId="77777777" w:rsidR="001778B8" w:rsidRPr="00B27245" w:rsidRDefault="00673AD6" w:rsidP="00EC38F8">
      <w:pPr>
        <w:pStyle w:val="Heading2"/>
        <w:numPr>
          <w:ilvl w:val="1"/>
          <w:numId w:val="31"/>
        </w:numPr>
        <w:spacing w:after="0"/>
        <w:jc w:val="center"/>
        <w:rPr>
          <w:b w:val="0"/>
          <w:lang w:val="sr-Cyrl-CS"/>
        </w:rPr>
      </w:pPr>
      <w:r w:rsidRPr="00B27245">
        <w:rPr>
          <w:b w:val="0"/>
          <w:lang w:val="sr-Cyrl-CS"/>
        </w:rPr>
        <w:t>У</w:t>
      </w:r>
      <w:r w:rsidR="00B67FA8" w:rsidRPr="00B27245">
        <w:rPr>
          <w:b w:val="0"/>
          <w:lang w:val="sr-Cyrl-CS"/>
        </w:rPr>
        <w:t>напређење стечајног оквира</w:t>
      </w:r>
    </w:p>
    <w:p w14:paraId="52A64A01" w14:textId="77777777" w:rsidR="00947398" w:rsidRPr="00B27245" w:rsidRDefault="00947398" w:rsidP="00EC38F8">
      <w:pPr>
        <w:spacing w:after="0" w:line="290" w:lineRule="auto"/>
        <w:jc w:val="both"/>
        <w:rPr>
          <w:rFonts w:ascii="Times New Roman" w:hAnsi="Times New Roman" w:cs="Times New Roman"/>
          <w:sz w:val="24"/>
          <w:szCs w:val="24"/>
          <w:lang w:val="sr-Cyrl-CS"/>
        </w:rPr>
      </w:pPr>
    </w:p>
    <w:p w14:paraId="5071E19A" w14:textId="313E1ADF" w:rsidR="001778B8" w:rsidRPr="00B27245" w:rsidRDefault="001778B8" w:rsidP="00EC38F8">
      <w:pPr>
        <w:spacing w:after="0" w:line="29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Закон о стечају </w:t>
      </w:r>
      <w:r w:rsidR="00EC38F8" w:rsidRPr="00B27245">
        <w:rPr>
          <w:rFonts w:ascii="Times New Roman" w:hAnsi="Times New Roman"/>
          <w:sz w:val="24"/>
          <w:szCs w:val="24"/>
          <w:lang w:val="sr-Cyrl-CS"/>
        </w:rPr>
        <w:t xml:space="preserve">(у даљем тексту: </w:t>
      </w:r>
      <w:r w:rsidR="00A12D44" w:rsidRPr="00B27245">
        <w:rPr>
          <w:rFonts w:ascii="Times New Roman" w:hAnsi="Times New Roman" w:cs="Times New Roman"/>
          <w:sz w:val="24"/>
          <w:szCs w:val="24"/>
          <w:lang w:val="sr-Cyrl-CS"/>
        </w:rPr>
        <w:t xml:space="preserve">ЗоС) </w:t>
      </w:r>
      <w:r w:rsidRPr="00B27245">
        <w:rPr>
          <w:rFonts w:ascii="Times New Roman" w:hAnsi="Times New Roman" w:cs="Times New Roman"/>
          <w:sz w:val="24"/>
          <w:szCs w:val="24"/>
          <w:lang w:val="sr-Cyrl-CS"/>
        </w:rPr>
        <w:t xml:space="preserve">био је предмет </w:t>
      </w:r>
      <w:r w:rsidR="00260730" w:rsidRPr="00B27245">
        <w:rPr>
          <w:rFonts w:ascii="Times New Roman" w:hAnsi="Times New Roman" w:cs="Times New Roman"/>
          <w:sz w:val="24"/>
          <w:szCs w:val="24"/>
          <w:lang w:val="sr-Cyrl-CS"/>
        </w:rPr>
        <w:t xml:space="preserve">значајних </w:t>
      </w:r>
      <w:r w:rsidRPr="00B27245">
        <w:rPr>
          <w:rFonts w:ascii="Times New Roman" w:hAnsi="Times New Roman" w:cs="Times New Roman"/>
          <w:sz w:val="24"/>
          <w:szCs w:val="24"/>
          <w:lang w:val="sr-Cyrl-CS"/>
        </w:rPr>
        <w:t>измена 2017. године</w:t>
      </w:r>
      <w:r w:rsidR="00260730" w:rsidRPr="00B27245">
        <w:rPr>
          <w:rFonts w:ascii="Times New Roman" w:hAnsi="Times New Roman" w:cs="Times New Roman"/>
          <w:sz w:val="24"/>
          <w:szCs w:val="24"/>
          <w:lang w:val="sr-Cyrl-CS"/>
        </w:rPr>
        <w:t xml:space="preserve">. </w:t>
      </w:r>
      <w:r w:rsidRPr="00B27245">
        <w:rPr>
          <w:rFonts w:ascii="Times New Roman" w:hAnsi="Times New Roman" w:cs="Times New Roman"/>
          <w:sz w:val="24"/>
          <w:szCs w:val="24"/>
          <w:lang w:val="sr-Cyrl-CS"/>
        </w:rPr>
        <w:t xml:space="preserve">Иако текст садржи бројне измене, оне се могу оквирно поделити према три групе проблема које </w:t>
      </w:r>
      <w:r w:rsidR="00A12D44" w:rsidRPr="00B27245">
        <w:rPr>
          <w:rFonts w:ascii="Times New Roman" w:hAnsi="Times New Roman" w:cs="Times New Roman"/>
          <w:sz w:val="24"/>
          <w:szCs w:val="24"/>
          <w:lang w:val="sr-Cyrl-CS"/>
        </w:rPr>
        <w:t>су наведене измене покушале да реше</w:t>
      </w:r>
      <w:r w:rsidRPr="00B27245">
        <w:rPr>
          <w:rFonts w:ascii="Times New Roman" w:hAnsi="Times New Roman" w:cs="Times New Roman"/>
          <w:sz w:val="24"/>
          <w:szCs w:val="24"/>
          <w:lang w:val="sr-Cyrl-CS"/>
        </w:rPr>
        <w:t xml:space="preserve">: </w:t>
      </w:r>
    </w:p>
    <w:p w14:paraId="3BE8B799" w14:textId="6C74EA31" w:rsidR="001778B8" w:rsidRPr="00B27245" w:rsidRDefault="00EC38F8" w:rsidP="00EC38F8">
      <w:pPr>
        <w:spacing w:after="0" w:line="29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1. </w:t>
      </w:r>
      <w:r w:rsidR="001778B8" w:rsidRPr="00B27245">
        <w:rPr>
          <w:rFonts w:ascii="Times New Roman" w:hAnsi="Times New Roman" w:cs="Times New Roman"/>
          <w:sz w:val="24"/>
          <w:szCs w:val="24"/>
          <w:lang w:val="sr-Cyrl-CS"/>
        </w:rPr>
        <w:t>побољшање статуса разлучних, односно заложних поверилаца;</w:t>
      </w:r>
    </w:p>
    <w:p w14:paraId="69D83C93" w14:textId="73BBE6E6" w:rsidR="001778B8" w:rsidRPr="00B27245" w:rsidRDefault="00EC38F8" w:rsidP="00EC38F8">
      <w:pPr>
        <w:spacing w:after="0" w:line="29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2. </w:t>
      </w:r>
      <w:r w:rsidR="001778B8" w:rsidRPr="00B27245">
        <w:rPr>
          <w:rFonts w:ascii="Times New Roman" w:hAnsi="Times New Roman" w:cs="Times New Roman"/>
          <w:sz w:val="24"/>
          <w:szCs w:val="24"/>
          <w:lang w:val="sr-Cyrl-CS"/>
        </w:rPr>
        <w:t>отклањање проблема и повећање ефикасности поступка, пре свега унапред припремљених и стечајних реорганизација;</w:t>
      </w:r>
      <w:r w:rsidRPr="00B27245">
        <w:rPr>
          <w:rFonts w:ascii="Times New Roman" w:hAnsi="Times New Roman" w:cs="Times New Roman"/>
          <w:sz w:val="24"/>
          <w:szCs w:val="24"/>
          <w:lang w:val="sr-Cyrl-CS"/>
        </w:rPr>
        <w:t xml:space="preserve"> </w:t>
      </w:r>
    </w:p>
    <w:p w14:paraId="2798C4FF" w14:textId="6426B79C" w:rsidR="001778B8" w:rsidRPr="00B27245" w:rsidRDefault="00EC38F8" w:rsidP="00EC38F8">
      <w:pPr>
        <w:spacing w:after="0" w:line="29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lastRenderedPageBreak/>
        <w:t xml:space="preserve">3. </w:t>
      </w:r>
      <w:r w:rsidR="001778B8" w:rsidRPr="00B27245">
        <w:rPr>
          <w:rFonts w:ascii="Times New Roman" w:hAnsi="Times New Roman" w:cs="Times New Roman"/>
          <w:sz w:val="24"/>
          <w:szCs w:val="24"/>
          <w:lang w:val="sr-Cyrl-CS"/>
        </w:rPr>
        <w:t>остали недостаци уочени у пракси, укључујући бољу заштиту нових извора финансирања, питање разрешење стечајног управника, смањење потребне већине за гласање приликом доношења решења о банкротству, процене вредности у стечају, итд.</w:t>
      </w:r>
    </w:p>
    <w:p w14:paraId="2ACA2C33" w14:textId="77777777" w:rsidR="00260730" w:rsidRPr="00B27245" w:rsidRDefault="00260730" w:rsidP="00EC38F8">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Поред наведених, 2018. године извршене су додатне измене ЗоС, на иницијативу НБС којим су уређена питања финансијског обезбеђења</w:t>
      </w:r>
      <w:r w:rsidR="00A12D44" w:rsidRPr="00B27245">
        <w:rPr>
          <w:rFonts w:ascii="Times New Roman" w:hAnsi="Times New Roman" w:cs="Times New Roman"/>
          <w:sz w:val="24"/>
          <w:szCs w:val="24"/>
          <w:lang w:val="sr-Cyrl-CS"/>
        </w:rPr>
        <w:t xml:space="preserve">, а тренутно су у процедури измене усмерене ка побољшању положаја Републике Србије на листи </w:t>
      </w:r>
      <w:r w:rsidR="00A12D44" w:rsidRPr="00B27245">
        <w:rPr>
          <w:rFonts w:ascii="Times New Roman" w:hAnsi="Times New Roman"/>
          <w:sz w:val="24"/>
          <w:lang w:val="sr-Cyrl-CS"/>
        </w:rPr>
        <w:t>Doing Business</w:t>
      </w:r>
      <w:r w:rsidR="00A12D44" w:rsidRPr="00B27245">
        <w:rPr>
          <w:rFonts w:ascii="Times New Roman" w:hAnsi="Times New Roman" w:cs="Times New Roman"/>
          <w:sz w:val="24"/>
          <w:szCs w:val="24"/>
          <w:lang w:val="sr-Cyrl-CS"/>
        </w:rPr>
        <w:t xml:space="preserve"> Светске банке.</w:t>
      </w:r>
    </w:p>
    <w:p w14:paraId="290E77E5" w14:textId="77777777" w:rsidR="00260730" w:rsidRPr="00B27245" w:rsidRDefault="00260730" w:rsidP="00EC38F8">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По доношењу Закона о изменама и допунама Закона о стечају, извршене су измене и допуне подзаконских аката, од којих су најзначајније промене Националних стандарда за управљање стечајном масом. Кључне промене извршене су изменама Националног стандарда бр. 5 коју детаљно уређује питања продаје</w:t>
      </w:r>
      <w:r w:rsidR="00A12D44" w:rsidRPr="00B27245">
        <w:rPr>
          <w:rFonts w:ascii="Times New Roman" w:hAnsi="Times New Roman" w:cs="Times New Roman"/>
          <w:sz w:val="24"/>
          <w:szCs w:val="24"/>
          <w:lang w:val="sr-Cyrl-CS"/>
        </w:rPr>
        <w:t xml:space="preserve"> у стечају</w:t>
      </w:r>
      <w:r w:rsidRPr="00B27245">
        <w:rPr>
          <w:rFonts w:ascii="Times New Roman" w:hAnsi="Times New Roman" w:cs="Times New Roman"/>
          <w:sz w:val="24"/>
          <w:szCs w:val="24"/>
          <w:lang w:val="sr-Cyrl-CS"/>
        </w:rPr>
        <w:t xml:space="preserve">. </w:t>
      </w:r>
    </w:p>
    <w:p w14:paraId="2B1A5E17" w14:textId="77777777" w:rsidR="000B4204" w:rsidRPr="00B27245" w:rsidRDefault="005A420C" w:rsidP="00EC38F8">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Број отворених стечајних поступака (без унапред припремљених планова реорганизације) се у протекле три године усталио на око 400 на годишњем нивоу. При томе доминирају поступци банкротства, док је број стечајних реорганизација веома мали (до 10 потврђених планова на годишњем нивоу).</w:t>
      </w:r>
      <w:r w:rsidR="00A12D44" w:rsidRPr="00B27245">
        <w:rPr>
          <w:rFonts w:ascii="Times New Roman" w:hAnsi="Times New Roman" w:cs="Times New Roman"/>
          <w:sz w:val="24"/>
          <w:szCs w:val="24"/>
          <w:lang w:val="sr-Cyrl-CS"/>
        </w:rPr>
        <w:t xml:space="preserve"> </w:t>
      </w:r>
    </w:p>
    <w:p w14:paraId="2D98604A" w14:textId="77777777" w:rsidR="005A420C" w:rsidRPr="00B27245" w:rsidRDefault="005A420C" w:rsidP="00260730">
      <w:pPr>
        <w:jc w:val="both"/>
        <w:rPr>
          <w:rFonts w:ascii="Times New Roman" w:hAnsi="Times New Roman" w:cs="Times New Roman"/>
          <w:sz w:val="24"/>
          <w:szCs w:val="24"/>
          <w:lang w:val="sr-Cyrl-CS"/>
        </w:rPr>
      </w:pPr>
    </w:p>
    <w:p w14:paraId="49B2B8BF" w14:textId="77777777" w:rsidR="005A420C" w:rsidRPr="00B27245" w:rsidRDefault="005A420C" w:rsidP="00260730">
      <w:pPr>
        <w:jc w:val="both"/>
        <w:rPr>
          <w:rFonts w:ascii="Times New Roman" w:hAnsi="Times New Roman" w:cs="Times New Roman"/>
          <w:sz w:val="24"/>
          <w:szCs w:val="24"/>
          <w:lang w:val="sr-Cyrl-CS"/>
        </w:rPr>
      </w:pPr>
      <w:r w:rsidRPr="00B27245">
        <w:rPr>
          <w:rFonts w:ascii="Times New Roman" w:hAnsi="Times New Roman"/>
          <w:noProof/>
          <w:sz w:val="24"/>
          <w:lang w:val="en-US"/>
        </w:rPr>
        <w:drawing>
          <wp:inline distT="0" distB="0" distL="0" distR="0" wp14:anchorId="5DD3C848" wp14:editId="20B760D4">
            <wp:extent cx="5731510" cy="2895600"/>
            <wp:effectExtent l="0" t="0" r="2540" b="0"/>
            <wp:docPr id="1" name="Chart 1">
              <a:extLst xmlns:a="http://schemas.openxmlformats.org/drawingml/2006/main">
                <a:ext uri="{FF2B5EF4-FFF2-40B4-BE49-F238E27FC236}">
                  <a16:creationId xmlns:a16="http://schemas.microsoft.com/office/drawing/2014/main" id="{4AED501F-2BCF-4C7A-ACAA-FDCD00696D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8664443" w14:textId="77777777" w:rsidR="000B4204" w:rsidRPr="00B27245" w:rsidRDefault="005A420C" w:rsidP="00260730">
      <w:pPr>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Извор: АЛСУ</w:t>
      </w:r>
    </w:p>
    <w:p w14:paraId="0ED29655" w14:textId="28845BDE" w:rsidR="00260730" w:rsidRPr="00B27245" w:rsidRDefault="007F2DD9" w:rsidP="00EC38F8">
      <w:pPr>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Трошкови стечајног поступка у Републици Србији у случају </w:t>
      </w:r>
      <w:r w:rsidR="00DC3E81" w:rsidRPr="00B27245">
        <w:rPr>
          <w:rFonts w:ascii="Times New Roman" w:hAnsi="Times New Roman" w:cs="Times New Roman"/>
          <w:sz w:val="24"/>
          <w:szCs w:val="24"/>
          <w:lang w:val="sr-Cyrl-CS"/>
        </w:rPr>
        <w:t>банкротства</w:t>
      </w:r>
      <w:r w:rsidRPr="00B27245">
        <w:rPr>
          <w:rFonts w:ascii="Times New Roman" w:hAnsi="Times New Roman" w:cs="Times New Roman"/>
          <w:sz w:val="24"/>
          <w:szCs w:val="24"/>
          <w:lang w:val="sr-Cyrl-CS"/>
        </w:rPr>
        <w:t xml:space="preserve"> су и даље високи, док је могуће унапређењем продаје остварити и већи прилив. На основу података АЛСУ учешће трошкова и обавеза стечајног поступка и даље је веома високо и износи око 40% у случају стечајних поступака закључених или обустављених од 2010. године. </w:t>
      </w:r>
      <w:r w:rsidR="00EC38F8" w:rsidRPr="00B27245">
        <w:rPr>
          <w:rFonts w:ascii="Times New Roman" w:hAnsi="Times New Roman" w:cs="Times New Roman"/>
          <w:sz w:val="24"/>
          <w:szCs w:val="24"/>
          <w:lang w:val="sr-Cyrl-CS"/>
        </w:rPr>
        <w:t xml:space="preserve"> </w:t>
      </w:r>
    </w:p>
    <w:p w14:paraId="3FDDEEA8" w14:textId="0DA356D2" w:rsidR="00B70F57" w:rsidRPr="00B27245" w:rsidRDefault="00B70F57" w:rsidP="00EC38F8">
      <w:pPr>
        <w:pStyle w:val="Heading2"/>
        <w:numPr>
          <w:ilvl w:val="2"/>
          <w:numId w:val="31"/>
        </w:numPr>
        <w:jc w:val="center"/>
        <w:rPr>
          <w:b w:val="0"/>
          <w:lang w:val="sr-Cyrl-CS"/>
        </w:rPr>
      </w:pPr>
      <w:r w:rsidRPr="00B27245">
        <w:rPr>
          <w:b w:val="0"/>
          <w:lang w:val="sr-Cyrl-CS"/>
        </w:rPr>
        <w:t>Успостављање интернет портала за o</w:t>
      </w:r>
      <w:r w:rsidR="00EC38F8" w:rsidRPr="00B27245">
        <w:rPr>
          <w:b w:val="0"/>
          <w:lang w:val="sr-Cyrl-CS"/>
        </w:rPr>
        <w:t>n-line аукције стечајне имовине</w:t>
      </w:r>
    </w:p>
    <w:p w14:paraId="40196A37" w14:textId="77777777" w:rsidR="009D5F8D" w:rsidRPr="00B27245" w:rsidRDefault="009D5F8D" w:rsidP="009D5F8D">
      <w:pPr>
        <w:rPr>
          <w:lang w:val="sr-Cyrl-CS"/>
        </w:rPr>
      </w:pPr>
    </w:p>
    <w:p w14:paraId="2A0C88E3" w14:textId="77777777" w:rsidR="00DC3E81" w:rsidRPr="00B27245" w:rsidRDefault="00E60D2D" w:rsidP="00006803">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Кључно побољшање у наредном периоду треба да буде остварено формирањем интернет портала који би омогућио спровођење оn-linе аукције стечајне имовине.</w:t>
      </w:r>
      <w:r w:rsidR="00B70F57" w:rsidRPr="00B27245">
        <w:rPr>
          <w:rFonts w:ascii="Times New Roman" w:hAnsi="Times New Roman" w:cs="Times New Roman"/>
          <w:sz w:val="24"/>
          <w:szCs w:val="24"/>
          <w:lang w:val="sr-Cyrl-CS"/>
        </w:rPr>
        <w:t xml:space="preserve"> </w:t>
      </w:r>
      <w:r w:rsidR="007A0A30" w:rsidRPr="00B27245">
        <w:rPr>
          <w:rFonts w:ascii="Times New Roman" w:hAnsi="Times New Roman" w:cs="Times New Roman"/>
          <w:sz w:val="24"/>
          <w:szCs w:val="24"/>
          <w:lang w:val="sr-Cyrl-CS"/>
        </w:rPr>
        <w:t xml:space="preserve">On-linе аукције треба да максимизирају вредност имовине тако што ће подстакнути </w:t>
      </w:r>
      <w:r w:rsidR="007A0A30" w:rsidRPr="00B27245">
        <w:rPr>
          <w:rFonts w:ascii="Times New Roman" w:hAnsi="Times New Roman" w:cs="Times New Roman"/>
          <w:sz w:val="24"/>
          <w:szCs w:val="24"/>
          <w:lang w:val="sr-Cyrl-CS"/>
        </w:rPr>
        <w:lastRenderedPageBreak/>
        <w:t xml:space="preserve">понуђаче да понуде резервациону вредност и омогућити да понуђач са највећом вредновањем предметне имовине победи на аукцији. </w:t>
      </w:r>
    </w:p>
    <w:p w14:paraId="3DEC3C30" w14:textId="77777777" w:rsidR="00DC3E81" w:rsidRPr="00B27245" w:rsidRDefault="00DC3E81" w:rsidP="00006803">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Традиционалан приступ продајама (јавним надметањима) подразумева присуство (лично или преко заступника) у просторији где се одвија поступак продаје. Потреба да се присуствује чину продаје ствара ограничења у броју учесника, а тиме и ограничења у постизању одговарајуће цене. Поред тога отвара се могућност за утицај на потенцијалне купце или на договарање потенцијалних купаца који су физички присутни.</w:t>
      </w:r>
    </w:p>
    <w:p w14:paraId="2ACDE178" w14:textId="77777777" w:rsidR="00DC3E81" w:rsidRPr="00B27245" w:rsidRDefault="00DC3E81" w:rsidP="00006803">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Интернет продајом:</w:t>
      </w:r>
    </w:p>
    <w:p w14:paraId="374F7EE1" w14:textId="35316A9A"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DC3E81" w:rsidRPr="00B27245">
        <w:rPr>
          <w:rFonts w:ascii="Times New Roman" w:hAnsi="Times New Roman" w:cs="Times New Roman"/>
          <w:sz w:val="24"/>
          <w:szCs w:val="24"/>
          <w:lang w:val="sr-Cyrl-CS"/>
        </w:rPr>
        <w:t>Могуће је допрети до много већег броја купаца. Директна последица је постизање веће продајне цене.</w:t>
      </w:r>
    </w:p>
    <w:p w14:paraId="7FC33FBF" w14:textId="6093ACDB"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DC3E81" w:rsidRPr="00B27245">
        <w:rPr>
          <w:rFonts w:ascii="Times New Roman" w:hAnsi="Times New Roman" w:cs="Times New Roman"/>
          <w:sz w:val="24"/>
          <w:szCs w:val="24"/>
          <w:lang w:val="sr-Cyrl-CS"/>
        </w:rPr>
        <w:t>Нема временских ограничења, понуде се могу постављати у било које доба дана или ноћи. Стечајни управник бира колико дана ће трајати продаја за одређену имовину што даје учесницима у продаји време да упореде цене и одлуче се око своје понуде чиме се постиже већи број учесника.</w:t>
      </w:r>
    </w:p>
    <w:p w14:paraId="00718391" w14:textId="7A0BB3C3"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EF4241" w:rsidRPr="00B27245">
        <w:rPr>
          <w:rFonts w:ascii="Times New Roman" w:hAnsi="Times New Roman" w:cs="Times New Roman"/>
          <w:sz w:val="24"/>
          <w:szCs w:val="24"/>
          <w:lang w:val="sr-Cyrl-CS"/>
        </w:rPr>
        <w:t xml:space="preserve">Није потребно физичко присуство, </w:t>
      </w:r>
      <w:r w:rsidR="00DC3E81" w:rsidRPr="00B27245">
        <w:rPr>
          <w:rFonts w:ascii="Times New Roman" w:hAnsi="Times New Roman" w:cs="Times New Roman"/>
          <w:sz w:val="24"/>
          <w:szCs w:val="24"/>
          <w:lang w:val="sr-Cyrl-CS"/>
        </w:rPr>
        <w:t xml:space="preserve">што продају чини јефтинијом и </w:t>
      </w:r>
      <w:r w:rsidR="00EF4241" w:rsidRPr="00B27245">
        <w:rPr>
          <w:rFonts w:ascii="Times New Roman" w:hAnsi="Times New Roman" w:cs="Times New Roman"/>
          <w:sz w:val="24"/>
          <w:szCs w:val="24"/>
          <w:lang w:val="sr-Cyrl-CS"/>
        </w:rPr>
        <w:t xml:space="preserve">позитивно утиче на </w:t>
      </w:r>
      <w:r w:rsidR="00DC3E81" w:rsidRPr="00B27245">
        <w:rPr>
          <w:rFonts w:ascii="Times New Roman" w:hAnsi="Times New Roman" w:cs="Times New Roman"/>
          <w:sz w:val="24"/>
          <w:szCs w:val="24"/>
          <w:lang w:val="sr-Cyrl-CS"/>
        </w:rPr>
        <w:t>број купаца.</w:t>
      </w:r>
    </w:p>
    <w:p w14:paraId="1DD10AD9" w14:textId="74AE63B4"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DC3E81" w:rsidRPr="00B27245">
        <w:rPr>
          <w:rFonts w:ascii="Times New Roman" w:hAnsi="Times New Roman" w:cs="Times New Roman"/>
          <w:sz w:val="24"/>
          <w:szCs w:val="24"/>
          <w:lang w:val="sr-Cyrl-CS"/>
        </w:rPr>
        <w:t>Учествовање у продаји се обавља стандардним софтверским алатима који су широко распрострањени. Било којим интернет претраживачем може се приступити порталу за одржавање продаја и равноправно учествовати у њима.</w:t>
      </w:r>
    </w:p>
    <w:p w14:paraId="7799F102" w14:textId="463B62CE"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DC3E81" w:rsidRPr="00B27245">
        <w:rPr>
          <w:rFonts w:ascii="Times New Roman" w:hAnsi="Times New Roman" w:cs="Times New Roman"/>
          <w:sz w:val="24"/>
          <w:szCs w:val="24"/>
          <w:lang w:val="sr-Cyrl-CS"/>
        </w:rPr>
        <w:t>Инфраструктура је постојећа тако да нису потребни додатни трошкови за комуникацију.</w:t>
      </w:r>
    </w:p>
    <w:p w14:paraId="67BFDEAF" w14:textId="58A81FA2"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DC3E81" w:rsidRPr="00B27245">
        <w:rPr>
          <w:rFonts w:ascii="Times New Roman" w:hAnsi="Times New Roman" w:cs="Times New Roman"/>
          <w:sz w:val="24"/>
          <w:szCs w:val="24"/>
          <w:lang w:val="sr-Cyrl-CS"/>
        </w:rPr>
        <w:t>Приказ имовине која се продаје могуће је остварити детаљно и мултимедијално тако да омогућава учесницима да се упознају са свим детаљима.</w:t>
      </w:r>
    </w:p>
    <w:p w14:paraId="46CED908" w14:textId="4A0680CD"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DC3E81" w:rsidRPr="00B27245">
        <w:rPr>
          <w:rFonts w:ascii="Times New Roman" w:hAnsi="Times New Roman" w:cs="Times New Roman"/>
          <w:sz w:val="24"/>
          <w:szCs w:val="24"/>
          <w:lang w:val="sr-Cyrl-CS"/>
        </w:rPr>
        <w:t>Добија се могућност да купци у комфору свог дома могу учествовати у продаји.</w:t>
      </w:r>
    </w:p>
    <w:p w14:paraId="0868F29C" w14:textId="10EDD764"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DC3E81" w:rsidRPr="00B27245">
        <w:rPr>
          <w:rFonts w:ascii="Times New Roman" w:hAnsi="Times New Roman" w:cs="Times New Roman"/>
          <w:sz w:val="24"/>
          <w:szCs w:val="24"/>
          <w:lang w:val="sr-Cyrl-CS"/>
        </w:rPr>
        <w:t>Смањује се степен корупције и картелизације.</w:t>
      </w:r>
    </w:p>
    <w:p w14:paraId="733BE03C" w14:textId="1A651F92" w:rsidR="00DC3E81" w:rsidRPr="00B27245" w:rsidRDefault="00006803" w:rsidP="00006803">
      <w:pPr>
        <w:spacing w:after="0" w:line="240"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 </w:t>
      </w:r>
      <w:r w:rsidR="00DC3E81" w:rsidRPr="00B27245">
        <w:rPr>
          <w:rFonts w:ascii="Times New Roman" w:hAnsi="Times New Roman" w:cs="Times New Roman"/>
          <w:sz w:val="24"/>
          <w:szCs w:val="24"/>
          <w:lang w:val="sr-Cyrl-CS"/>
        </w:rPr>
        <w:t>Смањују се трошкови продаје (</w:t>
      </w:r>
      <w:r w:rsidR="00C15C2F" w:rsidRPr="00B27245">
        <w:rPr>
          <w:rFonts w:ascii="Times New Roman" w:hAnsi="Times New Roman" w:cs="Times New Roman"/>
          <w:sz w:val="24"/>
          <w:szCs w:val="24"/>
          <w:lang w:val="sr-Cyrl-CS"/>
        </w:rPr>
        <w:t>ангажовање</w:t>
      </w:r>
      <w:r w:rsidR="00DC3E81" w:rsidRPr="00B27245">
        <w:rPr>
          <w:rFonts w:ascii="Times New Roman" w:hAnsi="Times New Roman" w:cs="Times New Roman"/>
          <w:sz w:val="24"/>
          <w:szCs w:val="24"/>
          <w:lang w:val="sr-Cyrl-CS"/>
        </w:rPr>
        <w:t xml:space="preserve"> продајне комисије, закупа простора за одржавање, ангажовања обезбеђења, аукционара).</w:t>
      </w:r>
    </w:p>
    <w:p w14:paraId="5B1659F4" w14:textId="66B545D7" w:rsidR="00305CE8" w:rsidRPr="00B27245" w:rsidRDefault="00D92668" w:rsidP="00006803">
      <w:pPr>
        <w:spacing w:after="0"/>
        <w:ind w:firstLine="720"/>
        <w:jc w:val="both"/>
        <w:rPr>
          <w:rFonts w:ascii="Times New Roman" w:hAnsi="Times New Roman"/>
          <w:sz w:val="24"/>
          <w:szCs w:val="24"/>
          <w:lang w:val="sr-Cyrl-CS"/>
        </w:rPr>
      </w:pPr>
      <w:r w:rsidRPr="00B27245">
        <w:rPr>
          <w:rFonts w:ascii="Times New Roman" w:hAnsi="Times New Roman" w:cs="Times New Roman"/>
          <w:sz w:val="24"/>
          <w:szCs w:val="24"/>
          <w:lang w:val="sr-Cyrl-CS"/>
        </w:rPr>
        <w:t>Програмом</w:t>
      </w:r>
      <w:r w:rsidR="00305CE8" w:rsidRPr="00B27245">
        <w:rPr>
          <w:rFonts w:ascii="Times New Roman" w:hAnsi="Times New Roman" w:cs="Times New Roman"/>
          <w:sz w:val="24"/>
          <w:szCs w:val="24"/>
          <w:lang w:val="sr-Cyrl-CS"/>
        </w:rPr>
        <w:t xml:space="preserve"> је предвиђено да А</w:t>
      </w:r>
      <w:r w:rsidR="00305CE8" w:rsidRPr="00B27245">
        <w:rPr>
          <w:rFonts w:ascii="Times New Roman" w:hAnsi="Times New Roman"/>
          <w:sz w:val="24"/>
          <w:szCs w:val="24"/>
          <w:lang w:val="sr-Cyrl-CS"/>
        </w:rPr>
        <w:t xml:space="preserve">ЛСУ </w:t>
      </w:r>
      <w:r w:rsidR="00305CE8" w:rsidRPr="00B27245">
        <w:rPr>
          <w:rFonts w:ascii="Times New Roman" w:hAnsi="Times New Roman" w:cs="Times New Roman"/>
          <w:sz w:val="24"/>
          <w:szCs w:val="24"/>
          <w:lang w:val="sr-Cyrl-CS"/>
        </w:rPr>
        <w:t xml:space="preserve">одреди </w:t>
      </w:r>
      <w:r w:rsidR="00305CE8" w:rsidRPr="00B27245">
        <w:rPr>
          <w:rFonts w:ascii="Times New Roman" w:hAnsi="Times New Roman"/>
          <w:sz w:val="24"/>
          <w:szCs w:val="24"/>
          <w:lang w:val="sr-Cyrl-CS"/>
        </w:rPr>
        <w:t>тим за израду интернет портала за продају имовине стечајних дужника. Приликом израде и имплементације биће коришћен методолошки приступ који гарантује квалитетно дефинисање захтева које портал мора да испуњава, а након тога и креирање спецификације свих функционалности које је потребно имплементирати, како би се задовољиле све потребе корисника. Основне карактеристике изабране методологије су рад по претходно дефинисаним и прихваћеним фазама и итеративно инкременталани приступ, које омогућавају константан увид у динамику развоја апликације и рано откривање потенцијалних неправилности</w:t>
      </w:r>
      <w:r w:rsidR="00006803" w:rsidRPr="00B27245">
        <w:rPr>
          <w:rFonts w:ascii="Times New Roman" w:hAnsi="Times New Roman"/>
          <w:sz w:val="24"/>
          <w:szCs w:val="24"/>
          <w:lang w:val="sr-Cyrl-CS"/>
        </w:rPr>
        <w:t>,</w:t>
      </w:r>
      <w:r w:rsidR="00305CE8" w:rsidRPr="00B27245">
        <w:rPr>
          <w:rFonts w:ascii="Times New Roman" w:hAnsi="Times New Roman"/>
          <w:sz w:val="24"/>
          <w:szCs w:val="24"/>
          <w:lang w:val="sr-Cyrl-CS"/>
        </w:rPr>
        <w:t xml:space="preserve"> као и спречавање ширења тих неправилности. Главне фазе методологије су:</w:t>
      </w:r>
    </w:p>
    <w:p w14:paraId="0385BEBC" w14:textId="4B4E030A" w:rsidR="00305CE8" w:rsidRPr="00B27245" w:rsidRDefault="00006803" w:rsidP="00006803">
      <w:pPr>
        <w:spacing w:after="0" w:line="240" w:lineRule="auto"/>
        <w:ind w:firstLine="720"/>
        <w:jc w:val="both"/>
        <w:rPr>
          <w:rFonts w:ascii="Times New Roman" w:hAnsi="Times New Roman"/>
          <w:sz w:val="24"/>
          <w:lang w:val="sr-Cyrl-CS"/>
        </w:rPr>
      </w:pPr>
      <w:r w:rsidRPr="00B27245">
        <w:rPr>
          <w:rFonts w:ascii="Times New Roman" w:hAnsi="Times New Roman"/>
          <w:sz w:val="24"/>
          <w:lang w:val="sr-Cyrl-CS"/>
        </w:rPr>
        <w:t xml:space="preserve">1. </w:t>
      </w:r>
      <w:r w:rsidR="00305CE8" w:rsidRPr="00B27245">
        <w:rPr>
          <w:rFonts w:ascii="Times New Roman" w:hAnsi="Times New Roman"/>
          <w:sz w:val="24"/>
          <w:lang w:val="sr-Cyrl-CS"/>
        </w:rPr>
        <w:t>Анализа законске регулативе којом се регулише уновчење имовине (</w:t>
      </w:r>
      <w:r w:rsidRPr="00B27245">
        <w:rPr>
          <w:rFonts w:ascii="Times New Roman" w:hAnsi="Times New Roman"/>
          <w:sz w:val="24"/>
          <w:lang w:val="sr-Cyrl-CS"/>
        </w:rPr>
        <w:t>ЗоС</w:t>
      </w:r>
      <w:r w:rsidR="00305CE8" w:rsidRPr="00B27245">
        <w:rPr>
          <w:rFonts w:ascii="Times New Roman" w:hAnsi="Times New Roman"/>
          <w:sz w:val="24"/>
          <w:lang w:val="sr-Cyrl-CS"/>
        </w:rPr>
        <w:t>, Национални стандарди)</w:t>
      </w:r>
      <w:r w:rsidRPr="00B27245">
        <w:rPr>
          <w:rFonts w:ascii="Times New Roman" w:hAnsi="Times New Roman"/>
          <w:sz w:val="24"/>
          <w:lang w:val="sr-Cyrl-CS"/>
        </w:rPr>
        <w:t>,</w:t>
      </w:r>
      <w:r w:rsidR="00305CE8" w:rsidRPr="00B27245">
        <w:rPr>
          <w:rFonts w:ascii="Times New Roman" w:hAnsi="Times New Roman"/>
          <w:sz w:val="24"/>
          <w:lang w:val="sr-Cyrl-CS"/>
        </w:rPr>
        <w:t xml:space="preserve"> као и регулативе којом се уређују електронско пословање (Закон о електронском документу, електронској идентификацији и услугама од поверења у електронском  пословању), анализа постојећих платформи у другим земљама (регион и шире) и организовање студијских путовања како би се на лицу места стекао увид у функционисање система и прикупила додатна неопходна искуства.</w:t>
      </w:r>
    </w:p>
    <w:p w14:paraId="3CF2E4A6" w14:textId="07CD9321" w:rsidR="00305CE8" w:rsidRPr="00B27245" w:rsidRDefault="00006803" w:rsidP="00006803">
      <w:pPr>
        <w:spacing w:after="0" w:line="240" w:lineRule="auto"/>
        <w:ind w:firstLine="720"/>
        <w:jc w:val="both"/>
        <w:rPr>
          <w:rFonts w:ascii="Times New Roman" w:hAnsi="Times New Roman"/>
          <w:sz w:val="24"/>
          <w:lang w:val="sr-Cyrl-CS"/>
        </w:rPr>
      </w:pPr>
      <w:r w:rsidRPr="00B27245">
        <w:rPr>
          <w:rFonts w:ascii="Times New Roman" w:hAnsi="Times New Roman"/>
          <w:sz w:val="24"/>
          <w:lang w:val="sr-Cyrl-CS"/>
        </w:rPr>
        <w:t xml:space="preserve">2. </w:t>
      </w:r>
      <w:r w:rsidR="00305CE8" w:rsidRPr="00B27245">
        <w:rPr>
          <w:rFonts w:ascii="Times New Roman" w:hAnsi="Times New Roman"/>
          <w:sz w:val="24"/>
          <w:lang w:val="sr-Cyrl-CS"/>
        </w:rPr>
        <w:t>Дефинисање корисничких захтева – на основу анализе дефинисаће се скуп функционалних захтева.</w:t>
      </w:r>
    </w:p>
    <w:p w14:paraId="4D3A908A" w14:textId="4053DD91" w:rsidR="00305CE8" w:rsidRPr="00B27245" w:rsidRDefault="00006803" w:rsidP="00006803">
      <w:pPr>
        <w:spacing w:after="0" w:line="240" w:lineRule="auto"/>
        <w:ind w:firstLine="720"/>
        <w:jc w:val="both"/>
        <w:rPr>
          <w:rFonts w:ascii="Times New Roman" w:hAnsi="Times New Roman"/>
          <w:sz w:val="24"/>
          <w:lang w:val="sr-Cyrl-CS"/>
        </w:rPr>
      </w:pPr>
      <w:r w:rsidRPr="00B27245">
        <w:rPr>
          <w:rFonts w:ascii="Times New Roman" w:hAnsi="Times New Roman"/>
          <w:sz w:val="24"/>
          <w:lang w:val="sr-Cyrl-CS"/>
        </w:rPr>
        <w:t xml:space="preserve">3. </w:t>
      </w:r>
      <w:r w:rsidR="00305CE8" w:rsidRPr="00B27245">
        <w:rPr>
          <w:rFonts w:ascii="Times New Roman" w:hAnsi="Times New Roman"/>
          <w:sz w:val="24"/>
          <w:lang w:val="sr-Cyrl-CS"/>
        </w:rPr>
        <w:t>Спецификација сервиса – на основу претходно дефинисаних корисничких захтева у овој фази биће јасно дефинисани сервиси које је потребно имплементирати.</w:t>
      </w:r>
    </w:p>
    <w:p w14:paraId="5AC7EEF9" w14:textId="33065DF9" w:rsidR="00305CE8" w:rsidRPr="00B27245" w:rsidRDefault="00006803" w:rsidP="00006803">
      <w:pPr>
        <w:spacing w:after="0" w:line="240" w:lineRule="auto"/>
        <w:ind w:firstLine="720"/>
        <w:jc w:val="both"/>
        <w:rPr>
          <w:rFonts w:ascii="Times New Roman" w:hAnsi="Times New Roman"/>
          <w:sz w:val="24"/>
          <w:lang w:val="sr-Cyrl-CS"/>
        </w:rPr>
      </w:pPr>
      <w:r w:rsidRPr="00B27245">
        <w:rPr>
          <w:rFonts w:ascii="Times New Roman" w:hAnsi="Times New Roman"/>
          <w:sz w:val="24"/>
          <w:lang w:val="sr-Cyrl-CS"/>
        </w:rPr>
        <w:t xml:space="preserve">4. </w:t>
      </w:r>
      <w:r w:rsidR="00305CE8" w:rsidRPr="00B27245">
        <w:rPr>
          <w:rFonts w:ascii="Times New Roman" w:hAnsi="Times New Roman"/>
          <w:sz w:val="24"/>
          <w:lang w:val="sr-Cyrl-CS"/>
        </w:rPr>
        <w:t>Дефинисање архитектуре система и избор платформе и на основу избора набавка неопходних софтвера и лиценци.</w:t>
      </w:r>
    </w:p>
    <w:p w14:paraId="4327B56D" w14:textId="762B2505" w:rsidR="00305CE8" w:rsidRPr="00B27245" w:rsidRDefault="00006803" w:rsidP="00006803">
      <w:pPr>
        <w:spacing w:after="0" w:line="240" w:lineRule="auto"/>
        <w:ind w:firstLine="720"/>
        <w:jc w:val="both"/>
        <w:rPr>
          <w:rFonts w:ascii="Times New Roman" w:hAnsi="Times New Roman"/>
          <w:sz w:val="24"/>
          <w:lang w:val="sr-Cyrl-CS"/>
        </w:rPr>
      </w:pPr>
      <w:r w:rsidRPr="00B27245">
        <w:rPr>
          <w:rFonts w:ascii="Times New Roman" w:hAnsi="Times New Roman"/>
          <w:sz w:val="24"/>
          <w:lang w:val="sr-Cyrl-CS"/>
        </w:rPr>
        <w:lastRenderedPageBreak/>
        <w:t xml:space="preserve">5. </w:t>
      </w:r>
      <w:r w:rsidR="00305CE8" w:rsidRPr="00B27245">
        <w:rPr>
          <w:rFonts w:ascii="Times New Roman" w:hAnsi="Times New Roman"/>
          <w:sz w:val="24"/>
          <w:lang w:val="sr-Cyrl-CS"/>
        </w:rPr>
        <w:t>Имплементација и тестирање – ова фаза подразумева развој система који ће бити сагласан са претходно креираном документацијом. Тестирање обухвата како тестирање изворног кода и његове исправности тако и тестирање корисничког интерфејса и усаглашености креираног система са претходно креираном документацијом.</w:t>
      </w:r>
    </w:p>
    <w:p w14:paraId="6567F0CF" w14:textId="03DCB897" w:rsidR="00305CE8" w:rsidRPr="00B27245" w:rsidRDefault="00006803" w:rsidP="00006803">
      <w:pPr>
        <w:spacing w:after="0" w:line="240" w:lineRule="auto"/>
        <w:ind w:firstLine="720"/>
        <w:jc w:val="both"/>
        <w:rPr>
          <w:rFonts w:ascii="Times New Roman" w:hAnsi="Times New Roman"/>
          <w:sz w:val="24"/>
          <w:lang w:val="sr-Cyrl-CS"/>
        </w:rPr>
      </w:pPr>
      <w:r w:rsidRPr="00B27245">
        <w:rPr>
          <w:rFonts w:ascii="Times New Roman" w:hAnsi="Times New Roman"/>
          <w:sz w:val="24"/>
          <w:lang w:val="sr-Cyrl-CS"/>
        </w:rPr>
        <w:t xml:space="preserve">6. </w:t>
      </w:r>
      <w:r w:rsidR="00305CE8" w:rsidRPr="00B27245">
        <w:rPr>
          <w:rFonts w:ascii="Times New Roman" w:hAnsi="Times New Roman"/>
          <w:sz w:val="24"/>
          <w:lang w:val="sr-Cyrl-CS"/>
        </w:rPr>
        <w:t>Обука корисника и пуштање у рад система – по завршетку тестирања биће спроведена обука корисника кроз организовање едукативних семинара, промоција и презентација</w:t>
      </w:r>
      <w:r w:rsidRPr="00B27245">
        <w:rPr>
          <w:rFonts w:ascii="Times New Roman" w:hAnsi="Times New Roman"/>
          <w:sz w:val="24"/>
          <w:lang w:val="sr-Cyrl-CS"/>
        </w:rPr>
        <w:t>,</w:t>
      </w:r>
      <w:r w:rsidR="00305CE8" w:rsidRPr="00B27245">
        <w:rPr>
          <w:rFonts w:ascii="Times New Roman" w:hAnsi="Times New Roman"/>
          <w:sz w:val="24"/>
          <w:lang w:val="sr-Cyrl-CS"/>
        </w:rPr>
        <w:t xml:space="preserve"> као и кроз израду детаљног корисничког упутства и брошура, након чега следи пуштање у рад информационог система.</w:t>
      </w:r>
    </w:p>
    <w:p w14:paraId="5F8E29B6" w14:textId="77777777" w:rsidR="00A33E3C" w:rsidRPr="00B27245" w:rsidRDefault="00A33E3C" w:rsidP="005E528F">
      <w:pPr>
        <w:jc w:val="both"/>
        <w:rPr>
          <w:rFonts w:ascii="Times New Roman" w:hAnsi="Times New Roman" w:cs="Times New Roman"/>
          <w:sz w:val="24"/>
          <w:szCs w:val="24"/>
          <w:lang w:val="sr-Cyrl-CS"/>
        </w:rPr>
      </w:pPr>
    </w:p>
    <w:p w14:paraId="6BE31643" w14:textId="77777777" w:rsidR="00A33E3C" w:rsidRPr="00B27245" w:rsidRDefault="00B70F57" w:rsidP="00006803">
      <w:pPr>
        <w:pStyle w:val="Heading2"/>
        <w:numPr>
          <w:ilvl w:val="2"/>
          <w:numId w:val="31"/>
        </w:numPr>
        <w:jc w:val="center"/>
        <w:rPr>
          <w:b w:val="0"/>
          <w:lang w:val="sr-Cyrl-CS"/>
        </w:rPr>
      </w:pPr>
      <w:r w:rsidRPr="00B27245">
        <w:rPr>
          <w:b w:val="0"/>
          <w:lang w:val="sr-Cyrl-CS"/>
        </w:rPr>
        <w:t>Унапређење професије стечајних управника</w:t>
      </w:r>
      <w:r w:rsidR="00A83E29" w:rsidRPr="00B27245">
        <w:rPr>
          <w:b w:val="0"/>
          <w:lang w:val="sr-Cyrl-CS"/>
        </w:rPr>
        <w:t xml:space="preserve"> кроз </w:t>
      </w:r>
      <w:r w:rsidR="00571B11" w:rsidRPr="00B27245">
        <w:rPr>
          <w:b w:val="0"/>
          <w:lang w:val="sr-Cyrl-CS"/>
        </w:rPr>
        <w:t>обуке</w:t>
      </w:r>
    </w:p>
    <w:p w14:paraId="01D9FECE" w14:textId="77777777" w:rsidR="00B70F57" w:rsidRPr="00B27245" w:rsidRDefault="00B70F57" w:rsidP="00AD75BC">
      <w:pPr>
        <w:jc w:val="both"/>
        <w:rPr>
          <w:rFonts w:ascii="Times New Roman" w:hAnsi="Times New Roman" w:cs="Times New Roman"/>
          <w:sz w:val="24"/>
          <w:szCs w:val="24"/>
          <w:lang w:val="sr-Cyrl-CS"/>
        </w:rPr>
      </w:pPr>
    </w:p>
    <w:p w14:paraId="5949FB19" w14:textId="51B77EDB" w:rsidR="008F257F" w:rsidRPr="00B27245" w:rsidRDefault="00A33E3C" w:rsidP="00006803">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У Републици Србији закључно </w:t>
      </w:r>
      <w:r w:rsidR="00006803" w:rsidRPr="00B27245">
        <w:rPr>
          <w:rFonts w:ascii="Times New Roman" w:hAnsi="Times New Roman" w:cs="Times New Roman"/>
          <w:sz w:val="24"/>
          <w:szCs w:val="24"/>
          <w:lang w:val="sr-Cyrl-CS"/>
        </w:rPr>
        <w:t xml:space="preserve">са 31. октобром </w:t>
      </w:r>
      <w:r w:rsidRPr="00B27245">
        <w:rPr>
          <w:rFonts w:ascii="Times New Roman" w:hAnsi="Times New Roman" w:cs="Times New Roman"/>
          <w:sz w:val="24"/>
          <w:szCs w:val="24"/>
          <w:lang w:val="sr-Cyrl-CS"/>
        </w:rPr>
        <w:t>2018. године има 399  лиценцираних стечајних управника од чега је 333 активно. АЛСУ континуирано предузима организовање разних стручних скупова (саветовања, семинари и радионице) и разних врста обука за потребе едукације стечајних управника.</w:t>
      </w:r>
      <w:r w:rsidR="00AD75BC" w:rsidRPr="00B27245">
        <w:rPr>
          <w:rFonts w:ascii="Times New Roman" w:hAnsi="Times New Roman" w:cs="Times New Roman"/>
          <w:sz w:val="24"/>
          <w:szCs w:val="24"/>
          <w:lang w:val="sr-Cyrl-CS"/>
        </w:rPr>
        <w:t xml:space="preserve"> </w:t>
      </w:r>
      <w:r w:rsidR="00D92668" w:rsidRPr="00B27245">
        <w:rPr>
          <w:rFonts w:ascii="Times New Roman" w:hAnsi="Times New Roman" w:cs="Times New Roman"/>
          <w:sz w:val="24"/>
          <w:szCs w:val="24"/>
          <w:lang w:val="sr-Cyrl-CS"/>
        </w:rPr>
        <w:t>Програмом</w:t>
      </w:r>
      <w:r w:rsidR="00AD75BC" w:rsidRPr="00B27245">
        <w:rPr>
          <w:rFonts w:ascii="Times New Roman" w:hAnsi="Times New Roman" w:cs="Times New Roman"/>
          <w:sz w:val="24"/>
          <w:szCs w:val="24"/>
          <w:lang w:val="sr-Cyrl-CS"/>
        </w:rPr>
        <w:t xml:space="preserve"> је предвиђено даље унапређење професије стечајних управника. То се посебно односи на обуку о примени Националних стандарда за управљање стечајном масом</w:t>
      </w:r>
      <w:r w:rsidR="00947398" w:rsidRPr="00B27245">
        <w:rPr>
          <w:rFonts w:ascii="Times New Roman" w:hAnsi="Times New Roman" w:cs="Times New Roman"/>
          <w:sz w:val="24"/>
          <w:szCs w:val="24"/>
          <w:lang w:val="sr-Cyrl-CS"/>
        </w:rPr>
        <w:t xml:space="preserve"> и измена и допуна постојећег стечајног законодавства, а након успостављања портала за продају имовине и обука о обавезама и начину коришћења портала.</w:t>
      </w:r>
    </w:p>
    <w:p w14:paraId="078A7320" w14:textId="77777777" w:rsidR="00006803" w:rsidRPr="00B27245" w:rsidRDefault="00006803" w:rsidP="00006803">
      <w:pPr>
        <w:spacing w:after="0"/>
        <w:ind w:firstLine="720"/>
        <w:jc w:val="both"/>
        <w:rPr>
          <w:rFonts w:ascii="Times New Roman" w:hAnsi="Times New Roman" w:cs="Times New Roman"/>
          <w:sz w:val="24"/>
          <w:szCs w:val="24"/>
          <w:lang w:val="sr-Cyrl-CS"/>
        </w:rPr>
      </w:pPr>
    </w:p>
    <w:p w14:paraId="0632C4DA" w14:textId="77777777" w:rsidR="004E3F51" w:rsidRPr="00B27245" w:rsidRDefault="00B70F57" w:rsidP="00006803">
      <w:pPr>
        <w:pStyle w:val="Heading2"/>
        <w:numPr>
          <w:ilvl w:val="2"/>
          <w:numId w:val="31"/>
        </w:numPr>
        <w:spacing w:after="0"/>
        <w:jc w:val="center"/>
        <w:rPr>
          <w:b w:val="0"/>
          <w:lang w:val="sr-Cyrl-CS"/>
        </w:rPr>
      </w:pPr>
      <w:r w:rsidRPr="00B27245">
        <w:rPr>
          <w:b w:val="0"/>
          <w:lang w:val="sr-Cyrl-CS"/>
        </w:rPr>
        <w:t>Унапређење рада стечајних судова</w:t>
      </w:r>
    </w:p>
    <w:p w14:paraId="64B69FB5" w14:textId="77777777" w:rsidR="004E3F51" w:rsidRPr="00B27245" w:rsidRDefault="004E3F51" w:rsidP="00006803">
      <w:pPr>
        <w:spacing w:after="0"/>
        <w:jc w:val="both"/>
        <w:rPr>
          <w:rFonts w:ascii="Times New Roman" w:hAnsi="Times New Roman" w:cs="Times New Roman"/>
          <w:sz w:val="24"/>
          <w:szCs w:val="24"/>
          <w:lang w:val="sr-Cyrl-CS"/>
        </w:rPr>
      </w:pPr>
    </w:p>
    <w:p w14:paraId="4D19CBA7" w14:textId="204F2612" w:rsidR="002137A5" w:rsidRPr="00B27245" w:rsidRDefault="00D92668" w:rsidP="00925466">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Програмом</w:t>
      </w:r>
      <w:r w:rsidR="004E3F51" w:rsidRPr="00B27245">
        <w:rPr>
          <w:rFonts w:ascii="Times New Roman" w:hAnsi="Times New Roman" w:cs="Times New Roman"/>
          <w:sz w:val="24"/>
          <w:szCs w:val="24"/>
          <w:lang w:val="sr-Cyrl-CS"/>
        </w:rPr>
        <w:t xml:space="preserve"> је предвиђено даље јачање капацитета судова и унапређење примене стечајних прописа у виду континуираних обука како би се обезбедила доследна примена Националних стандарда за управљање стечајном масом, а након тога и обука о коришћењу портала за продају стечајне имовине. Поред тога потребно је организовати и обуке којим би биле обухваћене </w:t>
      </w:r>
      <w:r w:rsidR="00925466" w:rsidRPr="00B27245">
        <w:rPr>
          <w:rFonts w:ascii="Times New Roman" w:hAnsi="Times New Roman" w:cs="Times New Roman"/>
          <w:sz w:val="24"/>
          <w:szCs w:val="24"/>
          <w:lang w:val="sr-Cyrl-CS"/>
        </w:rPr>
        <w:t>измене и допуне ЗоС</w:t>
      </w:r>
      <w:r w:rsidR="004E3F51" w:rsidRPr="00B27245">
        <w:rPr>
          <w:rFonts w:ascii="Times New Roman" w:hAnsi="Times New Roman" w:cs="Times New Roman"/>
          <w:sz w:val="24"/>
          <w:szCs w:val="24"/>
          <w:lang w:val="sr-Cyrl-CS"/>
        </w:rPr>
        <w:t xml:space="preserve">, </w:t>
      </w:r>
      <w:r w:rsidR="006B2B9D" w:rsidRPr="00B27245">
        <w:rPr>
          <w:rFonts w:ascii="Times New Roman" w:hAnsi="Times New Roman" w:cs="Times New Roman"/>
          <w:sz w:val="24"/>
          <w:szCs w:val="24"/>
          <w:lang w:val="sr-Cyrl-CS"/>
        </w:rPr>
        <w:t>медијације у стечајном поступку</w:t>
      </w:r>
      <w:r w:rsidR="004E3F51" w:rsidRPr="00B27245">
        <w:rPr>
          <w:rFonts w:ascii="Times New Roman" w:hAnsi="Times New Roman" w:cs="Times New Roman"/>
          <w:sz w:val="24"/>
          <w:szCs w:val="24"/>
          <w:lang w:val="sr-Cyrl-CS"/>
        </w:rPr>
        <w:t xml:space="preserve"> и обуке о спорним питањима при</w:t>
      </w:r>
      <w:r w:rsidR="008F257F" w:rsidRPr="00B27245">
        <w:rPr>
          <w:rFonts w:ascii="Times New Roman" w:hAnsi="Times New Roman" w:cs="Times New Roman"/>
          <w:sz w:val="24"/>
          <w:szCs w:val="24"/>
          <w:lang w:val="sr-Cyrl-CS"/>
        </w:rPr>
        <w:t>мене</w:t>
      </w:r>
      <w:r w:rsidR="006B2B9D" w:rsidRPr="00B27245">
        <w:rPr>
          <w:rFonts w:ascii="Times New Roman" w:hAnsi="Times New Roman" w:cs="Times New Roman"/>
          <w:sz w:val="24"/>
          <w:szCs w:val="24"/>
          <w:lang w:val="sr-Cyrl-CS"/>
        </w:rPr>
        <w:t xml:space="preserve"> ЗоС</w:t>
      </w:r>
      <w:r w:rsidR="008F257F" w:rsidRPr="00B27245">
        <w:rPr>
          <w:rFonts w:ascii="Times New Roman" w:hAnsi="Times New Roman" w:cs="Times New Roman"/>
          <w:sz w:val="24"/>
          <w:szCs w:val="24"/>
          <w:lang w:val="sr-Cyrl-CS"/>
        </w:rPr>
        <w:t>.</w:t>
      </w:r>
      <w:r w:rsidR="00006803" w:rsidRPr="00B27245">
        <w:rPr>
          <w:rFonts w:ascii="Times New Roman" w:hAnsi="Times New Roman" w:cs="Times New Roman"/>
          <w:sz w:val="24"/>
          <w:szCs w:val="24"/>
          <w:lang w:val="sr-Cyrl-CS"/>
        </w:rPr>
        <w:t xml:space="preserve"> </w:t>
      </w:r>
    </w:p>
    <w:p w14:paraId="71A6AAE5" w14:textId="77777777" w:rsidR="008F257F" w:rsidRPr="00B27245" w:rsidRDefault="008F257F" w:rsidP="00925466">
      <w:pPr>
        <w:spacing w:after="0"/>
        <w:jc w:val="both"/>
        <w:rPr>
          <w:rFonts w:ascii="Times New Roman" w:hAnsi="Times New Roman" w:cs="Times New Roman"/>
          <w:sz w:val="24"/>
          <w:szCs w:val="24"/>
          <w:lang w:val="sr-Cyrl-CS"/>
        </w:rPr>
      </w:pPr>
    </w:p>
    <w:p w14:paraId="21F6FC3E" w14:textId="77777777" w:rsidR="005E528F" w:rsidRPr="00B27245" w:rsidRDefault="00B70F57" w:rsidP="00925466">
      <w:pPr>
        <w:pStyle w:val="Heading2"/>
        <w:numPr>
          <w:ilvl w:val="2"/>
          <w:numId w:val="31"/>
        </w:numPr>
        <w:spacing w:after="0"/>
        <w:jc w:val="center"/>
        <w:rPr>
          <w:b w:val="0"/>
          <w:lang w:val="sr-Cyrl-CS"/>
        </w:rPr>
      </w:pPr>
      <w:r w:rsidRPr="00B27245">
        <w:rPr>
          <w:b w:val="0"/>
          <w:lang w:val="sr-Cyrl-CS"/>
        </w:rPr>
        <w:t>Уређење стечаја предузетника</w:t>
      </w:r>
    </w:p>
    <w:p w14:paraId="1B37A37A" w14:textId="77777777" w:rsidR="00B70F57" w:rsidRPr="00B27245" w:rsidRDefault="00B70F57" w:rsidP="00925466">
      <w:pPr>
        <w:spacing w:after="0"/>
        <w:rPr>
          <w:lang w:val="sr-Cyrl-CS" w:eastAsia="en-GB"/>
        </w:rPr>
      </w:pPr>
    </w:p>
    <w:p w14:paraId="408747B4" w14:textId="62843A78" w:rsidR="004A1112" w:rsidRPr="00B27245" w:rsidRDefault="00240478" w:rsidP="00925466">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Примена постојећег стечајног оквира у Републици Србији ограничена је само</w:t>
      </w:r>
      <w:r w:rsidR="00925466" w:rsidRPr="00B27245">
        <w:rPr>
          <w:rFonts w:ascii="Times New Roman" w:hAnsi="Times New Roman" w:cs="Times New Roman"/>
          <w:sz w:val="24"/>
          <w:szCs w:val="24"/>
          <w:lang w:val="sr-Cyrl-CS"/>
        </w:rPr>
        <w:t xml:space="preserve"> на правна лица. ЗоС</w:t>
      </w:r>
      <w:r w:rsidRPr="00B27245">
        <w:rPr>
          <w:rFonts w:ascii="Times New Roman" w:hAnsi="Times New Roman" w:cs="Times New Roman"/>
          <w:sz w:val="24"/>
          <w:szCs w:val="24"/>
          <w:lang w:val="sr-Cyrl-CS"/>
        </w:rPr>
        <w:t xml:space="preserve"> не омогућава покретање стечајног поступка над физичким лицима. Закон о стечај</w:t>
      </w:r>
      <w:r w:rsidR="00B70F57" w:rsidRPr="00B27245">
        <w:rPr>
          <w:rFonts w:ascii="Times New Roman" w:hAnsi="Times New Roman" w:cs="Times New Roman"/>
          <w:sz w:val="24"/>
          <w:szCs w:val="24"/>
          <w:lang w:val="sr-Cyrl-CS"/>
        </w:rPr>
        <w:t>н</w:t>
      </w:r>
      <w:r w:rsidRPr="00B27245">
        <w:rPr>
          <w:rFonts w:ascii="Times New Roman" w:hAnsi="Times New Roman" w:cs="Times New Roman"/>
          <w:sz w:val="24"/>
          <w:szCs w:val="24"/>
          <w:lang w:val="sr-Cyrl-CS"/>
        </w:rPr>
        <w:t>ом поступку из 2004</w:t>
      </w:r>
      <w:r w:rsidR="006B2B9D" w:rsidRPr="00B27245">
        <w:rPr>
          <w:rFonts w:ascii="Times New Roman" w:hAnsi="Times New Roman" w:cs="Times New Roman"/>
          <w:sz w:val="24"/>
          <w:szCs w:val="24"/>
          <w:lang w:val="sr-Cyrl-CS"/>
        </w:rPr>
        <w:t>.</w:t>
      </w:r>
      <w:r w:rsidRPr="00B27245">
        <w:rPr>
          <w:rFonts w:ascii="Times New Roman" w:hAnsi="Times New Roman" w:cs="Times New Roman"/>
          <w:sz w:val="24"/>
          <w:szCs w:val="24"/>
          <w:lang w:val="sr-Cyrl-CS"/>
        </w:rPr>
        <w:t xml:space="preserve"> године омогућавао је покретање стечај</w:t>
      </w:r>
      <w:r w:rsidR="00B70F57" w:rsidRPr="00B27245">
        <w:rPr>
          <w:rFonts w:ascii="Times New Roman" w:hAnsi="Times New Roman" w:cs="Times New Roman"/>
          <w:sz w:val="24"/>
          <w:szCs w:val="24"/>
          <w:lang w:val="sr-Cyrl-CS"/>
        </w:rPr>
        <w:t>н</w:t>
      </w:r>
      <w:r w:rsidRPr="00B27245">
        <w:rPr>
          <w:rFonts w:ascii="Times New Roman" w:hAnsi="Times New Roman" w:cs="Times New Roman"/>
          <w:sz w:val="24"/>
          <w:szCs w:val="24"/>
          <w:lang w:val="sr-Cyrl-CS"/>
        </w:rPr>
        <w:t>ог поступка предузетника, али у пракси тај институт није примењиван, так</w:t>
      </w:r>
      <w:r w:rsidR="00925466" w:rsidRPr="00B27245">
        <w:rPr>
          <w:rFonts w:ascii="Times New Roman" w:hAnsi="Times New Roman" w:cs="Times New Roman"/>
          <w:sz w:val="24"/>
          <w:szCs w:val="24"/>
          <w:lang w:val="sr-Cyrl-CS"/>
        </w:rPr>
        <w:t>о да је укинут ЗоС</w:t>
      </w:r>
      <w:r w:rsidRPr="00B27245">
        <w:rPr>
          <w:rFonts w:ascii="Times New Roman" w:hAnsi="Times New Roman" w:cs="Times New Roman"/>
          <w:sz w:val="24"/>
          <w:szCs w:val="24"/>
          <w:lang w:val="sr-Cyrl-CS"/>
        </w:rPr>
        <w:t xml:space="preserve"> 2010. године. </w:t>
      </w:r>
      <w:r w:rsidR="00925466" w:rsidRPr="00B27245">
        <w:rPr>
          <w:rFonts w:ascii="Times New Roman" w:hAnsi="Times New Roman" w:cs="Times New Roman"/>
          <w:sz w:val="24"/>
          <w:szCs w:val="24"/>
          <w:lang w:val="sr-Cyrl-CS"/>
        </w:rPr>
        <w:t>Данас је Република Србија</w:t>
      </w:r>
      <w:r w:rsidR="004A1112" w:rsidRPr="00B27245">
        <w:rPr>
          <w:rFonts w:ascii="Times New Roman" w:hAnsi="Times New Roman" w:cs="Times New Roman"/>
          <w:sz w:val="24"/>
          <w:szCs w:val="24"/>
          <w:lang w:val="sr-Cyrl-CS"/>
        </w:rPr>
        <w:t xml:space="preserve"> једна од ретких европских земаља која нема уређено питање стечаја предузетника.</w:t>
      </w:r>
    </w:p>
    <w:p w14:paraId="20D689B4" w14:textId="4847FA2E" w:rsidR="004A1112" w:rsidRPr="00B27245" w:rsidRDefault="004A1112" w:rsidP="00925466">
      <w:pPr>
        <w:spacing w:after="0"/>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 xml:space="preserve">Поред тога, према налазима Студије о потенцијалном увођењу стечаја физичких лица и предузетника, с обзиром на ризике, као и на капацитете судова, пожељно је у првој фази омогућити стечај предузетника, а у другом кораку и стечај физичких лица. </w:t>
      </w:r>
      <w:r w:rsidRPr="00B27245">
        <w:rPr>
          <w:rFonts w:ascii="Times New Roman" w:hAnsi="Times New Roman" w:cs="Times New Roman"/>
          <w:color w:val="222222"/>
          <w:sz w:val="24"/>
          <w:szCs w:val="24"/>
          <w:lang w:val="sr-Cyrl-CS"/>
        </w:rPr>
        <w:t>У Републици Срб</w:t>
      </w:r>
      <w:r w:rsidR="006B2B9D" w:rsidRPr="00B27245">
        <w:rPr>
          <w:rFonts w:ascii="Times New Roman" w:hAnsi="Times New Roman" w:cs="Times New Roman"/>
          <w:color w:val="222222"/>
          <w:sz w:val="24"/>
          <w:szCs w:val="24"/>
          <w:lang w:val="sr-Cyrl-CS"/>
        </w:rPr>
        <w:t>ији регистровано је скоро 260000 предузетника. Око 20</w:t>
      </w:r>
      <w:r w:rsidRPr="00B27245">
        <w:rPr>
          <w:rFonts w:ascii="Times New Roman" w:hAnsi="Times New Roman" w:cs="Times New Roman"/>
          <w:color w:val="222222"/>
          <w:sz w:val="24"/>
          <w:szCs w:val="24"/>
          <w:lang w:val="sr-Cyrl-CS"/>
        </w:rPr>
        <w:t xml:space="preserve">000 активних предузетника је било у блокади на крају другог тромесечја 2018. године, што је 8% укупног броја активних предузетника. Стопа опстанка предузетника (колико предузећа и радњи преживи две године, након чега се може сматрати да се привредни субјект прилагодио тржишним условима, заузимајући своју тржишну позицију) у Републици </w:t>
      </w:r>
      <w:r w:rsidRPr="00B27245">
        <w:rPr>
          <w:rFonts w:ascii="Times New Roman" w:hAnsi="Times New Roman" w:cs="Times New Roman"/>
          <w:color w:val="222222"/>
          <w:sz w:val="24"/>
          <w:szCs w:val="24"/>
          <w:lang w:val="sr-Cyrl-CS"/>
        </w:rPr>
        <w:lastRenderedPageBreak/>
        <w:t>Србији у 2016. години износила је око 65%. Ови подаци такође указују на потребу за уређењем питања стечаја предузетника.</w:t>
      </w:r>
      <w:r w:rsidRPr="00B27245">
        <w:rPr>
          <w:rFonts w:ascii="Times New Roman" w:hAnsi="Times New Roman" w:cs="Times New Roman"/>
          <w:sz w:val="24"/>
          <w:szCs w:val="24"/>
          <w:lang w:val="sr-Cyrl-CS"/>
        </w:rPr>
        <w:t xml:space="preserve"> Број предузетника</w:t>
      </w:r>
      <w:r w:rsidR="006B2B9D" w:rsidRPr="00B27245">
        <w:rPr>
          <w:rFonts w:ascii="Times New Roman" w:hAnsi="Times New Roman" w:cs="Times New Roman"/>
          <w:sz w:val="24"/>
          <w:szCs w:val="24"/>
          <w:lang w:val="sr-Cyrl-CS"/>
        </w:rPr>
        <w:t xml:space="preserve"> у Републици Србији прелази 200</w:t>
      </w:r>
      <w:r w:rsidRPr="00B27245">
        <w:rPr>
          <w:rFonts w:ascii="Times New Roman" w:hAnsi="Times New Roman" w:cs="Times New Roman"/>
          <w:sz w:val="24"/>
          <w:szCs w:val="24"/>
          <w:lang w:val="sr-Cyrl-CS"/>
        </w:rPr>
        <w:t>000, а имајући у виду број оних који су у блокади, потенцијални прилив стечајних поступака може бити велик. Ипак, то није био случају другим земљама, тако да се може очекивати да судски систем без већих проблема апсорбује нове предмете. Коначно, у случају стечаја предузетника, у систему привредних судова постоји довољно искуства које би омогућили несметано (поновно) укључивање овог института у постојећи стечајни оквир. Искуства примене стечаја предузетника (с обзиром да је реч о физичким лицима) омогућило би квалитетније увођење и стечаја физичких лица у ближој будућности</w:t>
      </w:r>
      <w:r w:rsidR="00A223C0" w:rsidRPr="00B27245">
        <w:rPr>
          <w:rFonts w:ascii="Times New Roman" w:hAnsi="Times New Roman" w:cs="Times New Roman"/>
          <w:sz w:val="24"/>
          <w:szCs w:val="24"/>
          <w:lang w:val="sr-Cyrl-CS"/>
        </w:rPr>
        <w:t>, уз уважавање свих специфичности примене стечаја код физичких лица</w:t>
      </w:r>
      <w:r w:rsidRPr="00B27245">
        <w:rPr>
          <w:rFonts w:ascii="Times New Roman" w:hAnsi="Times New Roman" w:cs="Times New Roman"/>
          <w:sz w:val="24"/>
          <w:szCs w:val="24"/>
          <w:lang w:val="sr-Cyrl-CS"/>
        </w:rPr>
        <w:t xml:space="preserve">. </w:t>
      </w:r>
    </w:p>
    <w:p w14:paraId="616D728A" w14:textId="2DD1FF8D" w:rsidR="004A1112" w:rsidRPr="00B27245" w:rsidRDefault="006F5777" w:rsidP="00925466">
      <w:pPr>
        <w:spacing w:after="0" w:line="276" w:lineRule="auto"/>
        <w:ind w:firstLine="720"/>
        <w:jc w:val="both"/>
        <w:rPr>
          <w:rFonts w:ascii="Times New Roman" w:hAnsi="Times New Roman" w:cs="Times New Roman"/>
          <w:sz w:val="24"/>
          <w:szCs w:val="24"/>
          <w:lang w:val="sr-Cyrl-CS"/>
        </w:rPr>
      </w:pPr>
      <w:r w:rsidRPr="00B27245">
        <w:rPr>
          <w:rFonts w:ascii="Times New Roman" w:hAnsi="Times New Roman" w:cs="Times New Roman"/>
          <w:sz w:val="24"/>
          <w:szCs w:val="24"/>
          <w:lang w:val="sr-Cyrl-CS"/>
        </w:rPr>
        <w:t>Према налазима Студије, с</w:t>
      </w:r>
      <w:r w:rsidR="004A1112" w:rsidRPr="00B27245">
        <w:rPr>
          <w:rFonts w:ascii="Times New Roman" w:hAnsi="Times New Roman" w:cs="Times New Roman"/>
          <w:sz w:val="24"/>
          <w:szCs w:val="24"/>
          <w:lang w:val="sr-Cyrl-CS"/>
        </w:rPr>
        <w:t>течај предузетника (као и стечај физичких лица) треба да буде једноставан како не би демотивисао дужнике</w:t>
      </w:r>
      <w:r w:rsidR="00EF4241" w:rsidRPr="00B27245">
        <w:rPr>
          <w:rFonts w:ascii="Times New Roman" w:hAnsi="Times New Roman" w:cs="Times New Roman"/>
          <w:sz w:val="24"/>
          <w:szCs w:val="24"/>
          <w:lang w:val="sr-Cyrl-CS"/>
        </w:rPr>
        <w:t xml:space="preserve"> и повериоце</w:t>
      </w:r>
      <w:r w:rsidR="004A1112" w:rsidRPr="00B27245">
        <w:rPr>
          <w:rFonts w:ascii="Times New Roman" w:hAnsi="Times New Roman" w:cs="Times New Roman"/>
          <w:sz w:val="24"/>
          <w:szCs w:val="24"/>
          <w:lang w:val="sr-Cyrl-CS"/>
        </w:rPr>
        <w:t xml:space="preserve"> од правовременог покретања стечајног поступка. Овај приступ подразумевао би из</w:t>
      </w:r>
      <w:r w:rsidR="00925466" w:rsidRPr="00B27245">
        <w:rPr>
          <w:rFonts w:ascii="Times New Roman" w:hAnsi="Times New Roman" w:cs="Times New Roman"/>
          <w:sz w:val="24"/>
          <w:szCs w:val="24"/>
          <w:lang w:val="sr-Cyrl-CS"/>
        </w:rPr>
        <w:t>мене постојећег ЗоС</w:t>
      </w:r>
      <w:r w:rsidR="004A1112" w:rsidRPr="00B27245">
        <w:rPr>
          <w:rFonts w:ascii="Times New Roman" w:hAnsi="Times New Roman" w:cs="Times New Roman"/>
          <w:sz w:val="24"/>
          <w:szCs w:val="24"/>
          <w:lang w:val="sr-Cyrl-CS"/>
        </w:rPr>
        <w:t>, док би увођење стечаја физичких лица могло бити уређено или истим законом или посебним законом у зависности од одлуке о надлежности судова. Начелно, стечај предузетника не треба да буде ограничен само на дугове по основу пословања. Основни разлог је што се у пракси често веома тешко разликују овакви дугови, те би покушај дистинкције створио низ проблема у примени стечајног оквира.</w:t>
      </w:r>
      <w:r w:rsidRPr="00B27245">
        <w:rPr>
          <w:rFonts w:ascii="Times New Roman" w:hAnsi="Times New Roman" w:cs="Times New Roman"/>
          <w:sz w:val="24"/>
          <w:szCs w:val="24"/>
          <w:lang w:val="sr-Cyrl-CS"/>
        </w:rPr>
        <w:t xml:space="preserve"> </w:t>
      </w:r>
      <w:r w:rsidR="004A1112" w:rsidRPr="00B27245">
        <w:rPr>
          <w:rFonts w:ascii="Times New Roman" w:hAnsi="Times New Roman" w:cs="Times New Roman"/>
          <w:sz w:val="24"/>
          <w:szCs w:val="24"/>
          <w:lang w:val="sr-Cyrl-CS"/>
        </w:rPr>
        <w:t>Поступак који би обезбедио ослобођење од дуга је неопходан елемент стечајног оквира предузетника. У упоредној пракси показало се да је поступак који омогућава ослобођење и „нови поче</w:t>
      </w:r>
      <w:r w:rsidR="00925466" w:rsidRPr="00B27245">
        <w:rPr>
          <w:rFonts w:ascii="Times New Roman" w:hAnsi="Times New Roman" w:cs="Times New Roman"/>
          <w:sz w:val="24"/>
          <w:szCs w:val="24"/>
          <w:lang w:val="sr-Cyrl-CS"/>
        </w:rPr>
        <w:t>так”</w:t>
      </w:r>
      <w:r w:rsidR="004A1112" w:rsidRPr="00B27245">
        <w:rPr>
          <w:rFonts w:ascii="Times New Roman" w:hAnsi="Times New Roman" w:cs="Times New Roman"/>
          <w:sz w:val="24"/>
          <w:szCs w:val="24"/>
          <w:lang w:val="sr-Cyrl-CS"/>
        </w:rPr>
        <w:t xml:space="preserve"> најефективнији.</w:t>
      </w:r>
      <w:r w:rsidR="004A1112" w:rsidRPr="00B27245">
        <w:rPr>
          <w:rFonts w:ascii="Times New Roman" w:hAnsi="Times New Roman"/>
          <w:sz w:val="24"/>
          <w:lang w:val="sr-Cyrl-CS"/>
        </w:rPr>
        <w:t xml:space="preserve"> </w:t>
      </w:r>
      <w:r w:rsidR="004A1112" w:rsidRPr="00B27245">
        <w:rPr>
          <w:rFonts w:ascii="Times New Roman" w:hAnsi="Times New Roman" w:cs="Times New Roman"/>
          <w:sz w:val="24"/>
          <w:szCs w:val="24"/>
          <w:lang w:val="sr-Cyrl-CS"/>
        </w:rPr>
        <w:t>Иако је овај тренд углавном усвојен у случају нових стечајних оквира за предузетнике, либералнијем приступу ослобађа</w:t>
      </w:r>
      <w:r w:rsidR="00EF4241" w:rsidRPr="00B27245">
        <w:rPr>
          <w:rFonts w:ascii="Times New Roman" w:hAnsi="Times New Roman" w:cs="Times New Roman"/>
          <w:sz w:val="24"/>
          <w:szCs w:val="24"/>
          <w:lang w:val="sr-Cyrl-CS"/>
        </w:rPr>
        <w:t>ња</w:t>
      </w:r>
      <w:r w:rsidR="004A1112" w:rsidRPr="00B27245">
        <w:rPr>
          <w:rFonts w:ascii="Times New Roman" w:hAnsi="Times New Roman" w:cs="Times New Roman"/>
          <w:sz w:val="24"/>
          <w:szCs w:val="24"/>
          <w:lang w:val="sr-Cyrl-CS"/>
        </w:rPr>
        <w:t xml:space="preserve"> потребно је веома опрезно прићи. Прилико</w:t>
      </w:r>
      <w:r w:rsidR="00925466" w:rsidRPr="00B27245">
        <w:rPr>
          <w:rFonts w:ascii="Times New Roman" w:hAnsi="Times New Roman" w:cs="Times New Roman"/>
          <w:sz w:val="24"/>
          <w:szCs w:val="24"/>
          <w:lang w:val="sr-Cyrl-CS"/>
        </w:rPr>
        <w:t xml:space="preserve">м увођења института ослобођења </w:t>
      </w:r>
      <w:r w:rsidR="004A1112" w:rsidRPr="00B27245">
        <w:rPr>
          <w:rFonts w:ascii="Times New Roman" w:hAnsi="Times New Roman" w:cs="Times New Roman"/>
          <w:sz w:val="24"/>
          <w:szCs w:val="24"/>
          <w:lang w:val="sr-Cyrl-CS"/>
        </w:rPr>
        <w:t>не сме се изгубити из вида да ослобођење дужника може утицати на урушавање и злоупотребу уговорног права.</w:t>
      </w:r>
      <w:r w:rsidRPr="00B27245">
        <w:rPr>
          <w:rFonts w:ascii="Times New Roman" w:hAnsi="Times New Roman" w:cs="Times New Roman"/>
          <w:sz w:val="24"/>
          <w:szCs w:val="24"/>
          <w:lang w:val="sr-Cyrl-CS"/>
        </w:rPr>
        <w:t xml:space="preserve"> </w:t>
      </w:r>
      <w:r w:rsidR="004A1112" w:rsidRPr="00B27245">
        <w:rPr>
          <w:rFonts w:ascii="Times New Roman" w:hAnsi="Times New Roman" w:cs="Times New Roman"/>
          <w:sz w:val="24"/>
          <w:szCs w:val="24"/>
          <w:lang w:val="sr-Cyrl-CS"/>
        </w:rPr>
        <w:t>Неопходно је обезбедити при</w:t>
      </w:r>
      <w:r w:rsidR="006B2B9D" w:rsidRPr="00B27245">
        <w:rPr>
          <w:rFonts w:ascii="Times New Roman" w:hAnsi="Times New Roman" w:cs="Times New Roman"/>
          <w:sz w:val="24"/>
          <w:szCs w:val="24"/>
          <w:lang w:val="sr-Cyrl-CS"/>
        </w:rPr>
        <w:t>с</w:t>
      </w:r>
      <w:r w:rsidR="004A1112" w:rsidRPr="00B27245">
        <w:rPr>
          <w:rFonts w:ascii="Times New Roman" w:hAnsi="Times New Roman" w:cs="Times New Roman"/>
          <w:sz w:val="24"/>
          <w:szCs w:val="24"/>
          <w:lang w:val="sr-Cyrl-CS"/>
        </w:rPr>
        <w:t>туп реструктурирању (реорганизацији) као алтернативу поступку банкротства предузетника. Предузетници би у том случају уз одређена прилагођавања могли да користе постојеће институте стечајног права.  Улога суда у том случају била би пожељно ограничена како би се смањили трошкови поступка. Такође, треба размотрити могућност интегрисања постојећег института споразумног финансијског реструктурирања, које би било праћено судском одлуком. У одређеним околностима, стечајни управник и повериоци требали би да имају могућност да захтевају конверзију поступка (у пракси реч је о веома малом броју случајева).</w:t>
      </w:r>
      <w:r w:rsidRPr="00B27245">
        <w:rPr>
          <w:rFonts w:ascii="Times New Roman" w:hAnsi="Times New Roman" w:cs="Times New Roman"/>
          <w:sz w:val="24"/>
          <w:szCs w:val="24"/>
          <w:lang w:val="sr-Cyrl-CS"/>
        </w:rPr>
        <w:t xml:space="preserve"> </w:t>
      </w:r>
      <w:r w:rsidR="004A1112" w:rsidRPr="00B27245">
        <w:rPr>
          <w:rFonts w:ascii="Times New Roman" w:hAnsi="Times New Roman" w:cs="Times New Roman"/>
          <w:sz w:val="24"/>
          <w:szCs w:val="24"/>
          <w:lang w:val="sr-Cyrl-CS"/>
        </w:rPr>
        <w:t xml:space="preserve">У пракси, право изузимања је општеприхваћен институт извршног и стечајног поступка. Питање је само у којој мери је он за дужника повољан. Изузетно широко право изузимања ће дужнику омогућити нови финансијски почетак, али ће отворити могућности за предстечајне махинације. Са друге стране, уско постављени изузеци ће дерогирати основно начело стечаја и на тај начин умањити ефекте и значај </w:t>
      </w:r>
      <w:r w:rsidR="00B70F57" w:rsidRPr="00B27245">
        <w:rPr>
          <w:rFonts w:ascii="Times New Roman" w:hAnsi="Times New Roman" w:cs="Times New Roman"/>
          <w:sz w:val="24"/>
          <w:szCs w:val="24"/>
          <w:lang w:val="sr-Cyrl-CS"/>
        </w:rPr>
        <w:t>новог института</w:t>
      </w:r>
      <w:r w:rsidR="004A1112" w:rsidRPr="00B27245">
        <w:rPr>
          <w:rFonts w:ascii="Times New Roman" w:hAnsi="Times New Roman" w:cs="Times New Roman"/>
          <w:sz w:val="24"/>
          <w:szCs w:val="24"/>
          <w:lang w:val="sr-Cyrl-CS"/>
        </w:rPr>
        <w:t>. Приликом одређивања изузете имовине законодавац треба да комбинује различите начине изузимања, попут изузимање по вредности одређених ствари, изузимање на основу новчаног износа, изузимање по врстама ствари, изузимање на основу употребе ствари и изузимање на основу потребе дужника и чланова домаћинства за одређеном имовином, јер се на тај начин најбоље може остварити сврха изузимања.</w:t>
      </w:r>
      <w:r w:rsidR="00B70F57" w:rsidRPr="00B27245">
        <w:rPr>
          <w:rFonts w:ascii="Times New Roman" w:hAnsi="Times New Roman" w:cs="Times New Roman"/>
          <w:sz w:val="24"/>
          <w:szCs w:val="24"/>
          <w:lang w:val="sr-Cyrl-CS"/>
        </w:rPr>
        <w:t xml:space="preserve"> На низ других питања, попут начина на који</w:t>
      </w:r>
      <w:r w:rsidR="004A1112" w:rsidRPr="00B27245">
        <w:rPr>
          <w:rFonts w:ascii="Times New Roman" w:hAnsi="Times New Roman" w:cs="Times New Roman"/>
          <w:sz w:val="24"/>
          <w:szCs w:val="24"/>
          <w:lang w:val="sr-Cyrl-CS"/>
        </w:rPr>
        <w:t xml:space="preserve"> ће се одређивати део будућих прихода намењених намирењу је веома комплексно</w:t>
      </w:r>
      <w:r w:rsidR="00B70F57" w:rsidRPr="00B27245">
        <w:rPr>
          <w:rFonts w:ascii="Times New Roman" w:hAnsi="Times New Roman" w:cs="Times New Roman"/>
          <w:sz w:val="24"/>
          <w:szCs w:val="24"/>
          <w:lang w:val="sr-Cyrl-CS"/>
        </w:rPr>
        <w:t xml:space="preserve"> и захтевају детаљно разматрање могућих решења</w:t>
      </w:r>
      <w:r w:rsidR="004A1112" w:rsidRPr="00B27245">
        <w:rPr>
          <w:rFonts w:ascii="Times New Roman" w:hAnsi="Times New Roman" w:cs="Times New Roman"/>
          <w:sz w:val="24"/>
          <w:szCs w:val="24"/>
          <w:lang w:val="sr-Cyrl-CS"/>
        </w:rPr>
        <w:t xml:space="preserve">. </w:t>
      </w:r>
      <w:r w:rsidR="00B70F57" w:rsidRPr="00B27245">
        <w:rPr>
          <w:rFonts w:ascii="Times New Roman" w:hAnsi="Times New Roman" w:cs="Times New Roman"/>
          <w:sz w:val="24"/>
          <w:szCs w:val="24"/>
          <w:lang w:val="sr-Cyrl-CS"/>
        </w:rPr>
        <w:lastRenderedPageBreak/>
        <w:t>Приликом у</w:t>
      </w:r>
      <w:r w:rsidR="004A1112" w:rsidRPr="00B27245">
        <w:rPr>
          <w:rFonts w:ascii="Times New Roman" w:hAnsi="Times New Roman" w:cs="Times New Roman"/>
          <w:sz w:val="24"/>
          <w:szCs w:val="24"/>
          <w:lang w:val="sr-Cyrl-CS"/>
        </w:rPr>
        <w:t>вођењ</w:t>
      </w:r>
      <w:r w:rsidR="00B70F57" w:rsidRPr="00B27245">
        <w:rPr>
          <w:rFonts w:ascii="Times New Roman" w:hAnsi="Times New Roman" w:cs="Times New Roman"/>
          <w:sz w:val="24"/>
          <w:szCs w:val="24"/>
          <w:lang w:val="sr-Cyrl-CS"/>
        </w:rPr>
        <w:t>а</w:t>
      </w:r>
      <w:r w:rsidR="004A1112" w:rsidRPr="00B27245">
        <w:rPr>
          <w:rFonts w:ascii="Times New Roman" w:hAnsi="Times New Roman" w:cs="Times New Roman"/>
          <w:sz w:val="24"/>
          <w:szCs w:val="24"/>
          <w:lang w:val="sr-Cyrl-CS"/>
        </w:rPr>
        <w:t xml:space="preserve"> стечаја предузетника (а затим и физичких лица) треба да користи постојећи институционални оквир, укључујући </w:t>
      </w:r>
      <w:r w:rsidR="00925466" w:rsidRPr="00B27245">
        <w:rPr>
          <w:rFonts w:ascii="Times New Roman" w:hAnsi="Times New Roman" w:cs="Times New Roman"/>
          <w:sz w:val="24"/>
          <w:szCs w:val="24"/>
          <w:lang w:val="sr-Cyrl-CS"/>
        </w:rPr>
        <w:t>АЛСУ</w:t>
      </w:r>
      <w:r w:rsidR="004A1112" w:rsidRPr="00B27245">
        <w:rPr>
          <w:rFonts w:ascii="Times New Roman" w:hAnsi="Times New Roman" w:cs="Times New Roman"/>
          <w:sz w:val="24"/>
          <w:szCs w:val="24"/>
          <w:lang w:val="sr-Cyrl-CS"/>
        </w:rPr>
        <w:t xml:space="preserve"> и лиценциране стечајне управнике. Ипак, док је за стечај предузетника једноставније увести</w:t>
      </w:r>
      <w:r w:rsidR="00EF4241" w:rsidRPr="00B27245">
        <w:rPr>
          <w:rFonts w:ascii="Times New Roman" w:hAnsi="Times New Roman" w:cs="Times New Roman"/>
          <w:sz w:val="24"/>
          <w:szCs w:val="24"/>
          <w:lang w:val="sr-Cyrl-CS"/>
        </w:rPr>
        <w:t xml:space="preserve"> у</w:t>
      </w:r>
      <w:r w:rsidR="004A1112" w:rsidRPr="00B27245">
        <w:rPr>
          <w:rFonts w:ascii="Times New Roman" w:hAnsi="Times New Roman" w:cs="Times New Roman"/>
          <w:sz w:val="24"/>
          <w:szCs w:val="24"/>
          <w:lang w:val="sr-Cyrl-CS"/>
        </w:rPr>
        <w:t xml:space="preserve"> већ постојећи модел, одлука у погледу модела стечаја физичких лица зависиће од процене капацитета судова.</w:t>
      </w:r>
    </w:p>
    <w:p w14:paraId="3ED00228" w14:textId="691A75D6" w:rsidR="004A1112" w:rsidRPr="00B27245" w:rsidRDefault="00D92668" w:rsidP="002B66E2">
      <w:pPr>
        <w:spacing w:after="0"/>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Програмом</w:t>
      </w:r>
      <w:r w:rsidR="006F5777" w:rsidRPr="00B27245">
        <w:rPr>
          <w:rFonts w:ascii="Times New Roman" w:hAnsi="Times New Roman" w:cs="Times New Roman"/>
          <w:color w:val="222222"/>
          <w:sz w:val="24"/>
          <w:szCs w:val="24"/>
          <w:lang w:val="sr-Cyrl-CS"/>
        </w:rPr>
        <w:t xml:space="preserve"> је предвиђено да се претходна питања размотре од стране радне групе која би додатно размотрила питања у вези са увођењем правног оквира стечаја предузетника. Након израде нацрта законског решења и анализе ефеката и консултативног документа потребно је спровести јавну расправу како би заинтересоване стране изнеле предлоге у погледу увођења овог института. </w:t>
      </w:r>
      <w:r w:rsidRPr="00B27245">
        <w:rPr>
          <w:rFonts w:ascii="Times New Roman" w:hAnsi="Times New Roman" w:cs="Times New Roman"/>
          <w:color w:val="222222"/>
          <w:sz w:val="24"/>
          <w:szCs w:val="24"/>
          <w:lang w:val="sr-Cyrl-CS"/>
        </w:rPr>
        <w:t>Програм</w:t>
      </w:r>
      <w:r w:rsidR="006F5777" w:rsidRPr="00B27245">
        <w:rPr>
          <w:rFonts w:ascii="Times New Roman" w:hAnsi="Times New Roman" w:cs="Times New Roman"/>
          <w:color w:val="222222"/>
          <w:sz w:val="24"/>
          <w:szCs w:val="24"/>
          <w:lang w:val="sr-Cyrl-CS"/>
        </w:rPr>
        <w:t xml:space="preserve"> предвиђа да се нацрт законског решења припреми до </w:t>
      </w:r>
      <w:r w:rsidR="004E3F51" w:rsidRPr="00B27245">
        <w:rPr>
          <w:rFonts w:ascii="Times New Roman" w:hAnsi="Times New Roman" w:cs="Times New Roman"/>
          <w:color w:val="222222"/>
          <w:sz w:val="24"/>
          <w:szCs w:val="24"/>
          <w:lang w:val="sr-Cyrl-CS"/>
        </w:rPr>
        <w:t xml:space="preserve">краја </w:t>
      </w:r>
      <w:r w:rsidR="00530A83" w:rsidRPr="00B27245">
        <w:rPr>
          <w:rFonts w:ascii="Times New Roman" w:hAnsi="Times New Roman" w:cs="Times New Roman"/>
          <w:color w:val="222222"/>
          <w:sz w:val="24"/>
          <w:szCs w:val="24"/>
          <w:lang w:val="sr-Cyrl-CS"/>
        </w:rPr>
        <w:t>јуна</w:t>
      </w:r>
      <w:r w:rsidR="00AC6481" w:rsidRPr="00B27245">
        <w:rPr>
          <w:rFonts w:ascii="Times New Roman" w:hAnsi="Times New Roman" w:cs="Times New Roman"/>
          <w:color w:val="222222"/>
          <w:sz w:val="24"/>
          <w:szCs w:val="24"/>
          <w:lang w:val="sr-Cyrl-CS"/>
        </w:rPr>
        <w:t xml:space="preserve"> 2020</w:t>
      </w:r>
      <w:r w:rsidR="004E3F51" w:rsidRPr="00B27245">
        <w:rPr>
          <w:rFonts w:ascii="Times New Roman" w:hAnsi="Times New Roman" w:cs="Times New Roman"/>
          <w:color w:val="222222"/>
          <w:sz w:val="24"/>
          <w:szCs w:val="24"/>
          <w:lang w:val="sr-Cyrl-CS"/>
        </w:rPr>
        <w:t>. године.</w:t>
      </w:r>
    </w:p>
    <w:p w14:paraId="12117C2B" w14:textId="77777777" w:rsidR="003318EF" w:rsidRPr="00B27245" w:rsidRDefault="003318EF" w:rsidP="002B66E2">
      <w:pPr>
        <w:spacing w:after="0"/>
        <w:jc w:val="both"/>
        <w:rPr>
          <w:rFonts w:ascii="Times New Roman" w:hAnsi="Times New Roman" w:cs="Times New Roman"/>
          <w:color w:val="222222"/>
          <w:sz w:val="24"/>
          <w:szCs w:val="24"/>
          <w:lang w:val="sr-Cyrl-CS"/>
        </w:rPr>
      </w:pPr>
    </w:p>
    <w:p w14:paraId="69E62942" w14:textId="77777777" w:rsidR="000A6D5A" w:rsidRPr="00B27245" w:rsidRDefault="00B67FA8" w:rsidP="002B66E2">
      <w:pPr>
        <w:pStyle w:val="Heading2"/>
        <w:numPr>
          <w:ilvl w:val="1"/>
          <w:numId w:val="31"/>
        </w:numPr>
        <w:spacing w:after="0"/>
        <w:jc w:val="center"/>
        <w:rPr>
          <w:b w:val="0"/>
          <w:lang w:val="sr-Cyrl-CS"/>
        </w:rPr>
      </w:pPr>
      <w:r w:rsidRPr="00B27245">
        <w:rPr>
          <w:b w:val="0"/>
          <w:lang w:val="sr-Cyrl-CS"/>
        </w:rPr>
        <w:t>Активности усмерене ка превенцији проблематичних кредита</w:t>
      </w:r>
    </w:p>
    <w:p w14:paraId="3DC9C1B0" w14:textId="77777777" w:rsidR="00EF43C7" w:rsidRPr="00B27245" w:rsidRDefault="00EF43C7" w:rsidP="002B66E2">
      <w:pPr>
        <w:spacing w:after="0"/>
        <w:jc w:val="center"/>
        <w:rPr>
          <w:lang w:val="sr-Cyrl-CS" w:eastAsia="en-GB"/>
        </w:rPr>
      </w:pPr>
    </w:p>
    <w:p w14:paraId="00184852" w14:textId="77777777" w:rsidR="007A1073" w:rsidRPr="00B27245" w:rsidRDefault="007A1073" w:rsidP="002B66E2">
      <w:pPr>
        <w:pStyle w:val="Heading2"/>
        <w:numPr>
          <w:ilvl w:val="2"/>
          <w:numId w:val="31"/>
        </w:numPr>
        <w:spacing w:after="0"/>
        <w:jc w:val="center"/>
        <w:rPr>
          <w:b w:val="0"/>
          <w:lang w:val="sr-Cyrl-CS"/>
        </w:rPr>
      </w:pPr>
      <w:r w:rsidRPr="00B27245">
        <w:rPr>
          <w:b w:val="0"/>
          <w:lang w:val="sr-Cyrl-CS"/>
        </w:rPr>
        <w:t>Израда студије о корпоративној задужености и превенцији настанка проблематичних кредита реалног сектора у Републици Србији</w:t>
      </w:r>
    </w:p>
    <w:p w14:paraId="3E9B1AED" w14:textId="77777777" w:rsidR="00EF43C7" w:rsidRPr="00B27245" w:rsidRDefault="00EF43C7" w:rsidP="002B66E2">
      <w:pPr>
        <w:spacing w:after="0"/>
        <w:jc w:val="both"/>
        <w:rPr>
          <w:rFonts w:ascii="Times New Roman" w:hAnsi="Times New Roman" w:cs="Times New Roman"/>
          <w:lang w:val="sr-Cyrl-CS" w:eastAsia="en-GB"/>
        </w:rPr>
      </w:pPr>
    </w:p>
    <w:p w14:paraId="5F64C539" w14:textId="0E7F8BFF" w:rsidR="007D4EC6" w:rsidRPr="00B27245" w:rsidRDefault="002E08E7" w:rsidP="002B66E2">
      <w:pPr>
        <w:spacing w:after="0"/>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Један од</w:t>
      </w:r>
      <w:r w:rsidR="007D4EC6" w:rsidRPr="00B27245">
        <w:rPr>
          <w:rFonts w:ascii="Times New Roman" w:hAnsi="Times New Roman" w:cs="Times New Roman"/>
          <w:color w:val="222222"/>
          <w:sz w:val="24"/>
          <w:szCs w:val="24"/>
          <w:lang w:val="sr-Cyrl-CS"/>
        </w:rPr>
        <w:t xml:space="preserve"> циљева </w:t>
      </w:r>
      <w:r w:rsidR="00D92668" w:rsidRPr="00B27245">
        <w:rPr>
          <w:rFonts w:ascii="Times New Roman" w:hAnsi="Times New Roman" w:cs="Times New Roman"/>
          <w:color w:val="222222"/>
          <w:sz w:val="24"/>
          <w:szCs w:val="24"/>
          <w:lang w:val="sr-Cyrl-CS"/>
        </w:rPr>
        <w:t>Програма</w:t>
      </w:r>
      <w:r w:rsidR="007D4EC6" w:rsidRPr="00B27245">
        <w:rPr>
          <w:rFonts w:ascii="Times New Roman" w:hAnsi="Times New Roman" w:cs="Times New Roman"/>
          <w:color w:val="222222"/>
          <w:sz w:val="24"/>
          <w:szCs w:val="24"/>
          <w:lang w:val="sr-Cyrl-CS"/>
        </w:rPr>
        <w:t xml:space="preserve"> је успостављање оквира који ће омогућити превенцију формирања и акумулацију нових проблематичних кредита. Како би се остварио овај циљ потребно је идентификовати кључне узроке и анализирати стање у појединим секторима. </w:t>
      </w:r>
      <w:r w:rsidR="00D92668" w:rsidRPr="00B27245">
        <w:rPr>
          <w:rFonts w:ascii="Times New Roman" w:hAnsi="Times New Roman" w:cs="Times New Roman"/>
          <w:color w:val="222222"/>
          <w:sz w:val="24"/>
          <w:szCs w:val="24"/>
          <w:lang w:val="sr-Cyrl-CS"/>
        </w:rPr>
        <w:t>Програм</w:t>
      </w:r>
      <w:r w:rsidR="007D4EC6" w:rsidRPr="00B27245">
        <w:rPr>
          <w:rFonts w:ascii="Times New Roman" w:hAnsi="Times New Roman" w:cs="Times New Roman"/>
          <w:color w:val="222222"/>
          <w:sz w:val="24"/>
          <w:szCs w:val="24"/>
          <w:lang w:val="sr-Cyrl-CS"/>
        </w:rPr>
        <w:t xml:space="preserve"> предвиђа израду студије о унапређењу добре праксе правовременог и ефикасног реструктурирања, као и спровођење других активности у циљу спречавања настанка проблематичних кредита реалног сектора. У зависности од прелиминарне анализе студија би могла обухватати кључне секторе спрам њихове изложености, док би специфичан фокус био на најзначајније дужнике, односно секторе. Корисност од такве студије имале би различите заинтересоване стране – банкарски сектор</w:t>
      </w:r>
      <w:r w:rsidR="0083182E" w:rsidRPr="00B27245">
        <w:rPr>
          <w:rFonts w:ascii="Times New Roman" w:hAnsi="Times New Roman" w:cs="Times New Roman"/>
          <w:color w:val="222222"/>
          <w:sz w:val="24"/>
          <w:szCs w:val="24"/>
          <w:lang w:val="sr-Cyrl-CS"/>
        </w:rPr>
        <w:t>, П</w:t>
      </w:r>
      <w:r w:rsidR="007D4EC6" w:rsidRPr="00B27245">
        <w:rPr>
          <w:rFonts w:ascii="Times New Roman" w:hAnsi="Times New Roman" w:cs="Times New Roman"/>
          <w:color w:val="222222"/>
          <w:sz w:val="24"/>
          <w:szCs w:val="24"/>
          <w:lang w:val="sr-Cyrl-CS"/>
        </w:rPr>
        <w:t>ореска управа и други повериоци. Кључне области које би студија требала да обухвати су превенција проблематичних кредита, ефикасније намирење, планирање спрам одређених сектора.</w:t>
      </w:r>
    </w:p>
    <w:p w14:paraId="37EEFBFE" w14:textId="24FEFD52" w:rsidR="007D4EC6" w:rsidRPr="00B27245" w:rsidRDefault="007D4EC6" w:rsidP="002B66E2">
      <w:pPr>
        <w:spacing w:after="0"/>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Приликом припреме анализе потребно је утврдити репрезентативни узорак корпоративних дужника који ће бити предмет анализе или се определити за одређени број дужника према критеријумима који би убрајали укупне приходе</w:t>
      </w:r>
      <w:r w:rsidR="00EC7019" w:rsidRPr="00B27245">
        <w:rPr>
          <w:rFonts w:ascii="Times New Roman" w:hAnsi="Times New Roman" w:cs="Times New Roman"/>
          <w:color w:val="222222"/>
          <w:sz w:val="24"/>
          <w:szCs w:val="24"/>
          <w:lang w:val="sr-Cyrl-CS"/>
        </w:rPr>
        <w:t xml:space="preserve">. Претпоставка је да би иницијални узорак, на основу ког би се вршила тријажа износио до </w:t>
      </w:r>
      <w:r w:rsidR="0083182E" w:rsidRPr="00B27245">
        <w:rPr>
          <w:rFonts w:ascii="Times New Roman" w:hAnsi="Times New Roman" w:cs="Times New Roman"/>
          <w:color w:val="222222"/>
          <w:sz w:val="24"/>
          <w:szCs w:val="24"/>
          <w:lang w:val="sr-Cyrl-CS"/>
        </w:rPr>
        <w:t>1</w:t>
      </w:r>
      <w:r w:rsidR="00EC7019" w:rsidRPr="00B27245">
        <w:rPr>
          <w:rFonts w:ascii="Times New Roman" w:hAnsi="Times New Roman" w:cs="Times New Roman"/>
          <w:color w:val="222222"/>
          <w:sz w:val="24"/>
          <w:szCs w:val="24"/>
          <w:lang w:val="sr-Cyrl-CS"/>
        </w:rPr>
        <w:t xml:space="preserve">000 привредних друштава.  У другом кораку потребно је спровести анализу финансијских извештаја тих дужника у протеклом периоду, са фокусом на њихову профитабилност и одрживост посебно у контексту задужења. Привредна друштва би затим била класификована спрам ризика, а затим би били утврђени и критични сектори. Коначно потребно је спровести и анализу осетљивости на основу претпоставки у погледу промена прихода, каматних стопа и других кључних параметара анализе. </w:t>
      </w:r>
    </w:p>
    <w:p w14:paraId="66460268" w14:textId="68209097" w:rsidR="007D4EC6" w:rsidRPr="00B27245" w:rsidRDefault="00D92668" w:rsidP="002B66E2">
      <w:pPr>
        <w:spacing w:after="0"/>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Програм</w:t>
      </w:r>
      <w:r w:rsidR="00EC7019" w:rsidRPr="00B27245">
        <w:rPr>
          <w:rFonts w:ascii="Times New Roman" w:hAnsi="Times New Roman" w:cs="Times New Roman"/>
          <w:color w:val="222222"/>
          <w:sz w:val="24"/>
          <w:szCs w:val="24"/>
          <w:lang w:val="sr-Cyrl-CS"/>
        </w:rPr>
        <w:t xml:space="preserve"> подразумева да се у првом кораку изради п</w:t>
      </w:r>
      <w:r w:rsidR="007D4EC6" w:rsidRPr="00B27245">
        <w:rPr>
          <w:rFonts w:ascii="Times New Roman" w:hAnsi="Times New Roman" w:cs="Times New Roman"/>
          <w:color w:val="222222"/>
          <w:sz w:val="24"/>
          <w:szCs w:val="24"/>
          <w:lang w:val="sr-Cyrl-CS"/>
        </w:rPr>
        <w:t>ројект</w:t>
      </w:r>
      <w:r w:rsidR="002E08E7" w:rsidRPr="00B27245">
        <w:rPr>
          <w:rFonts w:ascii="Times New Roman" w:hAnsi="Times New Roman" w:cs="Times New Roman"/>
          <w:color w:val="222222"/>
          <w:sz w:val="24"/>
          <w:szCs w:val="24"/>
          <w:lang w:val="sr-Cyrl-CS"/>
        </w:rPr>
        <w:t>н</w:t>
      </w:r>
      <w:r w:rsidR="00EC7019" w:rsidRPr="00B27245">
        <w:rPr>
          <w:rFonts w:ascii="Times New Roman" w:hAnsi="Times New Roman" w:cs="Times New Roman"/>
          <w:color w:val="222222"/>
          <w:sz w:val="24"/>
          <w:szCs w:val="24"/>
          <w:lang w:val="sr-Cyrl-CS"/>
        </w:rPr>
        <w:t>и</w:t>
      </w:r>
      <w:r w:rsidR="007D4EC6" w:rsidRPr="00B27245">
        <w:rPr>
          <w:rFonts w:ascii="Times New Roman" w:hAnsi="Times New Roman" w:cs="Times New Roman"/>
          <w:color w:val="222222"/>
          <w:sz w:val="24"/>
          <w:szCs w:val="24"/>
          <w:lang w:val="sr-Cyrl-CS"/>
        </w:rPr>
        <w:t xml:space="preserve"> задат</w:t>
      </w:r>
      <w:r w:rsidR="00EC7019" w:rsidRPr="00B27245">
        <w:rPr>
          <w:rFonts w:ascii="Times New Roman" w:hAnsi="Times New Roman" w:cs="Times New Roman"/>
          <w:color w:val="222222"/>
          <w:sz w:val="24"/>
          <w:szCs w:val="24"/>
          <w:lang w:val="sr-Cyrl-CS"/>
        </w:rPr>
        <w:t>а</w:t>
      </w:r>
      <w:r w:rsidR="007D4EC6" w:rsidRPr="00B27245">
        <w:rPr>
          <w:rFonts w:ascii="Times New Roman" w:hAnsi="Times New Roman" w:cs="Times New Roman"/>
          <w:color w:val="222222"/>
          <w:sz w:val="24"/>
          <w:szCs w:val="24"/>
          <w:lang w:val="sr-Cyrl-CS"/>
        </w:rPr>
        <w:t>к</w:t>
      </w:r>
      <w:r w:rsidR="00EC7019" w:rsidRPr="00B27245">
        <w:rPr>
          <w:rFonts w:ascii="Times New Roman" w:hAnsi="Times New Roman" w:cs="Times New Roman"/>
          <w:color w:val="222222"/>
          <w:sz w:val="24"/>
          <w:szCs w:val="24"/>
          <w:lang w:val="sr-Cyrl-CS"/>
        </w:rPr>
        <w:t xml:space="preserve">, након чега би се </w:t>
      </w:r>
      <w:r w:rsidR="007D4EC6" w:rsidRPr="00B27245">
        <w:rPr>
          <w:rFonts w:ascii="Times New Roman" w:hAnsi="Times New Roman" w:cs="Times New Roman"/>
          <w:color w:val="222222"/>
          <w:sz w:val="24"/>
          <w:szCs w:val="24"/>
          <w:lang w:val="sr-Cyrl-CS"/>
        </w:rPr>
        <w:t>распис</w:t>
      </w:r>
      <w:r w:rsidR="00EC7019" w:rsidRPr="00B27245">
        <w:rPr>
          <w:rFonts w:ascii="Times New Roman" w:hAnsi="Times New Roman" w:cs="Times New Roman"/>
          <w:color w:val="222222"/>
          <w:sz w:val="24"/>
          <w:szCs w:val="24"/>
          <w:lang w:val="sr-Cyrl-CS"/>
        </w:rPr>
        <w:t>ао</w:t>
      </w:r>
      <w:r w:rsidR="007D4EC6" w:rsidRPr="00B27245">
        <w:rPr>
          <w:rFonts w:ascii="Times New Roman" w:hAnsi="Times New Roman" w:cs="Times New Roman"/>
          <w:color w:val="222222"/>
          <w:sz w:val="24"/>
          <w:szCs w:val="24"/>
          <w:lang w:val="sr-Cyrl-CS"/>
        </w:rPr>
        <w:t xml:space="preserve"> јавн</w:t>
      </w:r>
      <w:r w:rsidR="00EC7019" w:rsidRPr="00B27245">
        <w:rPr>
          <w:rFonts w:ascii="Times New Roman" w:hAnsi="Times New Roman" w:cs="Times New Roman"/>
          <w:color w:val="222222"/>
          <w:sz w:val="24"/>
          <w:szCs w:val="24"/>
          <w:lang w:val="sr-Cyrl-CS"/>
        </w:rPr>
        <w:t>и</w:t>
      </w:r>
      <w:r w:rsidR="007D4EC6" w:rsidRPr="00B27245">
        <w:rPr>
          <w:rFonts w:ascii="Times New Roman" w:hAnsi="Times New Roman" w:cs="Times New Roman"/>
          <w:color w:val="222222"/>
          <w:sz w:val="24"/>
          <w:szCs w:val="24"/>
          <w:lang w:val="sr-Cyrl-CS"/>
        </w:rPr>
        <w:t xml:space="preserve"> позив за израду студије</w:t>
      </w:r>
      <w:r w:rsidR="00EC7019" w:rsidRPr="00B27245">
        <w:rPr>
          <w:rFonts w:ascii="Times New Roman" w:hAnsi="Times New Roman" w:cs="Times New Roman"/>
          <w:color w:val="222222"/>
          <w:sz w:val="24"/>
          <w:szCs w:val="24"/>
          <w:lang w:val="sr-Cyrl-CS"/>
        </w:rPr>
        <w:t xml:space="preserve">.  У овом кораку потребно је и јасно утврдити </w:t>
      </w:r>
      <w:r w:rsidR="007D4EC6" w:rsidRPr="00B27245">
        <w:rPr>
          <w:rFonts w:ascii="Times New Roman" w:hAnsi="Times New Roman" w:cs="Times New Roman"/>
          <w:color w:val="222222"/>
          <w:sz w:val="24"/>
          <w:szCs w:val="24"/>
          <w:lang w:val="sr-Cyrl-CS"/>
        </w:rPr>
        <w:t>обухват анализе (сектора, предузећа)</w:t>
      </w:r>
      <w:r w:rsidR="002B66E2" w:rsidRPr="00B27245">
        <w:rPr>
          <w:rFonts w:ascii="Times New Roman" w:hAnsi="Times New Roman" w:cs="Times New Roman"/>
          <w:color w:val="222222"/>
          <w:sz w:val="24"/>
          <w:szCs w:val="24"/>
          <w:lang w:val="sr-Cyrl-CS"/>
        </w:rPr>
        <w:t xml:space="preserve">. По изради студије, </w:t>
      </w:r>
      <w:r w:rsidR="00EC7019" w:rsidRPr="00B27245">
        <w:rPr>
          <w:rFonts w:ascii="Times New Roman" w:hAnsi="Times New Roman" w:cs="Times New Roman"/>
          <w:color w:val="222222"/>
          <w:sz w:val="24"/>
          <w:szCs w:val="24"/>
          <w:lang w:val="sr-Cyrl-CS"/>
        </w:rPr>
        <w:t xml:space="preserve">спровешће се </w:t>
      </w:r>
      <w:r w:rsidR="0075271A" w:rsidRPr="00B27245">
        <w:rPr>
          <w:rFonts w:ascii="Times New Roman" w:hAnsi="Times New Roman" w:cs="Times New Roman"/>
          <w:color w:val="222222"/>
          <w:sz w:val="24"/>
          <w:szCs w:val="24"/>
          <w:lang w:val="sr-Cyrl-CS"/>
        </w:rPr>
        <w:t>презентација</w:t>
      </w:r>
      <w:r w:rsidR="007D4EC6" w:rsidRPr="00B27245">
        <w:rPr>
          <w:rFonts w:ascii="Times New Roman" w:hAnsi="Times New Roman" w:cs="Times New Roman"/>
          <w:color w:val="222222"/>
          <w:sz w:val="24"/>
          <w:szCs w:val="24"/>
          <w:lang w:val="sr-Cyrl-CS"/>
        </w:rPr>
        <w:t xml:space="preserve"> налаза</w:t>
      </w:r>
      <w:r w:rsidR="00EC7019" w:rsidRPr="00B27245">
        <w:rPr>
          <w:rFonts w:ascii="Times New Roman" w:hAnsi="Times New Roman" w:cs="Times New Roman"/>
          <w:color w:val="222222"/>
          <w:sz w:val="24"/>
          <w:szCs w:val="24"/>
          <w:lang w:val="sr-Cyrl-CS"/>
        </w:rPr>
        <w:t xml:space="preserve">, а затим би се </w:t>
      </w:r>
      <w:r w:rsidR="007D4EC6" w:rsidRPr="00B27245">
        <w:rPr>
          <w:rFonts w:ascii="Times New Roman" w:hAnsi="Times New Roman" w:cs="Times New Roman"/>
          <w:color w:val="222222"/>
          <w:sz w:val="24"/>
          <w:szCs w:val="24"/>
          <w:lang w:val="sr-Cyrl-CS"/>
        </w:rPr>
        <w:t>одржа</w:t>
      </w:r>
      <w:r w:rsidR="00EC7019" w:rsidRPr="00B27245">
        <w:rPr>
          <w:rFonts w:ascii="Times New Roman" w:hAnsi="Times New Roman" w:cs="Times New Roman"/>
          <w:color w:val="222222"/>
          <w:sz w:val="24"/>
          <w:szCs w:val="24"/>
          <w:lang w:val="sr-Cyrl-CS"/>
        </w:rPr>
        <w:t xml:space="preserve">вале и </w:t>
      </w:r>
      <w:r w:rsidR="007D4EC6" w:rsidRPr="00B27245">
        <w:rPr>
          <w:rFonts w:ascii="Times New Roman" w:hAnsi="Times New Roman" w:cs="Times New Roman"/>
          <w:color w:val="222222"/>
          <w:sz w:val="24"/>
          <w:szCs w:val="24"/>
          <w:lang w:val="sr-Cyrl-CS"/>
        </w:rPr>
        <w:t>радиониц</w:t>
      </w:r>
      <w:r w:rsidR="00EC7019" w:rsidRPr="00B27245">
        <w:rPr>
          <w:rFonts w:ascii="Times New Roman" w:hAnsi="Times New Roman" w:cs="Times New Roman"/>
          <w:color w:val="222222"/>
          <w:sz w:val="24"/>
          <w:szCs w:val="24"/>
          <w:lang w:val="sr-Cyrl-CS"/>
        </w:rPr>
        <w:t xml:space="preserve">е са заинтересованим странама. Поред тога, на основу резултата анализе, биће израђене и </w:t>
      </w:r>
      <w:r w:rsidR="007D4EC6" w:rsidRPr="00B27245">
        <w:rPr>
          <w:rFonts w:ascii="Times New Roman" w:hAnsi="Times New Roman" w:cs="Times New Roman"/>
          <w:color w:val="222222"/>
          <w:sz w:val="24"/>
          <w:szCs w:val="24"/>
          <w:lang w:val="sr-Cyrl-CS"/>
        </w:rPr>
        <w:t>препорук</w:t>
      </w:r>
      <w:r w:rsidR="00EC7019" w:rsidRPr="00B27245">
        <w:rPr>
          <w:rFonts w:ascii="Times New Roman" w:hAnsi="Times New Roman" w:cs="Times New Roman"/>
          <w:color w:val="222222"/>
          <w:sz w:val="24"/>
          <w:szCs w:val="24"/>
          <w:lang w:val="sr-Cyrl-CS"/>
        </w:rPr>
        <w:t>е</w:t>
      </w:r>
      <w:r w:rsidR="007D4EC6" w:rsidRPr="00B27245">
        <w:rPr>
          <w:rFonts w:ascii="Times New Roman" w:hAnsi="Times New Roman" w:cs="Times New Roman"/>
          <w:color w:val="222222"/>
          <w:sz w:val="24"/>
          <w:szCs w:val="24"/>
          <w:lang w:val="sr-Cyrl-CS"/>
        </w:rPr>
        <w:t xml:space="preserve"> у погледу законског </w:t>
      </w:r>
      <w:r w:rsidR="007D4EC6" w:rsidRPr="00B27245">
        <w:rPr>
          <w:rFonts w:ascii="Times New Roman" w:hAnsi="Times New Roman" w:cs="Times New Roman"/>
          <w:color w:val="222222"/>
          <w:sz w:val="24"/>
          <w:szCs w:val="24"/>
          <w:lang w:val="sr-Cyrl-CS"/>
        </w:rPr>
        <w:lastRenderedPageBreak/>
        <w:t>оквира</w:t>
      </w:r>
      <w:r w:rsidR="00A223C0" w:rsidRPr="00B27245">
        <w:rPr>
          <w:rStyle w:val="FootnoteReference"/>
          <w:rFonts w:ascii="Times New Roman" w:hAnsi="Times New Roman" w:cs="Times New Roman"/>
          <w:color w:val="222222"/>
          <w:sz w:val="24"/>
          <w:szCs w:val="24"/>
          <w:lang w:val="sr-Cyrl-CS"/>
        </w:rPr>
        <w:footnoteReference w:id="7"/>
      </w:r>
      <w:r w:rsidR="007D4EC6" w:rsidRPr="00B27245">
        <w:rPr>
          <w:rFonts w:ascii="Times New Roman" w:hAnsi="Times New Roman" w:cs="Times New Roman"/>
          <w:color w:val="222222"/>
          <w:sz w:val="24"/>
          <w:szCs w:val="24"/>
          <w:lang w:val="sr-Cyrl-CS"/>
        </w:rPr>
        <w:t>, надлежности и активности усмерених ка превенцији настајања нових проблематичних кредита</w:t>
      </w:r>
      <w:r w:rsidR="00EC7019" w:rsidRPr="00B27245">
        <w:rPr>
          <w:rFonts w:ascii="Times New Roman" w:hAnsi="Times New Roman" w:cs="Times New Roman"/>
          <w:color w:val="222222"/>
          <w:sz w:val="24"/>
          <w:szCs w:val="24"/>
          <w:lang w:val="sr-Cyrl-CS"/>
        </w:rPr>
        <w:t xml:space="preserve">. </w:t>
      </w:r>
      <w:r w:rsidRPr="00B27245">
        <w:rPr>
          <w:rFonts w:ascii="Times New Roman" w:hAnsi="Times New Roman" w:cs="Times New Roman"/>
          <w:color w:val="222222"/>
          <w:sz w:val="24"/>
          <w:szCs w:val="24"/>
          <w:lang w:val="sr-Cyrl-CS"/>
        </w:rPr>
        <w:t>Програм</w:t>
      </w:r>
      <w:r w:rsidR="00EC7019" w:rsidRPr="00B27245">
        <w:rPr>
          <w:rFonts w:ascii="Times New Roman" w:hAnsi="Times New Roman" w:cs="Times New Roman"/>
          <w:color w:val="222222"/>
          <w:sz w:val="24"/>
          <w:szCs w:val="24"/>
          <w:lang w:val="sr-Cyrl-CS"/>
        </w:rPr>
        <w:t xml:space="preserve"> предвиђа да наведене</w:t>
      </w:r>
      <w:r w:rsidR="007D4EC6" w:rsidRPr="00B27245">
        <w:rPr>
          <w:rFonts w:ascii="Times New Roman" w:hAnsi="Times New Roman" w:cs="Times New Roman"/>
          <w:color w:val="222222"/>
          <w:sz w:val="24"/>
          <w:szCs w:val="24"/>
          <w:lang w:val="sr-Cyrl-CS"/>
        </w:rPr>
        <w:t xml:space="preserve"> препорук</w:t>
      </w:r>
      <w:r w:rsidR="00EC7019" w:rsidRPr="00B27245">
        <w:rPr>
          <w:rFonts w:ascii="Times New Roman" w:hAnsi="Times New Roman" w:cs="Times New Roman"/>
          <w:color w:val="222222"/>
          <w:sz w:val="24"/>
          <w:szCs w:val="24"/>
          <w:lang w:val="sr-Cyrl-CS"/>
        </w:rPr>
        <w:t>е</w:t>
      </w:r>
      <w:r w:rsidR="007D4EC6" w:rsidRPr="00B27245">
        <w:rPr>
          <w:rFonts w:ascii="Times New Roman" w:hAnsi="Times New Roman" w:cs="Times New Roman"/>
          <w:color w:val="222222"/>
          <w:sz w:val="24"/>
          <w:szCs w:val="24"/>
          <w:lang w:val="sr-Cyrl-CS"/>
        </w:rPr>
        <w:t xml:space="preserve"> </w:t>
      </w:r>
      <w:r w:rsidR="00EC7019" w:rsidRPr="00B27245">
        <w:rPr>
          <w:rFonts w:ascii="Times New Roman" w:hAnsi="Times New Roman" w:cs="Times New Roman"/>
          <w:color w:val="222222"/>
          <w:sz w:val="24"/>
          <w:szCs w:val="24"/>
          <w:lang w:val="sr-Cyrl-CS"/>
        </w:rPr>
        <w:t xml:space="preserve">буду усвојене </w:t>
      </w:r>
      <w:r w:rsidR="007D4EC6" w:rsidRPr="00B27245">
        <w:rPr>
          <w:rFonts w:ascii="Times New Roman" w:hAnsi="Times New Roman" w:cs="Times New Roman"/>
          <w:color w:val="222222"/>
          <w:sz w:val="24"/>
          <w:szCs w:val="24"/>
          <w:lang w:val="sr-Cyrl-CS"/>
        </w:rPr>
        <w:t xml:space="preserve">од стране </w:t>
      </w:r>
      <w:r w:rsidR="0083182E" w:rsidRPr="00B27245">
        <w:rPr>
          <w:rFonts w:ascii="Times New Roman" w:hAnsi="Times New Roman" w:cs="Times New Roman"/>
          <w:color w:val="222222"/>
          <w:sz w:val="24"/>
          <w:szCs w:val="24"/>
          <w:lang w:val="sr-Cyrl-CS"/>
        </w:rPr>
        <w:t>Радне групе</w:t>
      </w:r>
      <w:r w:rsidR="00EC7019" w:rsidRPr="00B27245">
        <w:rPr>
          <w:rFonts w:ascii="Times New Roman" w:hAnsi="Times New Roman" w:cs="Times New Roman"/>
          <w:color w:val="222222"/>
          <w:sz w:val="24"/>
          <w:szCs w:val="24"/>
          <w:lang w:val="sr-Cyrl-CS"/>
        </w:rPr>
        <w:t>.</w:t>
      </w:r>
    </w:p>
    <w:p w14:paraId="26D74665" w14:textId="77777777" w:rsidR="00081508" w:rsidRPr="00B27245" w:rsidRDefault="00081508" w:rsidP="00081508">
      <w:pPr>
        <w:rPr>
          <w:rFonts w:ascii="Times New Roman" w:hAnsi="Times New Roman" w:cs="Times New Roman"/>
          <w:sz w:val="24"/>
          <w:szCs w:val="24"/>
          <w:lang w:val="sr-Cyrl-CS"/>
        </w:rPr>
      </w:pPr>
    </w:p>
    <w:p w14:paraId="2BB458C6" w14:textId="77777777" w:rsidR="007A1073" w:rsidRPr="00B27245" w:rsidRDefault="007A1073" w:rsidP="001373E4">
      <w:pPr>
        <w:pStyle w:val="Heading2"/>
        <w:numPr>
          <w:ilvl w:val="2"/>
          <w:numId w:val="31"/>
        </w:numPr>
        <w:jc w:val="center"/>
        <w:rPr>
          <w:b w:val="0"/>
          <w:lang w:val="sr-Cyrl-CS"/>
        </w:rPr>
      </w:pPr>
      <w:r w:rsidRPr="00B27245">
        <w:rPr>
          <w:b w:val="0"/>
          <w:lang w:val="sr-Cyrl-CS"/>
        </w:rPr>
        <w:t xml:space="preserve">Израда алатки намењених превенцији и </w:t>
      </w:r>
      <w:r w:rsidR="00E30F5F" w:rsidRPr="00B27245">
        <w:rPr>
          <w:b w:val="0"/>
          <w:lang w:val="sr-Cyrl-CS"/>
        </w:rPr>
        <w:t>предупређивању</w:t>
      </w:r>
      <w:r w:rsidRPr="00B27245">
        <w:rPr>
          <w:b w:val="0"/>
          <w:lang w:val="sr-Cyrl-CS"/>
        </w:rPr>
        <w:t xml:space="preserve"> финансијских тешкоћа </w:t>
      </w:r>
      <w:r w:rsidR="00E30F5F" w:rsidRPr="00B27245">
        <w:rPr>
          <w:b w:val="0"/>
          <w:lang w:val="sr-Cyrl-CS"/>
        </w:rPr>
        <w:t>и спровођење информационе кампање</w:t>
      </w:r>
    </w:p>
    <w:p w14:paraId="40BE73BB" w14:textId="04A81751" w:rsidR="007A1073" w:rsidRPr="00B27245" w:rsidRDefault="001373E4" w:rsidP="00081508">
      <w:pPr>
        <w:rPr>
          <w:rFonts w:ascii="Arial" w:hAnsi="Arial"/>
          <w:sz w:val="27"/>
          <w:lang w:val="sr-Cyrl-CS"/>
        </w:rPr>
      </w:pPr>
      <w:r w:rsidRPr="00B27245">
        <w:rPr>
          <w:rFonts w:ascii="Arial" w:hAnsi="Arial"/>
          <w:sz w:val="27"/>
          <w:lang w:val="sr-Cyrl-CS"/>
        </w:rPr>
        <w:t xml:space="preserve"> </w:t>
      </w:r>
    </w:p>
    <w:p w14:paraId="445F5033" w14:textId="48349CB3" w:rsidR="00072862" w:rsidRPr="00B27245" w:rsidRDefault="00EC7019" w:rsidP="001373E4">
      <w:pPr>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Друга област у оквиру ове активности односи се на</w:t>
      </w:r>
      <w:r w:rsidR="00D45548" w:rsidRPr="00B27245">
        <w:rPr>
          <w:rFonts w:ascii="Times New Roman" w:hAnsi="Times New Roman" w:cs="Times New Roman"/>
          <w:color w:val="222222"/>
          <w:sz w:val="24"/>
          <w:szCs w:val="24"/>
          <w:lang w:val="sr-Cyrl-CS"/>
        </w:rPr>
        <w:t xml:space="preserve">  израду информационог портала и спровођење информационе кампањ</w:t>
      </w:r>
      <w:r w:rsidR="00EF4241" w:rsidRPr="00B27245">
        <w:rPr>
          <w:rFonts w:ascii="Times New Roman" w:hAnsi="Times New Roman" w:cs="Times New Roman"/>
          <w:color w:val="222222"/>
          <w:sz w:val="24"/>
          <w:szCs w:val="24"/>
          <w:lang w:val="sr-Cyrl-CS"/>
        </w:rPr>
        <w:t>е</w:t>
      </w:r>
      <w:r w:rsidR="00D45548" w:rsidRPr="00B27245">
        <w:rPr>
          <w:rFonts w:ascii="Times New Roman" w:hAnsi="Times New Roman" w:cs="Times New Roman"/>
          <w:color w:val="222222"/>
          <w:sz w:val="24"/>
          <w:szCs w:val="24"/>
          <w:lang w:val="sr-Cyrl-CS"/>
        </w:rPr>
        <w:t xml:space="preserve"> о правовременом препознавању финансијских потешкоћа. Ова алатка била би првенствено намењена малим и средњим предузећима и предузетницима. Број блокираних привредних друштава и предузетника у Србији јасно указује да </w:t>
      </w:r>
      <w:r w:rsidR="00E30F5F" w:rsidRPr="00B27245">
        <w:rPr>
          <w:rFonts w:ascii="Times New Roman" w:hAnsi="Times New Roman" w:cs="Times New Roman"/>
          <w:color w:val="222222"/>
          <w:sz w:val="24"/>
          <w:szCs w:val="24"/>
          <w:lang w:val="sr-Cyrl-CS"/>
        </w:rPr>
        <w:t xml:space="preserve">се проблеми и финансијске потешкоће уочавају и/или признају </w:t>
      </w:r>
      <w:r w:rsidR="00D45548" w:rsidRPr="00B27245">
        <w:rPr>
          <w:rFonts w:ascii="Times New Roman" w:hAnsi="Times New Roman" w:cs="Times New Roman"/>
          <w:color w:val="222222"/>
          <w:sz w:val="24"/>
          <w:szCs w:val="24"/>
          <w:lang w:val="sr-Cyrl-CS"/>
        </w:rPr>
        <w:t>у многим случајевима</w:t>
      </w:r>
      <w:r w:rsidR="00E30F5F" w:rsidRPr="00B27245">
        <w:rPr>
          <w:rFonts w:ascii="Times New Roman" w:hAnsi="Times New Roman" w:cs="Times New Roman"/>
          <w:color w:val="222222"/>
          <w:sz w:val="24"/>
          <w:szCs w:val="24"/>
          <w:lang w:val="sr-Cyrl-CS"/>
        </w:rPr>
        <w:t xml:space="preserve"> прекасно. Власници због страха </w:t>
      </w:r>
      <w:r w:rsidR="00D45548" w:rsidRPr="00B27245">
        <w:rPr>
          <w:rFonts w:ascii="Times New Roman" w:hAnsi="Times New Roman" w:cs="Times New Roman"/>
          <w:color w:val="222222"/>
          <w:sz w:val="24"/>
          <w:szCs w:val="24"/>
          <w:lang w:val="sr-Cyrl-CS"/>
        </w:rPr>
        <w:t xml:space="preserve">да ће изгубити контролу над својим </w:t>
      </w:r>
      <w:r w:rsidR="00E30F5F" w:rsidRPr="00B27245">
        <w:rPr>
          <w:rFonts w:ascii="Times New Roman" w:hAnsi="Times New Roman" w:cs="Times New Roman"/>
          <w:color w:val="222222"/>
          <w:sz w:val="24"/>
          <w:szCs w:val="24"/>
          <w:lang w:val="sr-Cyrl-CS"/>
        </w:rPr>
        <w:t xml:space="preserve">пословањем у случају обраћања повериоцима ради реструктурирања, као и услед одбијања да прихвате реалност не покрећу потребне активности на време. </w:t>
      </w:r>
      <w:r w:rsidR="00D45548" w:rsidRPr="00B27245">
        <w:rPr>
          <w:rFonts w:ascii="Times New Roman" w:hAnsi="Times New Roman" w:cs="Times New Roman"/>
          <w:color w:val="222222"/>
          <w:sz w:val="24"/>
          <w:szCs w:val="24"/>
          <w:lang w:val="sr-Cyrl-CS"/>
        </w:rPr>
        <w:t xml:space="preserve">У том контексту, </w:t>
      </w:r>
      <w:r w:rsidR="00E30F5F" w:rsidRPr="00B27245">
        <w:rPr>
          <w:rFonts w:ascii="Times New Roman" w:hAnsi="Times New Roman" w:cs="Times New Roman"/>
          <w:color w:val="222222"/>
          <w:sz w:val="24"/>
          <w:szCs w:val="24"/>
          <w:lang w:val="sr-Cyrl-CS"/>
        </w:rPr>
        <w:t xml:space="preserve">пожељно је развити програме подршке који би својом приступачношћу и једноставношћу употребе помогли јасном препознавању проблема. Тиме се и оним </w:t>
      </w:r>
      <w:r w:rsidR="00D45548" w:rsidRPr="00B27245">
        <w:rPr>
          <w:rFonts w:ascii="Times New Roman" w:hAnsi="Times New Roman" w:cs="Times New Roman"/>
          <w:color w:val="222222"/>
          <w:sz w:val="24"/>
          <w:szCs w:val="24"/>
          <w:lang w:val="sr-Cyrl-CS"/>
        </w:rPr>
        <w:t>предузећ</w:t>
      </w:r>
      <w:r w:rsidR="00E30F5F" w:rsidRPr="00B27245">
        <w:rPr>
          <w:rFonts w:ascii="Times New Roman" w:hAnsi="Times New Roman" w:cs="Times New Roman"/>
          <w:color w:val="222222"/>
          <w:sz w:val="24"/>
          <w:szCs w:val="24"/>
          <w:lang w:val="sr-Cyrl-CS"/>
        </w:rPr>
        <w:t>има</w:t>
      </w:r>
      <w:r w:rsidR="00D45548" w:rsidRPr="00B27245">
        <w:rPr>
          <w:rFonts w:ascii="Times New Roman" w:hAnsi="Times New Roman" w:cs="Times New Roman"/>
          <w:color w:val="222222"/>
          <w:sz w:val="24"/>
          <w:szCs w:val="24"/>
          <w:lang w:val="sr-Cyrl-CS"/>
        </w:rPr>
        <w:t xml:space="preserve"> </w:t>
      </w:r>
      <w:r w:rsidR="00E30F5F" w:rsidRPr="00B27245">
        <w:rPr>
          <w:rFonts w:ascii="Times New Roman" w:hAnsi="Times New Roman" w:cs="Times New Roman"/>
          <w:color w:val="222222"/>
          <w:sz w:val="24"/>
          <w:szCs w:val="24"/>
          <w:lang w:val="sr-Cyrl-CS"/>
        </w:rPr>
        <w:t xml:space="preserve">која не могу да приуште саветодавне услуге </w:t>
      </w:r>
      <w:r w:rsidR="00D45548" w:rsidRPr="00B27245">
        <w:rPr>
          <w:rFonts w:ascii="Times New Roman" w:hAnsi="Times New Roman" w:cs="Times New Roman"/>
          <w:color w:val="222222"/>
          <w:sz w:val="24"/>
          <w:szCs w:val="24"/>
          <w:lang w:val="sr-Cyrl-CS"/>
        </w:rPr>
        <w:t>на комерцијалној основи</w:t>
      </w:r>
      <w:r w:rsidR="00E30F5F" w:rsidRPr="00B27245">
        <w:rPr>
          <w:rFonts w:ascii="Times New Roman" w:hAnsi="Times New Roman" w:cs="Times New Roman"/>
          <w:color w:val="222222"/>
          <w:sz w:val="24"/>
          <w:szCs w:val="24"/>
          <w:lang w:val="sr-Cyrl-CS"/>
        </w:rPr>
        <w:t xml:space="preserve"> омогућава коришћење алатки. Развој алатки и спровођење кампање утицали би на део дужника да покрену поступке реструктурирања. Поред тога наведена алатка компатибилна је са поступком споразумног финансијског реструктурирања које у Републици Србије и даље није заживело и поред тога што су трошкови овог поступка значајно нижи у односу на стечајни поступак.</w:t>
      </w:r>
    </w:p>
    <w:p w14:paraId="17949D48" w14:textId="77777777" w:rsidR="006B006C" w:rsidRPr="00B27245" w:rsidRDefault="006B006C" w:rsidP="001373E4">
      <w:pPr>
        <w:pStyle w:val="Heading2"/>
        <w:numPr>
          <w:ilvl w:val="2"/>
          <w:numId w:val="31"/>
        </w:numPr>
        <w:jc w:val="center"/>
        <w:rPr>
          <w:b w:val="0"/>
          <w:lang w:val="sr-Cyrl-CS"/>
        </w:rPr>
      </w:pPr>
      <w:r w:rsidRPr="00B27245">
        <w:rPr>
          <w:b w:val="0"/>
          <w:lang w:val="sr-Cyrl-CS"/>
        </w:rPr>
        <w:t>Унапређење оквира за примену Закона о роковима измирења обавеза у комерцијалним трансакцијама</w:t>
      </w:r>
    </w:p>
    <w:p w14:paraId="3B628416" w14:textId="77777777" w:rsidR="006B006C" w:rsidRPr="00B27245" w:rsidRDefault="006B006C" w:rsidP="00E30F5F">
      <w:pPr>
        <w:jc w:val="both"/>
        <w:rPr>
          <w:rFonts w:ascii="Times New Roman" w:hAnsi="Times New Roman" w:cs="Times New Roman"/>
          <w:lang w:val="sr-Cyrl-CS" w:eastAsia="en-GB"/>
        </w:rPr>
      </w:pPr>
    </w:p>
    <w:p w14:paraId="4D720AEC" w14:textId="2D54DB02" w:rsidR="006B006C" w:rsidRPr="00B27245" w:rsidRDefault="006B006C" w:rsidP="0041141D">
      <w:pPr>
        <w:spacing w:after="0"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Закон о роковима измирења је у примени од 2012</w:t>
      </w:r>
      <w:r w:rsidR="001373E4" w:rsidRPr="00B27245">
        <w:rPr>
          <w:rFonts w:ascii="Times New Roman" w:hAnsi="Times New Roman" w:cs="Times New Roman"/>
          <w:color w:val="222222"/>
          <w:sz w:val="24"/>
          <w:szCs w:val="24"/>
          <w:lang w:val="sr-Cyrl-CS"/>
        </w:rPr>
        <w:t>.</w:t>
      </w:r>
      <w:r w:rsidRPr="00B27245">
        <w:rPr>
          <w:rFonts w:ascii="Times New Roman" w:hAnsi="Times New Roman" w:cs="Times New Roman"/>
          <w:color w:val="222222"/>
          <w:sz w:val="24"/>
          <w:szCs w:val="24"/>
          <w:lang w:val="sr-Cyrl-CS"/>
        </w:rPr>
        <w:t xml:space="preserve"> године и представља транспозицију Директиве 2011/7/ЕU у законодавство Републике Србије.</w:t>
      </w:r>
      <w:r w:rsidR="00577AF6" w:rsidRPr="00B27245">
        <w:rPr>
          <w:rStyle w:val="FootnoteReference"/>
          <w:rFonts w:ascii="Times New Roman" w:hAnsi="Times New Roman" w:cs="Times New Roman"/>
          <w:color w:val="222222"/>
          <w:sz w:val="24"/>
          <w:szCs w:val="24"/>
          <w:lang w:val="sr-Cyrl-CS"/>
        </w:rPr>
        <w:footnoteReference w:id="8"/>
      </w:r>
      <w:r w:rsidR="00577AF6" w:rsidRPr="00B27245">
        <w:rPr>
          <w:rFonts w:ascii="Times New Roman" w:hAnsi="Times New Roman" w:cs="Times New Roman"/>
          <w:color w:val="222222"/>
          <w:sz w:val="24"/>
          <w:szCs w:val="24"/>
          <w:lang w:val="sr-Cyrl-CS"/>
        </w:rPr>
        <w:t xml:space="preserve"> </w:t>
      </w:r>
      <w:r w:rsidRPr="00B27245">
        <w:rPr>
          <w:rFonts w:ascii="Times New Roman" w:hAnsi="Times New Roman" w:cs="Times New Roman"/>
          <w:color w:val="222222"/>
          <w:sz w:val="24"/>
          <w:szCs w:val="24"/>
          <w:lang w:val="sr-Cyrl-CS"/>
        </w:rPr>
        <w:t xml:space="preserve">Примена </w:t>
      </w:r>
      <w:r w:rsidRPr="00B27245">
        <w:rPr>
          <w:rFonts w:ascii="Times New Roman" w:hAnsi="Times New Roman" w:cs="Times New Roman"/>
          <w:color w:val="222222"/>
          <w:sz w:val="24"/>
          <w:szCs w:val="24"/>
          <w:lang w:val="sr-Cyrl-CS"/>
        </w:rPr>
        <w:lastRenderedPageBreak/>
        <w:t>Закона је од посебне важности за микро, мала и средња предузећа. Према резултатима неколико истраживања око половине предузећа у Републици Србији и даље се сусреће са проблемом закашњења са плаћањем, при чему су мала и микро предузећа диспропорционално погођена негативним ефектима. Доцње стварају проблем у погледу токова готовине и негативно утичу на пословну активност, посебно микро и малих предузећа. Узроци доцњи су бројни, при чему поред макроекономских околности, на њих утичу и устаљени пословни обичаји, пословна култура, али и асиметрија преговарачке и тржишне моћи између купаца и добављача. Трговински кредит представља изузетно значајан вид финансирања предузећа у Републици Србији. Према подацима Агенције за привредне регистре (</w:t>
      </w:r>
      <w:r w:rsidR="0041141D" w:rsidRPr="00B27245">
        <w:rPr>
          <w:rFonts w:ascii="Times New Roman" w:hAnsi="Times New Roman" w:cs="Times New Roman"/>
          <w:color w:val="222222"/>
          <w:sz w:val="24"/>
          <w:szCs w:val="24"/>
          <w:lang w:val="sr-Cyrl-CS"/>
        </w:rPr>
        <w:t xml:space="preserve">у даљем тексту: </w:t>
      </w:r>
      <w:r w:rsidRPr="00B27245">
        <w:rPr>
          <w:rFonts w:ascii="Times New Roman" w:hAnsi="Times New Roman" w:cs="Times New Roman"/>
          <w:color w:val="222222"/>
          <w:sz w:val="24"/>
          <w:szCs w:val="24"/>
          <w:lang w:val="sr-Cyrl-CS"/>
        </w:rPr>
        <w:t>АПР) укупне (бруто) краткорочне обавезе из пословања нефинансијског сектора у 2016. години износиле су 2.467 милијарди динара (око 18% укупне вредности активе, односно пасиве). Према величини, у сектору микро и малих предузећа, учешће износи 21% и 29% респективно, што је знатно више у односу на 12% учешћа у сектору великих предузећа.</w:t>
      </w:r>
      <w:r w:rsidR="00577AF6" w:rsidRPr="00B27245">
        <w:rPr>
          <w:rStyle w:val="FootnoteReference"/>
          <w:rFonts w:ascii="Times New Roman" w:hAnsi="Times New Roman" w:cs="Times New Roman"/>
          <w:color w:val="222222"/>
          <w:sz w:val="24"/>
          <w:szCs w:val="24"/>
          <w:lang w:val="sr-Cyrl-CS"/>
        </w:rPr>
        <w:footnoteReference w:id="9"/>
      </w:r>
      <w:r w:rsidRPr="00B27245">
        <w:rPr>
          <w:rFonts w:ascii="Times New Roman" w:hAnsi="Times New Roman" w:cs="Times New Roman"/>
          <w:color w:val="222222"/>
          <w:sz w:val="24"/>
          <w:szCs w:val="24"/>
          <w:lang w:val="sr-Cyrl-CS"/>
        </w:rPr>
        <w:t xml:space="preserve"> Поређења ради, у Немачкој учешће трговинског кредита je нешто мање у односу на укупну билансну пасиву и износи 15,8%, али представља најзначајнији спољни извор финансирања нефинансијског сектора.</w:t>
      </w:r>
      <w:r w:rsidR="00577AF6" w:rsidRPr="00B27245">
        <w:rPr>
          <w:rStyle w:val="FootnoteReference"/>
          <w:rFonts w:ascii="Times New Roman" w:hAnsi="Times New Roman" w:cs="Times New Roman"/>
          <w:color w:val="222222"/>
          <w:sz w:val="24"/>
          <w:szCs w:val="24"/>
          <w:lang w:val="sr-Cyrl-CS"/>
        </w:rPr>
        <w:footnoteReference w:id="10"/>
      </w:r>
      <w:r w:rsidRPr="00B27245">
        <w:rPr>
          <w:rFonts w:ascii="Times New Roman" w:hAnsi="Times New Roman" w:cs="Times New Roman"/>
          <w:color w:val="222222"/>
          <w:sz w:val="24"/>
          <w:szCs w:val="24"/>
          <w:lang w:val="sr-Cyrl-CS"/>
        </w:rPr>
        <w:t xml:space="preserve"> Према резултатима анкете о пословном окружењу и перформансама предузећа (Business Enviroment and Enterprise Performance Survey) коју спроводе Светска банка и Европска банка за обно</w:t>
      </w:r>
      <w:r w:rsidR="0041141D" w:rsidRPr="00B27245">
        <w:rPr>
          <w:rFonts w:ascii="Times New Roman" w:hAnsi="Times New Roman" w:cs="Times New Roman"/>
          <w:color w:val="222222"/>
          <w:sz w:val="24"/>
          <w:szCs w:val="24"/>
          <w:lang w:val="sr-Cyrl-CS"/>
        </w:rPr>
        <w:t>ву и развој у 2013. години 43,3</w:t>
      </w:r>
      <w:r w:rsidRPr="00B27245">
        <w:rPr>
          <w:rFonts w:ascii="Times New Roman" w:hAnsi="Times New Roman" w:cs="Times New Roman"/>
          <w:color w:val="222222"/>
          <w:sz w:val="24"/>
          <w:szCs w:val="24"/>
          <w:lang w:val="sr-Cyrl-CS"/>
        </w:rPr>
        <w:t>% предузећа у Републици Србији користило је трговински кредит како би финансирале обртни капитал.</w:t>
      </w:r>
      <w:r w:rsidR="00577AF6" w:rsidRPr="00B27245">
        <w:rPr>
          <w:rStyle w:val="FootnoteReference"/>
          <w:rFonts w:ascii="Times New Roman" w:hAnsi="Times New Roman" w:cs="Times New Roman"/>
          <w:color w:val="222222"/>
          <w:sz w:val="24"/>
          <w:szCs w:val="24"/>
          <w:lang w:val="sr-Cyrl-CS"/>
        </w:rPr>
        <w:footnoteReference w:id="11"/>
      </w:r>
    </w:p>
    <w:p w14:paraId="65D203DA" w14:textId="45609A36" w:rsidR="00A93E90" w:rsidRPr="00B27245" w:rsidRDefault="006B006C" w:rsidP="0041141D">
      <w:pPr>
        <w:spacing w:after="0"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Према истраживању EOS MATRIX/IPSOS за 2016. годину на узорку од 200 (средњих и великих) предузећа у сектору трговине, производње и услуга: B2B трансакције у Републици Србији су у самом врху према просечној дужини рокова измирења обавеза у Европи. Само 12% рокова плаћања унутар B2B сектора су испод 30 дана при чему најгору праксу бележи сектор трговине.</w:t>
      </w:r>
    </w:p>
    <w:p w14:paraId="2608D8E5" w14:textId="174AAF37"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27309E15" w14:textId="11FD5F3C"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403B3D6A" w14:textId="7E39014F"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6BF429C9" w14:textId="33541A10"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3C78AD4E" w14:textId="1792999F"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6E1C14F8" w14:textId="75DDD8C4"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5AD1DA54" w14:textId="32CEBAF4"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3FE6E002" w14:textId="7A1EC950"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0A1DED70" w14:textId="77777777" w:rsidR="0041141D" w:rsidRPr="00B27245" w:rsidRDefault="0041141D" w:rsidP="0041141D">
      <w:pPr>
        <w:spacing w:after="0" w:line="276" w:lineRule="auto"/>
        <w:ind w:firstLine="720"/>
        <w:jc w:val="both"/>
        <w:rPr>
          <w:rFonts w:ascii="Times New Roman" w:hAnsi="Times New Roman" w:cs="Times New Roman"/>
          <w:color w:val="222222"/>
          <w:sz w:val="24"/>
          <w:szCs w:val="24"/>
          <w:lang w:val="sr-Cyrl-CS"/>
        </w:rPr>
      </w:pPr>
    </w:p>
    <w:p w14:paraId="7D0B3668" w14:textId="77777777" w:rsidR="00A93E90" w:rsidRPr="00B27245" w:rsidRDefault="00A93E90" w:rsidP="006B006C">
      <w:pPr>
        <w:spacing w:line="276" w:lineRule="auto"/>
        <w:jc w:val="center"/>
        <w:rPr>
          <w:rFonts w:ascii="Arial Narrow" w:hAnsi="Arial Narrow"/>
          <w:b/>
          <w:lang w:val="sr-Cyrl-CS"/>
        </w:rPr>
      </w:pPr>
    </w:p>
    <w:p w14:paraId="17ABC5DF" w14:textId="73B80F7C" w:rsidR="006B006C" w:rsidRPr="00B27245" w:rsidRDefault="006B006C" w:rsidP="006B006C">
      <w:pPr>
        <w:spacing w:line="276" w:lineRule="auto"/>
        <w:jc w:val="center"/>
        <w:rPr>
          <w:rFonts w:ascii="Times New Roman" w:hAnsi="Times New Roman" w:cs="Times New Roman"/>
          <w:bCs/>
          <w:lang w:val="sr-Cyrl-CS"/>
        </w:rPr>
      </w:pPr>
      <w:r w:rsidRPr="00B27245">
        <w:rPr>
          <w:rFonts w:ascii="Times New Roman" w:hAnsi="Times New Roman" w:cs="Times New Roman"/>
          <w:lang w:val="sr-Cyrl-CS"/>
        </w:rPr>
        <w:lastRenderedPageBreak/>
        <w:t>Илустрација</w:t>
      </w:r>
      <w:r w:rsidR="00577AF6" w:rsidRPr="00B27245">
        <w:rPr>
          <w:rFonts w:ascii="Times New Roman" w:hAnsi="Times New Roman" w:cs="Times New Roman"/>
          <w:lang w:val="sr-Cyrl-CS"/>
        </w:rPr>
        <w:t xml:space="preserve"> 4:</w:t>
      </w:r>
      <w:r w:rsidRPr="00B27245">
        <w:rPr>
          <w:rFonts w:ascii="Times New Roman" w:hAnsi="Times New Roman" w:cs="Times New Roman"/>
          <w:lang w:val="sr-Cyrl-CS"/>
        </w:rPr>
        <w:t xml:space="preserve"> </w:t>
      </w:r>
      <w:r w:rsidRPr="00B27245">
        <w:rPr>
          <w:rFonts w:ascii="Times New Roman" w:hAnsi="Times New Roman" w:cs="Times New Roman"/>
          <w:bCs/>
          <w:lang w:val="sr-Cyrl-CS"/>
        </w:rPr>
        <w:t>Просечан рок измирења обавеза плаћање (у данима) 2016. година</w:t>
      </w:r>
    </w:p>
    <w:p w14:paraId="33D2CC69" w14:textId="77777777" w:rsidR="006B006C" w:rsidRPr="00B27245" w:rsidRDefault="006B006C" w:rsidP="006B006C">
      <w:pPr>
        <w:spacing w:line="276" w:lineRule="auto"/>
        <w:jc w:val="both"/>
        <w:rPr>
          <w:rFonts w:ascii="Arial Narrow" w:hAnsi="Arial Narrow"/>
          <w:bCs/>
          <w:lang w:val="sr-Cyrl-CS"/>
        </w:rPr>
      </w:pPr>
      <w:r w:rsidRPr="00B27245">
        <w:rPr>
          <w:noProof/>
          <w:lang w:val="en-US"/>
        </w:rPr>
        <w:drawing>
          <wp:inline distT="0" distB="0" distL="0" distR="0" wp14:anchorId="360A6ED2" wp14:editId="494A44E8">
            <wp:extent cx="5762625" cy="1933575"/>
            <wp:effectExtent l="0" t="0" r="9525" b="9525"/>
            <wp:docPr id="3" name="Chart 3">
              <a:extLst xmlns:a="http://schemas.openxmlformats.org/drawingml/2006/main">
                <a:ext uri="{FF2B5EF4-FFF2-40B4-BE49-F238E27FC236}">
                  <a16:creationId xmlns:a16="http://schemas.microsoft.com/office/drawing/2014/main" id="{D7C2D747-1967-42C5-86D3-11F51CB099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8F8AE2A" w14:textId="77777777" w:rsidR="006B006C" w:rsidRPr="00B27245" w:rsidRDefault="006B006C" w:rsidP="006B006C">
      <w:pPr>
        <w:spacing w:line="276" w:lineRule="auto"/>
        <w:rPr>
          <w:rFonts w:ascii="Arial Narrow" w:hAnsi="Arial Narrow"/>
          <w:bCs/>
          <w:sz w:val="20"/>
          <w:szCs w:val="20"/>
          <w:lang w:val="sr-Cyrl-CS"/>
        </w:rPr>
      </w:pPr>
      <w:r w:rsidRPr="00B27245">
        <w:rPr>
          <w:rFonts w:ascii="Arial Narrow" w:hAnsi="Arial Narrow"/>
          <w:bCs/>
          <w:sz w:val="20"/>
          <w:szCs w:val="20"/>
          <w:lang w:val="sr-Cyrl-CS"/>
        </w:rPr>
        <w:t>Извор: EOS MATRIX/IPSOS 2016</w:t>
      </w:r>
    </w:p>
    <w:p w14:paraId="373E48D1" w14:textId="77777777" w:rsidR="00072862" w:rsidRPr="00B27245" w:rsidRDefault="00072862" w:rsidP="0041141D">
      <w:pPr>
        <w:spacing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Такође, истраживање указује да значајан број пословних субјеката чека више од 40 дана како би намирило своја потраживања.</w:t>
      </w:r>
    </w:p>
    <w:p w14:paraId="6B7C3F4F" w14:textId="600F8805" w:rsidR="006B006C" w:rsidRPr="00B27245" w:rsidRDefault="006B006C" w:rsidP="006B006C">
      <w:pPr>
        <w:spacing w:line="276" w:lineRule="auto"/>
        <w:jc w:val="center"/>
        <w:rPr>
          <w:rFonts w:ascii="Times New Roman" w:hAnsi="Times New Roman" w:cs="Times New Roman"/>
          <w:lang w:val="sr-Cyrl-CS"/>
        </w:rPr>
      </w:pPr>
      <w:r w:rsidRPr="00B27245">
        <w:rPr>
          <w:rFonts w:ascii="Times New Roman" w:hAnsi="Times New Roman" w:cs="Times New Roman"/>
          <w:lang w:val="sr-Cyrl-CS"/>
        </w:rPr>
        <w:t>Ил</w:t>
      </w:r>
      <w:r w:rsidR="009F3092" w:rsidRPr="00B27245">
        <w:rPr>
          <w:rFonts w:ascii="Times New Roman" w:hAnsi="Times New Roman" w:cs="Times New Roman"/>
          <w:lang w:val="sr-Cyrl-CS"/>
        </w:rPr>
        <w:t>у</w:t>
      </w:r>
      <w:r w:rsidRPr="00B27245">
        <w:rPr>
          <w:rFonts w:ascii="Times New Roman" w:hAnsi="Times New Roman" w:cs="Times New Roman"/>
          <w:lang w:val="sr-Cyrl-CS"/>
        </w:rPr>
        <w:t>страција</w:t>
      </w:r>
      <w:r w:rsidR="00577AF6" w:rsidRPr="00B27245">
        <w:rPr>
          <w:rFonts w:ascii="Times New Roman" w:hAnsi="Times New Roman" w:cs="Times New Roman"/>
          <w:lang w:val="sr-Cyrl-CS"/>
        </w:rPr>
        <w:t xml:space="preserve"> 5:</w:t>
      </w:r>
      <w:r w:rsidRPr="00B27245">
        <w:rPr>
          <w:rFonts w:ascii="Times New Roman" w:hAnsi="Times New Roman" w:cs="Times New Roman"/>
          <w:lang w:val="sr-Cyrl-CS"/>
        </w:rPr>
        <w:t xml:space="preserve"> Рокови измирења према дужини</w:t>
      </w:r>
    </w:p>
    <w:p w14:paraId="18959B2F" w14:textId="7F352343" w:rsidR="006B006C" w:rsidRPr="00B27245" w:rsidRDefault="006B006C" w:rsidP="006B006C">
      <w:pPr>
        <w:spacing w:line="276" w:lineRule="auto"/>
        <w:jc w:val="both"/>
        <w:rPr>
          <w:rFonts w:ascii="Arial Narrow" w:hAnsi="Arial Narrow"/>
          <w:bCs/>
          <w:sz w:val="20"/>
          <w:szCs w:val="20"/>
          <w:lang w:val="sr-Cyrl-CS"/>
        </w:rPr>
      </w:pPr>
      <w:r w:rsidRPr="00B27245">
        <w:rPr>
          <w:noProof/>
          <w:lang w:val="en-US"/>
        </w:rPr>
        <w:drawing>
          <wp:inline distT="0" distB="0" distL="0" distR="0" wp14:anchorId="41425139" wp14:editId="2832C27D">
            <wp:extent cx="5762625" cy="1962150"/>
            <wp:effectExtent l="0" t="0" r="9525" b="19050"/>
            <wp:docPr id="6" name="Chart 6">
              <a:extLst xmlns:a="http://schemas.openxmlformats.org/drawingml/2006/main">
                <a:ext uri="{FF2B5EF4-FFF2-40B4-BE49-F238E27FC236}">
                  <a16:creationId xmlns:a16="http://schemas.microsoft.com/office/drawing/2014/main" id="{28DAF78B-1337-47B0-8AFD-E26E600692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B27245">
        <w:rPr>
          <w:rFonts w:ascii="Arial Narrow" w:hAnsi="Arial Narrow"/>
          <w:bCs/>
          <w:sz w:val="20"/>
          <w:szCs w:val="20"/>
          <w:lang w:val="sr-Cyrl-CS"/>
        </w:rPr>
        <w:t xml:space="preserve"> Извор: EOS MATRIX/IPSOS 2016</w:t>
      </w:r>
      <w:r w:rsidR="0041141D" w:rsidRPr="00B27245">
        <w:rPr>
          <w:rFonts w:ascii="Arial Narrow" w:hAnsi="Arial Narrow"/>
          <w:bCs/>
          <w:sz w:val="20"/>
          <w:szCs w:val="20"/>
          <w:lang w:val="sr-Cyrl-CS"/>
        </w:rPr>
        <w:t xml:space="preserve"> </w:t>
      </w:r>
    </w:p>
    <w:p w14:paraId="3E6F19B0" w14:textId="77777777" w:rsidR="006B006C" w:rsidRPr="00B27245" w:rsidRDefault="006B006C" w:rsidP="006B006C">
      <w:pPr>
        <w:spacing w:line="276" w:lineRule="auto"/>
        <w:jc w:val="both"/>
        <w:rPr>
          <w:rFonts w:ascii="Arial Narrow" w:hAnsi="Arial Narrow"/>
          <w:bCs/>
          <w:lang w:val="sr-Cyrl-CS"/>
        </w:rPr>
      </w:pPr>
    </w:p>
    <w:p w14:paraId="473956F2" w14:textId="415DB1DE" w:rsidR="006B006C" w:rsidRPr="00B27245" w:rsidRDefault="0019313C" w:rsidP="0041141D">
      <w:pPr>
        <w:spacing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Европски извештај о плаћањима за 2018. годину (European Payment Report - EPR) даје просечне рокове плаћања која предузећа одобравају купцима, али и просечне рокове у којима се стварно врше плаћања.</w:t>
      </w:r>
      <w:r w:rsidR="00982768" w:rsidRPr="00B27245">
        <w:rPr>
          <w:rFonts w:ascii="Times New Roman" w:hAnsi="Times New Roman" w:cs="Times New Roman"/>
          <w:color w:val="222222"/>
          <w:sz w:val="24"/>
          <w:szCs w:val="24"/>
          <w:lang w:val="sr-Cyrl-CS"/>
        </w:rPr>
        <w:t xml:space="preserve"> </w:t>
      </w:r>
      <w:r w:rsidR="0041141D" w:rsidRPr="00B27245">
        <w:rPr>
          <w:rFonts w:ascii="Times New Roman" w:hAnsi="Times New Roman" w:cs="Times New Roman"/>
          <w:color w:val="222222"/>
          <w:sz w:val="24"/>
          <w:szCs w:val="24"/>
          <w:lang w:val="sr-Cyrl-CS"/>
        </w:rPr>
        <w:t xml:space="preserve"> У односу з</w:t>
      </w:r>
      <w:r w:rsidRPr="00B27245">
        <w:rPr>
          <w:rFonts w:ascii="Times New Roman" w:hAnsi="Times New Roman" w:cs="Times New Roman"/>
          <w:color w:val="222222"/>
          <w:sz w:val="24"/>
          <w:szCs w:val="24"/>
          <w:lang w:val="sr-Cyrl-CS"/>
        </w:rPr>
        <w:t>а 2017. годину резултати су побољшани. Према одговорима испитаника просечни рок који дају у комерцијалним B2B трансакцијама износи 34 дана, док се плаћање у комерцијалним B2B трансакцијама врши са просечним роком од 40 дана. Треба напоменути да је узорак у односу на истраживање ЕОS MATRIX/IPSOS значајно другачији, јер 73% узорка чине мала или микро предузећa.  Ипак предузећа у Србији су последња према периоду протека до предаје фактуре друштвима која се баве намирењем. Такође, Србија је међу земљама које наводе највеће губитке услед ненаплативих потраживања као проценат укупног прихода</w:t>
      </w:r>
      <w:r w:rsidRPr="00B27245">
        <w:rPr>
          <w:rFonts w:ascii="Arial Narrow" w:eastAsia="Calibri" w:hAnsi="Arial Narrow" w:cs="Times New Roman"/>
          <w:lang w:val="sr-Cyrl-CS"/>
        </w:rPr>
        <w:t>.</w:t>
      </w:r>
      <w:r w:rsidR="00982768" w:rsidRPr="00B27245">
        <w:rPr>
          <w:rStyle w:val="FootnoteReference"/>
          <w:rFonts w:ascii="Arial Narrow" w:eastAsia="Calibri" w:hAnsi="Arial Narrow" w:cs="Times New Roman"/>
          <w:lang w:val="sr-Cyrl-CS"/>
        </w:rPr>
        <w:footnoteReference w:id="12"/>
      </w:r>
      <w:r w:rsidRPr="00B27245">
        <w:rPr>
          <w:rFonts w:ascii="Arial Narrow" w:eastAsia="Calibri" w:hAnsi="Arial Narrow" w:cs="Times New Roman"/>
          <w:lang w:val="sr-Cyrl-CS"/>
        </w:rPr>
        <w:t xml:space="preserve"> </w:t>
      </w:r>
      <w:r w:rsidR="006B006C" w:rsidRPr="00B27245">
        <w:rPr>
          <w:rFonts w:ascii="Times New Roman" w:hAnsi="Times New Roman" w:cs="Times New Roman"/>
          <w:color w:val="222222"/>
          <w:sz w:val="24"/>
          <w:szCs w:val="24"/>
          <w:lang w:val="sr-Cyrl-CS"/>
        </w:rPr>
        <w:t xml:space="preserve">Како би се унапредило стање у погледу рокова плаћања, и како би се избегли </w:t>
      </w:r>
      <w:r w:rsidR="006B006C" w:rsidRPr="00B27245">
        <w:rPr>
          <w:rFonts w:ascii="Times New Roman" w:hAnsi="Times New Roman" w:cs="Times New Roman"/>
          <w:color w:val="222222"/>
          <w:sz w:val="24"/>
          <w:szCs w:val="24"/>
          <w:lang w:val="sr-Cyrl-CS"/>
        </w:rPr>
        <w:lastRenderedPageBreak/>
        <w:t xml:space="preserve">сценарији у којима поједини дужници у региону доводе до системских проблема, </w:t>
      </w:r>
      <w:r w:rsidR="00D92668" w:rsidRPr="00B27245">
        <w:rPr>
          <w:rFonts w:ascii="Times New Roman" w:hAnsi="Times New Roman" w:cs="Times New Roman"/>
          <w:color w:val="222222"/>
          <w:sz w:val="24"/>
          <w:szCs w:val="24"/>
          <w:lang w:val="sr-Cyrl-CS"/>
        </w:rPr>
        <w:t>Програм</w:t>
      </w:r>
      <w:r w:rsidR="006B006C" w:rsidRPr="00B27245">
        <w:rPr>
          <w:rFonts w:ascii="Times New Roman" w:hAnsi="Times New Roman" w:cs="Times New Roman"/>
          <w:color w:val="222222"/>
          <w:sz w:val="24"/>
          <w:szCs w:val="24"/>
          <w:lang w:val="sr-Cyrl-CS"/>
        </w:rPr>
        <w:t xml:space="preserve"> предвиђа спровођење еx post анализе примене Закона о роковима плаћања,</w:t>
      </w:r>
      <w:r w:rsidR="0041141D" w:rsidRPr="00B27245">
        <w:rPr>
          <w:rFonts w:ascii="Times New Roman" w:hAnsi="Times New Roman" w:cs="Times New Roman"/>
          <w:color w:val="222222"/>
          <w:sz w:val="24"/>
          <w:szCs w:val="24"/>
          <w:lang w:val="sr-Cyrl-CS"/>
        </w:rPr>
        <w:t xml:space="preserve"> разматрање потребе за израдом </w:t>
      </w:r>
      <w:r w:rsidR="006B006C" w:rsidRPr="00B27245">
        <w:rPr>
          <w:rFonts w:ascii="Times New Roman" w:hAnsi="Times New Roman" w:cs="Times New Roman"/>
          <w:color w:val="222222"/>
          <w:sz w:val="24"/>
          <w:szCs w:val="24"/>
          <w:lang w:val="sr-Cyrl-CS"/>
        </w:rPr>
        <w:t>измена и допуна Закона о роковима плаћања и спровођење промотивних активности ка</w:t>
      </w:r>
      <w:r w:rsidR="0041141D" w:rsidRPr="00B27245">
        <w:rPr>
          <w:rFonts w:ascii="Times New Roman" w:hAnsi="Times New Roman" w:cs="Times New Roman"/>
          <w:color w:val="222222"/>
          <w:sz w:val="24"/>
          <w:szCs w:val="24"/>
          <w:lang w:val="sr-Cyrl-CS"/>
        </w:rPr>
        <w:t>ко би се унапредило спровођење овог з</w:t>
      </w:r>
      <w:r w:rsidR="006B006C" w:rsidRPr="00B27245">
        <w:rPr>
          <w:rFonts w:ascii="Times New Roman" w:hAnsi="Times New Roman" w:cs="Times New Roman"/>
          <w:color w:val="222222"/>
          <w:sz w:val="24"/>
          <w:szCs w:val="24"/>
          <w:lang w:val="sr-Cyrl-CS"/>
        </w:rPr>
        <w:t>акона. Поред тога потребно је размотрити сте</w:t>
      </w:r>
      <w:r w:rsidR="0041141D" w:rsidRPr="00B27245">
        <w:rPr>
          <w:rFonts w:ascii="Times New Roman" w:hAnsi="Times New Roman" w:cs="Times New Roman"/>
          <w:color w:val="222222"/>
          <w:sz w:val="24"/>
          <w:szCs w:val="24"/>
          <w:lang w:val="sr-Cyrl-CS"/>
        </w:rPr>
        <w:t>пен усклађености овог з</w:t>
      </w:r>
      <w:r w:rsidR="006B006C" w:rsidRPr="00B27245">
        <w:rPr>
          <w:rFonts w:ascii="Times New Roman" w:hAnsi="Times New Roman" w:cs="Times New Roman"/>
          <w:color w:val="222222"/>
          <w:sz w:val="24"/>
          <w:szCs w:val="24"/>
          <w:lang w:val="sr-Cyrl-CS"/>
        </w:rPr>
        <w:t>акона са Директивом јер су уочена одступања и погрешне интерпретаци</w:t>
      </w:r>
      <w:r w:rsidR="001A1951" w:rsidRPr="00B27245">
        <w:rPr>
          <w:rFonts w:ascii="Times New Roman" w:hAnsi="Times New Roman" w:cs="Times New Roman"/>
          <w:color w:val="222222"/>
          <w:sz w:val="24"/>
          <w:szCs w:val="24"/>
          <w:lang w:val="sr-Cyrl-CS"/>
        </w:rPr>
        <w:t>је одређених правних института.</w:t>
      </w:r>
    </w:p>
    <w:p w14:paraId="7DC94BDD" w14:textId="7C335835" w:rsidR="00065DB5" w:rsidRPr="00B27245" w:rsidRDefault="00065DB5" w:rsidP="0041141D">
      <w:pPr>
        <w:pStyle w:val="Heading2"/>
        <w:numPr>
          <w:ilvl w:val="2"/>
          <w:numId w:val="31"/>
        </w:numPr>
        <w:spacing w:after="0"/>
        <w:jc w:val="center"/>
        <w:rPr>
          <w:b w:val="0"/>
          <w:lang w:val="sr-Cyrl-CS"/>
        </w:rPr>
      </w:pPr>
      <w:r w:rsidRPr="00B27245">
        <w:rPr>
          <w:b w:val="0"/>
          <w:lang w:val="sr-Cyrl-CS"/>
        </w:rPr>
        <w:t>Унапређење регулаторног оквира за процену вредности непокретности</w:t>
      </w:r>
    </w:p>
    <w:p w14:paraId="58CBE5C9" w14:textId="77777777" w:rsidR="00EF4241" w:rsidRPr="00B27245" w:rsidRDefault="00EF4241" w:rsidP="0041141D">
      <w:pPr>
        <w:spacing w:after="0"/>
        <w:rPr>
          <w:lang w:val="sr-Cyrl-CS" w:eastAsia="en-GB"/>
        </w:rPr>
      </w:pPr>
    </w:p>
    <w:p w14:paraId="2E706834" w14:textId="38E3ED68" w:rsidR="009E197A" w:rsidRPr="00B27245" w:rsidRDefault="009E197A" w:rsidP="0041141D">
      <w:pPr>
        <w:spacing w:after="0"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Закон о проценитељима вредности непокретности („Службени гласник РС”, бр</w:t>
      </w:r>
      <w:r w:rsidR="0041141D" w:rsidRPr="00B27245">
        <w:rPr>
          <w:rFonts w:ascii="Times New Roman" w:hAnsi="Times New Roman" w:cs="Times New Roman"/>
          <w:color w:val="222222"/>
          <w:sz w:val="24"/>
          <w:szCs w:val="24"/>
          <w:lang w:val="sr-Cyrl-CS"/>
        </w:rPr>
        <w:t>. 108/16 и 113/17-</w:t>
      </w:r>
      <w:r w:rsidRPr="00B27245">
        <w:rPr>
          <w:rFonts w:ascii="Times New Roman" w:hAnsi="Times New Roman" w:cs="Times New Roman"/>
          <w:color w:val="222222"/>
          <w:sz w:val="24"/>
          <w:szCs w:val="24"/>
          <w:lang w:val="sr-Cyrl-CS"/>
        </w:rPr>
        <w:t>др.</w:t>
      </w:r>
      <w:r w:rsidR="0041141D" w:rsidRPr="00B27245">
        <w:rPr>
          <w:rFonts w:ascii="Times New Roman" w:hAnsi="Times New Roman" w:cs="Times New Roman"/>
          <w:color w:val="222222"/>
          <w:sz w:val="24"/>
          <w:szCs w:val="24"/>
          <w:lang w:val="sr-Cyrl-CS"/>
        </w:rPr>
        <w:t xml:space="preserve"> </w:t>
      </w:r>
      <w:r w:rsidRPr="00B27245">
        <w:rPr>
          <w:rFonts w:ascii="Times New Roman" w:hAnsi="Times New Roman" w:cs="Times New Roman"/>
          <w:color w:val="222222"/>
          <w:sz w:val="24"/>
          <w:szCs w:val="24"/>
          <w:lang w:val="sr-Cyrl-CS"/>
        </w:rPr>
        <w:t>закон – у даљем тексту: Закон), ступио је на снагу 6. јануара 2017. године, а почео да се примењује 6. јуна 2017. године.  Решењем о оснивању Стручног одбора, од 5. априла 2017. године, именова</w:t>
      </w:r>
      <w:r w:rsidR="009F3092" w:rsidRPr="00B27245">
        <w:rPr>
          <w:rFonts w:ascii="Times New Roman" w:hAnsi="Times New Roman" w:cs="Times New Roman"/>
          <w:color w:val="222222"/>
          <w:sz w:val="24"/>
          <w:szCs w:val="24"/>
          <w:lang w:val="sr-Cyrl-CS"/>
        </w:rPr>
        <w:t>ни су</w:t>
      </w:r>
      <w:r w:rsidRPr="00B27245">
        <w:rPr>
          <w:rFonts w:ascii="Times New Roman" w:hAnsi="Times New Roman" w:cs="Times New Roman"/>
          <w:color w:val="222222"/>
          <w:sz w:val="24"/>
          <w:szCs w:val="24"/>
          <w:lang w:val="sr-Cyrl-CS"/>
        </w:rPr>
        <w:t xml:space="preserve"> чланов</w:t>
      </w:r>
      <w:r w:rsidR="009F3092" w:rsidRPr="00B27245">
        <w:rPr>
          <w:rFonts w:ascii="Times New Roman" w:hAnsi="Times New Roman" w:cs="Times New Roman"/>
          <w:color w:val="222222"/>
          <w:sz w:val="24"/>
          <w:szCs w:val="24"/>
          <w:lang w:val="sr-Cyrl-CS"/>
        </w:rPr>
        <w:t>и</w:t>
      </w:r>
      <w:r w:rsidRPr="00B27245">
        <w:rPr>
          <w:rFonts w:ascii="Times New Roman" w:hAnsi="Times New Roman" w:cs="Times New Roman"/>
          <w:color w:val="222222"/>
          <w:sz w:val="24"/>
          <w:szCs w:val="24"/>
          <w:lang w:val="sr-Cyrl-CS"/>
        </w:rPr>
        <w:t xml:space="preserve"> Стручног одбора, и тиме формира</w:t>
      </w:r>
      <w:r w:rsidR="009F3092" w:rsidRPr="00B27245">
        <w:rPr>
          <w:rFonts w:ascii="Times New Roman" w:hAnsi="Times New Roman" w:cs="Times New Roman"/>
          <w:color w:val="222222"/>
          <w:sz w:val="24"/>
          <w:szCs w:val="24"/>
          <w:lang w:val="sr-Cyrl-CS"/>
        </w:rPr>
        <w:t>н</w:t>
      </w:r>
      <w:r w:rsidRPr="00B27245">
        <w:rPr>
          <w:rFonts w:ascii="Times New Roman" w:hAnsi="Times New Roman" w:cs="Times New Roman"/>
          <w:color w:val="222222"/>
          <w:sz w:val="24"/>
          <w:szCs w:val="24"/>
          <w:lang w:val="sr-Cyrl-CS"/>
        </w:rPr>
        <w:t>о тело које има за циљ да обавља стручне послове у области п</w:t>
      </w:r>
      <w:r w:rsidR="001A1951" w:rsidRPr="00B27245">
        <w:rPr>
          <w:rFonts w:ascii="Times New Roman" w:hAnsi="Times New Roman" w:cs="Times New Roman"/>
          <w:color w:val="222222"/>
          <w:sz w:val="24"/>
          <w:szCs w:val="24"/>
          <w:lang w:val="sr-Cyrl-CS"/>
        </w:rPr>
        <w:t xml:space="preserve">роцене вредности непокретности. </w:t>
      </w:r>
      <w:r w:rsidRPr="00B27245">
        <w:rPr>
          <w:rFonts w:ascii="Times New Roman" w:hAnsi="Times New Roman" w:cs="Times New Roman"/>
          <w:color w:val="222222"/>
          <w:sz w:val="24"/>
          <w:szCs w:val="24"/>
          <w:lang w:val="sr-Cyrl-CS"/>
        </w:rPr>
        <w:t>Затим, Правилник o Нaциoнaлним стaндaрдимa, кoдeксу eтикe и прaвилимa прoфeсиoнaлнoг пoнaшaњa лицeнцирaнoг прoцeнитeљa, објав</w:t>
      </w:r>
      <w:r w:rsidR="0041141D" w:rsidRPr="00B27245">
        <w:rPr>
          <w:rFonts w:ascii="Times New Roman" w:hAnsi="Times New Roman" w:cs="Times New Roman"/>
          <w:color w:val="222222"/>
          <w:sz w:val="24"/>
          <w:szCs w:val="24"/>
          <w:lang w:val="sr-Cyrl-CS"/>
        </w:rPr>
        <w:t>љен је у „Службеном гласнику РС”</w:t>
      </w:r>
      <w:r w:rsidR="000D3DF8" w:rsidRPr="00B27245">
        <w:rPr>
          <w:rFonts w:ascii="Times New Roman" w:hAnsi="Times New Roman" w:cs="Times New Roman"/>
          <w:color w:val="222222"/>
          <w:sz w:val="24"/>
          <w:szCs w:val="24"/>
          <w:lang w:val="sr-Cyrl-CS"/>
        </w:rPr>
        <w:t xml:space="preserve">, број </w:t>
      </w:r>
      <w:r w:rsidR="0041141D" w:rsidRPr="00B27245">
        <w:rPr>
          <w:rFonts w:ascii="Times New Roman" w:hAnsi="Times New Roman" w:cs="Times New Roman"/>
          <w:color w:val="222222"/>
          <w:sz w:val="24"/>
          <w:szCs w:val="24"/>
          <w:lang w:val="sr-Cyrl-CS"/>
        </w:rPr>
        <w:t>70/17</w:t>
      </w:r>
      <w:r w:rsidR="00023053" w:rsidRPr="00B27245">
        <w:rPr>
          <w:rFonts w:ascii="Times New Roman" w:hAnsi="Times New Roman" w:cs="Times New Roman"/>
          <w:color w:val="222222"/>
          <w:sz w:val="24"/>
          <w:szCs w:val="24"/>
          <w:lang w:val="sr-Cyrl-CS"/>
        </w:rPr>
        <w:t xml:space="preserve"> од</w:t>
      </w:r>
      <w:r w:rsidRPr="00B27245">
        <w:rPr>
          <w:rFonts w:ascii="Times New Roman" w:hAnsi="Times New Roman" w:cs="Times New Roman"/>
          <w:color w:val="222222"/>
          <w:sz w:val="24"/>
          <w:szCs w:val="24"/>
          <w:lang w:val="sr-Cyrl-CS"/>
        </w:rPr>
        <w:t xml:space="preserve"> 20.</w:t>
      </w:r>
      <w:r w:rsidR="0041141D" w:rsidRPr="00B27245">
        <w:rPr>
          <w:rFonts w:ascii="Times New Roman" w:hAnsi="Times New Roman" w:cs="Times New Roman"/>
          <w:color w:val="222222"/>
          <w:sz w:val="24"/>
          <w:szCs w:val="24"/>
          <w:lang w:val="sr-Cyrl-CS"/>
        </w:rPr>
        <w:t xml:space="preserve"> </w:t>
      </w:r>
      <w:r w:rsidRPr="00B27245">
        <w:rPr>
          <w:rFonts w:ascii="Times New Roman" w:hAnsi="Times New Roman" w:cs="Times New Roman"/>
          <w:color w:val="222222"/>
          <w:sz w:val="24"/>
          <w:szCs w:val="24"/>
          <w:lang w:val="sr-Cyrl-CS"/>
        </w:rPr>
        <w:t xml:space="preserve">јула 2017. године. Такође, сва остала подзаконска акта, чије доношење је предвиђено овим законом, донесена су у прописаним роковима. </w:t>
      </w:r>
      <w:r w:rsidR="001A1951" w:rsidRPr="00B27245">
        <w:rPr>
          <w:rFonts w:ascii="Times New Roman" w:hAnsi="Times New Roman" w:cs="Times New Roman"/>
          <w:color w:val="222222"/>
          <w:sz w:val="24"/>
          <w:szCs w:val="24"/>
          <w:lang w:val="sr-Cyrl-CS"/>
        </w:rPr>
        <w:t xml:space="preserve"> </w:t>
      </w:r>
      <w:r w:rsidR="00023053" w:rsidRPr="00B27245">
        <w:rPr>
          <w:rFonts w:ascii="Times New Roman" w:hAnsi="Times New Roman" w:cs="Times New Roman"/>
          <w:color w:val="222222"/>
          <w:sz w:val="24"/>
          <w:szCs w:val="24"/>
          <w:lang w:val="sr-Cyrl-CS"/>
        </w:rPr>
        <w:t>МФ</w:t>
      </w:r>
      <w:r w:rsidRPr="00B27245">
        <w:rPr>
          <w:rFonts w:ascii="Times New Roman" w:hAnsi="Times New Roman" w:cs="Times New Roman"/>
          <w:color w:val="222222"/>
          <w:sz w:val="24"/>
          <w:szCs w:val="24"/>
          <w:lang w:val="sr-Cyrl-CS"/>
        </w:rPr>
        <w:t xml:space="preserve"> је, закључно са 30. новембром 2018. године, издало  132 лиценце за вршење процене вредно</w:t>
      </w:r>
      <w:r w:rsidR="00023053" w:rsidRPr="00B27245">
        <w:rPr>
          <w:rFonts w:ascii="Times New Roman" w:hAnsi="Times New Roman" w:cs="Times New Roman"/>
          <w:color w:val="222222"/>
          <w:sz w:val="24"/>
          <w:szCs w:val="24"/>
          <w:lang w:val="sr-Cyrl-CS"/>
        </w:rPr>
        <w:t>сти непокретности, у складу са овим з</w:t>
      </w:r>
      <w:r w:rsidRPr="00B27245">
        <w:rPr>
          <w:rFonts w:ascii="Times New Roman" w:hAnsi="Times New Roman" w:cs="Times New Roman"/>
          <w:color w:val="222222"/>
          <w:sz w:val="24"/>
          <w:szCs w:val="24"/>
          <w:lang w:val="sr-Cyrl-CS"/>
        </w:rPr>
        <w:t>аконом.</w:t>
      </w:r>
    </w:p>
    <w:p w14:paraId="295A63BD" w14:textId="2F03A73C" w:rsidR="009E197A" w:rsidRPr="00B27245" w:rsidRDefault="009E197A" w:rsidP="00023053">
      <w:pPr>
        <w:spacing w:after="0"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На овај начин, формирана је професија лиценцираних проценитеља у Републици Србије и тиме је унапређен поступак процене вредности непокретности, будући да извештаји о процени вредности непокретности морају бити сачињени у складу са усвојеним Националним стандардима и кодексом етике, у циљу испуњења највиших стaндaрда прoфeсиoнaлизмa, интeгритeтa, jaснoћe, пoуздaнoсти и нeпристрaснoсти.</w:t>
      </w:r>
    </w:p>
    <w:p w14:paraId="47A4AA0E" w14:textId="77777777" w:rsidR="00023053" w:rsidRPr="00B27245" w:rsidRDefault="009E197A" w:rsidP="00023053">
      <w:pPr>
        <w:spacing w:after="0" w:line="276" w:lineRule="auto"/>
        <w:ind w:firstLine="720"/>
        <w:jc w:val="both"/>
        <w:rPr>
          <w:rFonts w:ascii="Arial Narrow" w:hAnsi="Arial Narrow"/>
          <w:lang w:val="sr-Cyrl-CS"/>
        </w:rPr>
      </w:pPr>
      <w:r w:rsidRPr="00B27245">
        <w:rPr>
          <w:rFonts w:ascii="Times New Roman" w:hAnsi="Times New Roman" w:cs="Times New Roman"/>
          <w:color w:val="222222"/>
          <w:sz w:val="24"/>
          <w:szCs w:val="24"/>
          <w:lang w:val="sr-Cyrl-CS"/>
        </w:rPr>
        <w:t>Међутим, да би поступак унапређења правне регулативе у овој области био у потпуности заокружен, потребно је да се у будућим изменама и допунама Закона о судским вештацима (или новом закону који ће за предмет регулисања имати област судског вештачења) предвиди да лица која врше процене вредности непокретности у судским поступцима, поседују лиценцу за вршење процене вредности непокретности, ко</w:t>
      </w:r>
      <w:r w:rsidR="00023053" w:rsidRPr="00B27245">
        <w:rPr>
          <w:rFonts w:ascii="Times New Roman" w:hAnsi="Times New Roman" w:cs="Times New Roman"/>
          <w:color w:val="222222"/>
          <w:sz w:val="24"/>
          <w:szCs w:val="24"/>
          <w:lang w:val="sr-Cyrl-CS"/>
        </w:rPr>
        <w:t>ју издаје МФ</w:t>
      </w:r>
      <w:r w:rsidRPr="00B27245">
        <w:rPr>
          <w:rFonts w:ascii="Times New Roman" w:hAnsi="Times New Roman" w:cs="Times New Roman"/>
          <w:color w:val="222222"/>
          <w:sz w:val="24"/>
          <w:szCs w:val="24"/>
          <w:lang w:val="sr-Cyrl-CS"/>
        </w:rPr>
        <w:t>.</w:t>
      </w:r>
      <w:r w:rsidR="00DF4C69" w:rsidRPr="00B27245">
        <w:rPr>
          <w:rFonts w:ascii="Arial Narrow" w:hAnsi="Arial Narrow"/>
          <w:lang w:val="sr-Cyrl-CS"/>
        </w:rPr>
        <w:t xml:space="preserve"> </w:t>
      </w:r>
    </w:p>
    <w:p w14:paraId="003C8336" w14:textId="77777777" w:rsidR="00023053" w:rsidRPr="00B27245" w:rsidRDefault="00023053" w:rsidP="00023053">
      <w:pPr>
        <w:spacing w:after="0" w:line="276" w:lineRule="auto"/>
        <w:ind w:firstLine="720"/>
        <w:jc w:val="both"/>
        <w:rPr>
          <w:rFonts w:ascii="Arial Narrow" w:hAnsi="Arial Narrow"/>
          <w:lang w:val="sr-Cyrl-CS"/>
        </w:rPr>
      </w:pPr>
    </w:p>
    <w:p w14:paraId="0016955B" w14:textId="57FCCD90" w:rsidR="0081785A" w:rsidRPr="00B27245" w:rsidRDefault="007118BB" w:rsidP="00023053">
      <w:pPr>
        <w:spacing w:after="0" w:line="276" w:lineRule="auto"/>
        <w:ind w:firstLine="720"/>
        <w:jc w:val="center"/>
        <w:rPr>
          <w:rFonts w:ascii="Times New Roman" w:hAnsi="Times New Roman"/>
          <w:b/>
          <w:sz w:val="24"/>
          <w:lang w:val="sr-Cyrl-CS"/>
        </w:rPr>
      </w:pPr>
      <w:r w:rsidRPr="00B27245">
        <w:rPr>
          <w:rFonts w:ascii="Times New Roman" w:hAnsi="Times New Roman"/>
          <w:b/>
          <w:sz w:val="24"/>
          <w:lang w:val="sr-Cyrl-CS"/>
        </w:rPr>
        <w:t>III</w:t>
      </w:r>
      <w:r w:rsidR="0081785A" w:rsidRPr="00B27245">
        <w:rPr>
          <w:rFonts w:ascii="Times New Roman" w:hAnsi="Times New Roman"/>
          <w:b/>
          <w:sz w:val="24"/>
          <w:lang w:val="sr-Cyrl-CS"/>
        </w:rPr>
        <w:t xml:space="preserve"> НАКНАДНЕ АКТИВНОСТИ</w:t>
      </w:r>
      <w:r w:rsidR="00023053" w:rsidRPr="00B27245">
        <w:rPr>
          <w:rFonts w:ascii="Times New Roman" w:hAnsi="Times New Roman"/>
          <w:b/>
          <w:sz w:val="24"/>
          <w:lang w:val="sr-Cyrl-CS"/>
        </w:rPr>
        <w:t xml:space="preserve"> </w:t>
      </w:r>
    </w:p>
    <w:p w14:paraId="40E2C323" w14:textId="77777777" w:rsidR="00023053" w:rsidRPr="00B27245" w:rsidRDefault="00023053" w:rsidP="00023053">
      <w:pPr>
        <w:spacing w:after="0" w:line="276" w:lineRule="auto"/>
        <w:ind w:firstLine="720"/>
        <w:jc w:val="center"/>
        <w:rPr>
          <w:rFonts w:ascii="Arial Narrow" w:hAnsi="Arial Narrow"/>
          <w:lang w:val="sr-Cyrl-CS"/>
        </w:rPr>
      </w:pPr>
    </w:p>
    <w:p w14:paraId="7D6C83F8" w14:textId="3174EBFC" w:rsidR="0081785A" w:rsidRPr="00B27245" w:rsidRDefault="0081785A" w:rsidP="00023053">
      <w:pPr>
        <w:spacing w:after="0"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 xml:space="preserve">Предвиђено је да спровођење </w:t>
      </w:r>
      <w:r w:rsidR="00D92668" w:rsidRPr="00B27245">
        <w:rPr>
          <w:rFonts w:ascii="Times New Roman" w:hAnsi="Times New Roman" w:cs="Times New Roman"/>
          <w:color w:val="222222"/>
          <w:sz w:val="24"/>
          <w:szCs w:val="24"/>
          <w:lang w:val="sr-Cyrl-CS"/>
        </w:rPr>
        <w:t>Програма</w:t>
      </w:r>
      <w:r w:rsidRPr="00B27245">
        <w:rPr>
          <w:rFonts w:ascii="Times New Roman" w:hAnsi="Times New Roman" w:cs="Times New Roman"/>
          <w:color w:val="222222"/>
          <w:sz w:val="24"/>
          <w:szCs w:val="24"/>
          <w:lang w:val="sr-Cyrl-CS"/>
        </w:rPr>
        <w:t xml:space="preserve"> представља двогодишњи континуирани процес при чему ће Радна група образована по Одлуци Владе </w:t>
      </w:r>
      <w:r w:rsidR="000D3DF8" w:rsidRPr="00B27245">
        <w:rPr>
          <w:rFonts w:ascii="Times New Roman" w:hAnsi="Times New Roman" w:cs="Times New Roman"/>
          <w:color w:val="222222"/>
          <w:sz w:val="24"/>
          <w:szCs w:val="24"/>
          <w:lang w:val="sr-Cyrl-CS"/>
        </w:rPr>
        <w:t xml:space="preserve">05 </w:t>
      </w:r>
      <w:r w:rsidRPr="00B27245">
        <w:rPr>
          <w:rFonts w:ascii="Times New Roman" w:hAnsi="Times New Roman" w:cs="Times New Roman"/>
          <w:color w:val="222222"/>
          <w:sz w:val="24"/>
          <w:szCs w:val="24"/>
          <w:lang w:val="sr-Cyrl-CS"/>
        </w:rPr>
        <w:t>Број</w:t>
      </w:r>
      <w:r w:rsidR="00023053" w:rsidRPr="00B27245">
        <w:rPr>
          <w:rFonts w:ascii="Times New Roman" w:hAnsi="Times New Roman" w:cs="Times New Roman"/>
          <w:color w:val="222222"/>
          <w:sz w:val="24"/>
          <w:szCs w:val="24"/>
          <w:lang w:val="sr-Cyrl-CS"/>
        </w:rPr>
        <w:t>: 02-</w:t>
      </w:r>
      <w:r w:rsidRPr="00B27245">
        <w:rPr>
          <w:rFonts w:ascii="Times New Roman" w:hAnsi="Times New Roman" w:cs="Times New Roman"/>
          <w:color w:val="222222"/>
          <w:sz w:val="24"/>
          <w:szCs w:val="24"/>
          <w:lang w:val="sr-Cyrl-CS"/>
        </w:rPr>
        <w:t xml:space="preserve">5145/2015-1 од 11. маја 2015. године бити носилац тог процеса. Она ће бити задужена за стално вршење надзора над спровођењем </w:t>
      </w:r>
      <w:r w:rsidR="00D92668" w:rsidRPr="00B27245">
        <w:rPr>
          <w:rFonts w:ascii="Times New Roman" w:hAnsi="Times New Roman" w:cs="Times New Roman"/>
          <w:color w:val="222222"/>
          <w:sz w:val="24"/>
          <w:szCs w:val="24"/>
          <w:lang w:val="sr-Cyrl-CS"/>
        </w:rPr>
        <w:t>Програма</w:t>
      </w:r>
      <w:r w:rsidRPr="00B27245">
        <w:rPr>
          <w:rFonts w:ascii="Times New Roman" w:hAnsi="Times New Roman" w:cs="Times New Roman"/>
          <w:color w:val="222222"/>
          <w:sz w:val="24"/>
          <w:szCs w:val="24"/>
          <w:lang w:val="sr-Cyrl-CS"/>
        </w:rPr>
        <w:t xml:space="preserve"> и идентификовањем свих преосталих ризика и изазова које треба решавати. Радна група ће бити обавезана да два</w:t>
      </w:r>
      <w:r w:rsidR="000D3DF8" w:rsidRPr="00B27245">
        <w:rPr>
          <w:rFonts w:ascii="Times New Roman" w:hAnsi="Times New Roman" w:cs="Times New Roman"/>
          <w:color w:val="222222"/>
          <w:sz w:val="24"/>
          <w:szCs w:val="24"/>
          <w:lang w:val="sr-Cyrl-CS"/>
        </w:rPr>
        <w:t xml:space="preserve"> </w:t>
      </w:r>
      <w:r w:rsidRPr="00B27245">
        <w:rPr>
          <w:rFonts w:ascii="Times New Roman" w:hAnsi="Times New Roman" w:cs="Times New Roman"/>
          <w:color w:val="222222"/>
          <w:sz w:val="24"/>
          <w:szCs w:val="24"/>
          <w:lang w:val="sr-Cyrl-CS"/>
        </w:rPr>
        <w:t>пут</w:t>
      </w:r>
      <w:r w:rsidR="000D3DF8" w:rsidRPr="00B27245">
        <w:rPr>
          <w:rFonts w:ascii="Times New Roman" w:hAnsi="Times New Roman" w:cs="Times New Roman"/>
          <w:color w:val="222222"/>
          <w:sz w:val="24"/>
          <w:szCs w:val="24"/>
          <w:lang w:val="sr-Cyrl-CS"/>
        </w:rPr>
        <w:t>а</w:t>
      </w:r>
      <w:r w:rsidRPr="00B27245">
        <w:rPr>
          <w:rFonts w:ascii="Times New Roman" w:hAnsi="Times New Roman" w:cs="Times New Roman"/>
          <w:color w:val="222222"/>
          <w:sz w:val="24"/>
          <w:szCs w:val="24"/>
          <w:lang w:val="sr-Cyrl-CS"/>
        </w:rPr>
        <w:t xml:space="preserve"> годишње припрема извештаје за Владу, на крају I и III квартала сваке године. Те извештаје ће пратити (ако је потребно) предлог измена и допуна </w:t>
      </w:r>
      <w:r w:rsidR="00D92668" w:rsidRPr="00B27245">
        <w:rPr>
          <w:rFonts w:ascii="Times New Roman" w:hAnsi="Times New Roman" w:cs="Times New Roman"/>
          <w:color w:val="222222"/>
          <w:sz w:val="24"/>
          <w:szCs w:val="24"/>
          <w:lang w:val="sr-Cyrl-CS"/>
        </w:rPr>
        <w:t>Програма</w:t>
      </w:r>
      <w:r w:rsidRPr="00B27245">
        <w:rPr>
          <w:rFonts w:ascii="Times New Roman" w:hAnsi="Times New Roman" w:cs="Times New Roman"/>
          <w:color w:val="222222"/>
          <w:sz w:val="24"/>
          <w:szCs w:val="24"/>
          <w:lang w:val="sr-Cyrl-CS"/>
        </w:rPr>
        <w:t xml:space="preserve">, зависно од примљених извештаја и информација о спровођењу </w:t>
      </w:r>
      <w:r w:rsidR="0083182E" w:rsidRPr="00B27245">
        <w:rPr>
          <w:rFonts w:ascii="Times New Roman" w:hAnsi="Times New Roman" w:cs="Times New Roman"/>
          <w:color w:val="222222"/>
          <w:sz w:val="24"/>
          <w:szCs w:val="24"/>
          <w:lang w:val="sr-Cyrl-CS"/>
        </w:rPr>
        <w:t>Акционог план</w:t>
      </w:r>
      <w:r w:rsidRPr="00B27245">
        <w:rPr>
          <w:rFonts w:ascii="Times New Roman" w:hAnsi="Times New Roman" w:cs="Times New Roman"/>
          <w:color w:val="222222"/>
          <w:sz w:val="24"/>
          <w:szCs w:val="24"/>
          <w:lang w:val="sr-Cyrl-CS"/>
        </w:rPr>
        <w:t xml:space="preserve">а. У том циљу, свака од институција носилаца конкретних активности према Акционом плану ће имати обавезу да подноси кварталне извештаје Радној групи о спровођењу Акционог плана и могућим </w:t>
      </w:r>
      <w:r w:rsidRPr="00B27245">
        <w:rPr>
          <w:rFonts w:ascii="Times New Roman" w:hAnsi="Times New Roman" w:cs="Times New Roman"/>
          <w:color w:val="222222"/>
          <w:sz w:val="24"/>
          <w:szCs w:val="24"/>
          <w:lang w:val="sr-Cyrl-CS"/>
        </w:rPr>
        <w:lastRenderedPageBreak/>
        <w:t>отвореним питањима о којима ће се дискутовати (и која ће се решити, уколико је потребно) на нивоу Радне групе. Радна група ће такође узети у обзир нове информације које Радној групи доставе друге државне институције и друге заинтересоване стране (укључујући међународне финансијске институције), кaо и тржишне околности и даљи развој догађаја на тржишту који могу довести до преиспитивања претходно усвојених мера и радњи и/или увођења нових и, сход</w:t>
      </w:r>
      <w:r w:rsidR="00023053" w:rsidRPr="00B27245">
        <w:rPr>
          <w:rFonts w:ascii="Times New Roman" w:hAnsi="Times New Roman" w:cs="Times New Roman"/>
          <w:color w:val="222222"/>
          <w:sz w:val="24"/>
          <w:szCs w:val="24"/>
          <w:lang w:val="sr-Cyrl-CS"/>
        </w:rPr>
        <w:t>но томе, ревизије П</w:t>
      </w:r>
      <w:r w:rsidR="000D3DF8" w:rsidRPr="00B27245">
        <w:rPr>
          <w:rFonts w:ascii="Times New Roman" w:hAnsi="Times New Roman" w:cs="Times New Roman"/>
          <w:color w:val="222222"/>
          <w:sz w:val="24"/>
          <w:szCs w:val="24"/>
          <w:lang w:val="sr-Cyrl-CS"/>
        </w:rPr>
        <w:t>рограма</w:t>
      </w:r>
      <w:r w:rsidRPr="00B27245">
        <w:rPr>
          <w:rFonts w:ascii="Times New Roman" w:hAnsi="Times New Roman" w:cs="Times New Roman"/>
          <w:color w:val="222222"/>
          <w:sz w:val="24"/>
          <w:szCs w:val="24"/>
          <w:lang w:val="sr-Cyrl-CS"/>
        </w:rPr>
        <w:t xml:space="preserve"> коју Радна </w:t>
      </w:r>
      <w:r w:rsidR="009E197A" w:rsidRPr="00B27245">
        <w:rPr>
          <w:rFonts w:ascii="Times New Roman" w:hAnsi="Times New Roman" w:cs="Times New Roman"/>
          <w:color w:val="222222"/>
          <w:sz w:val="24"/>
          <w:szCs w:val="24"/>
          <w:lang w:val="sr-Cyrl-CS"/>
        </w:rPr>
        <w:t>група разматра и предлаже Влади.</w:t>
      </w:r>
    </w:p>
    <w:p w14:paraId="470FBEF9" w14:textId="3465E8EF" w:rsidR="006B006C" w:rsidRPr="00B27245" w:rsidRDefault="0081785A" w:rsidP="00023053">
      <w:pPr>
        <w:spacing w:after="0"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Одржаваће се блис</w:t>
      </w:r>
      <w:r w:rsidR="009E197A" w:rsidRPr="00B27245">
        <w:rPr>
          <w:rFonts w:ascii="Times New Roman" w:hAnsi="Times New Roman" w:cs="Times New Roman"/>
          <w:color w:val="222222"/>
          <w:sz w:val="24"/>
          <w:szCs w:val="24"/>
          <w:lang w:val="sr-Cyrl-CS"/>
        </w:rPr>
        <w:t>ка сарадња и размена информација</w:t>
      </w:r>
      <w:r w:rsidR="00023053" w:rsidRPr="00B27245">
        <w:rPr>
          <w:rFonts w:ascii="Times New Roman" w:hAnsi="Times New Roman" w:cs="Times New Roman"/>
          <w:color w:val="222222"/>
          <w:sz w:val="24"/>
          <w:szCs w:val="24"/>
          <w:lang w:val="sr-Cyrl-CS"/>
        </w:rPr>
        <w:t xml:space="preserve"> са НБС</w:t>
      </w:r>
      <w:r w:rsidRPr="00B27245">
        <w:rPr>
          <w:rFonts w:ascii="Times New Roman" w:hAnsi="Times New Roman" w:cs="Times New Roman"/>
          <w:color w:val="222222"/>
          <w:sz w:val="24"/>
          <w:szCs w:val="24"/>
          <w:lang w:val="sr-Cyrl-CS"/>
        </w:rPr>
        <w:t xml:space="preserve"> кроз учешће представника НБС-а у раду Радне групе. </w:t>
      </w:r>
    </w:p>
    <w:p w14:paraId="421E4414" w14:textId="77777777" w:rsidR="00D45548" w:rsidRPr="00B27245" w:rsidRDefault="00D45548" w:rsidP="00023053">
      <w:pPr>
        <w:spacing w:after="0"/>
        <w:rPr>
          <w:rFonts w:ascii="Times New Roman" w:hAnsi="Times New Roman"/>
          <w:sz w:val="24"/>
          <w:lang w:val="sr-Cyrl-CS"/>
        </w:rPr>
      </w:pPr>
    </w:p>
    <w:p w14:paraId="1E268324" w14:textId="68BE53DD" w:rsidR="009E197A" w:rsidRPr="00B27245" w:rsidRDefault="007118BB" w:rsidP="00023053">
      <w:pPr>
        <w:spacing w:after="0"/>
        <w:jc w:val="center"/>
        <w:rPr>
          <w:rFonts w:ascii="Times New Roman" w:hAnsi="Times New Roman"/>
          <w:b/>
          <w:sz w:val="24"/>
          <w:lang w:val="sr-Cyrl-CS"/>
        </w:rPr>
      </w:pPr>
      <w:r w:rsidRPr="00B27245">
        <w:rPr>
          <w:rFonts w:ascii="Times New Roman" w:hAnsi="Times New Roman"/>
          <w:b/>
          <w:sz w:val="24"/>
          <w:lang w:val="sr-Cyrl-CS"/>
        </w:rPr>
        <w:t>I</w:t>
      </w:r>
      <w:r w:rsidR="009E197A" w:rsidRPr="00B27245">
        <w:rPr>
          <w:rFonts w:ascii="Times New Roman" w:hAnsi="Times New Roman"/>
          <w:b/>
          <w:sz w:val="24"/>
          <w:lang w:val="sr-Cyrl-CS"/>
        </w:rPr>
        <w:t>V ЗАВРШНИ ДЕО</w:t>
      </w:r>
    </w:p>
    <w:p w14:paraId="68A446E9" w14:textId="77777777" w:rsidR="00023053" w:rsidRPr="00B27245" w:rsidRDefault="00023053" w:rsidP="00023053">
      <w:pPr>
        <w:spacing w:after="0"/>
        <w:jc w:val="center"/>
        <w:rPr>
          <w:rFonts w:ascii="Times New Roman" w:hAnsi="Times New Roman"/>
          <w:b/>
          <w:sz w:val="24"/>
          <w:lang w:val="sr-Cyrl-CS"/>
        </w:rPr>
      </w:pPr>
    </w:p>
    <w:p w14:paraId="7BD6429D" w14:textId="08F44978" w:rsidR="009E197A" w:rsidRPr="00B27245" w:rsidRDefault="009E197A" w:rsidP="00023053">
      <w:pPr>
        <w:spacing w:after="0" w:line="276" w:lineRule="auto"/>
        <w:ind w:firstLine="720"/>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 xml:space="preserve">Овај </w:t>
      </w:r>
      <w:r w:rsidR="000D3DF8" w:rsidRPr="00B27245">
        <w:rPr>
          <w:rFonts w:ascii="Times New Roman" w:hAnsi="Times New Roman" w:cs="Times New Roman"/>
          <w:color w:val="222222"/>
          <w:sz w:val="24"/>
          <w:szCs w:val="24"/>
          <w:lang w:val="sr-Cyrl-CS"/>
        </w:rPr>
        <w:t>п</w:t>
      </w:r>
      <w:r w:rsidR="00D92668" w:rsidRPr="00B27245">
        <w:rPr>
          <w:rFonts w:ascii="Times New Roman" w:hAnsi="Times New Roman" w:cs="Times New Roman"/>
          <w:color w:val="222222"/>
          <w:sz w:val="24"/>
          <w:szCs w:val="24"/>
          <w:lang w:val="sr-Cyrl-CS"/>
        </w:rPr>
        <w:t>рограм</w:t>
      </w:r>
      <w:r w:rsidRPr="00B27245">
        <w:rPr>
          <w:rFonts w:ascii="Times New Roman" w:hAnsi="Times New Roman" w:cs="Times New Roman"/>
          <w:color w:val="222222"/>
          <w:sz w:val="24"/>
          <w:szCs w:val="24"/>
          <w:lang w:val="sr-Cyrl-CS"/>
        </w:rPr>
        <w:t xml:space="preserve"> објавити у „Службеном гласнику Републике Србије”. </w:t>
      </w:r>
    </w:p>
    <w:p w14:paraId="65C66A28" w14:textId="77777777" w:rsidR="009E197A" w:rsidRPr="00B27245" w:rsidRDefault="009E197A" w:rsidP="00023053">
      <w:pPr>
        <w:spacing w:after="0" w:line="276" w:lineRule="auto"/>
        <w:jc w:val="both"/>
        <w:rPr>
          <w:rFonts w:ascii="Times New Roman" w:hAnsi="Times New Roman" w:cs="Times New Roman"/>
          <w:color w:val="222222"/>
          <w:sz w:val="24"/>
          <w:szCs w:val="24"/>
          <w:lang w:val="sr-Cyrl-CS"/>
        </w:rPr>
      </w:pPr>
    </w:p>
    <w:p w14:paraId="2175A07C" w14:textId="77777777" w:rsidR="00023053" w:rsidRPr="00B27245" w:rsidRDefault="00023053" w:rsidP="00023053">
      <w:pPr>
        <w:spacing w:after="0" w:line="276" w:lineRule="auto"/>
        <w:jc w:val="both"/>
        <w:rPr>
          <w:rFonts w:ascii="Times New Roman" w:hAnsi="Times New Roman" w:cs="Times New Roman"/>
          <w:color w:val="222222"/>
          <w:sz w:val="24"/>
          <w:szCs w:val="24"/>
          <w:lang w:val="sr-Cyrl-CS"/>
        </w:rPr>
      </w:pPr>
    </w:p>
    <w:p w14:paraId="07E37ABE" w14:textId="04BB5341" w:rsidR="009E197A" w:rsidRPr="00B27245" w:rsidRDefault="009E197A" w:rsidP="00023053">
      <w:pPr>
        <w:spacing w:after="0" w:line="276" w:lineRule="auto"/>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 xml:space="preserve">05 Број: </w:t>
      </w:r>
    </w:p>
    <w:p w14:paraId="6E96A93B" w14:textId="2638A1E2" w:rsidR="00023053" w:rsidRPr="00B27245" w:rsidRDefault="00023053" w:rsidP="00023053">
      <w:pPr>
        <w:spacing w:after="0" w:line="276" w:lineRule="auto"/>
        <w:jc w:val="both"/>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 xml:space="preserve">У Београду,     </w:t>
      </w:r>
      <w:r w:rsidR="009E197A" w:rsidRPr="00B27245">
        <w:rPr>
          <w:rFonts w:ascii="Times New Roman" w:hAnsi="Times New Roman" w:cs="Times New Roman"/>
          <w:color w:val="222222"/>
          <w:sz w:val="24"/>
          <w:szCs w:val="24"/>
          <w:lang w:val="sr-Cyrl-CS"/>
        </w:rPr>
        <w:t xml:space="preserve">децембра 2018. године </w:t>
      </w:r>
    </w:p>
    <w:p w14:paraId="3FC2553B" w14:textId="77777777" w:rsidR="009E197A" w:rsidRPr="00B27245" w:rsidRDefault="009E197A" w:rsidP="00023053">
      <w:pPr>
        <w:spacing w:after="0"/>
        <w:jc w:val="both"/>
        <w:rPr>
          <w:lang w:val="sr-Cyrl-CS"/>
        </w:rPr>
      </w:pPr>
    </w:p>
    <w:p w14:paraId="1D4C8F0E" w14:textId="5409894A" w:rsidR="009E197A" w:rsidRPr="00B27245" w:rsidRDefault="009E197A" w:rsidP="00023053">
      <w:pPr>
        <w:spacing w:after="0"/>
        <w:jc w:val="center"/>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В Л А Д А</w:t>
      </w:r>
      <w:r w:rsidR="00023053" w:rsidRPr="00B27245">
        <w:rPr>
          <w:rFonts w:ascii="Times New Roman" w:hAnsi="Times New Roman" w:cs="Times New Roman"/>
          <w:color w:val="222222"/>
          <w:sz w:val="24"/>
          <w:szCs w:val="24"/>
          <w:lang w:val="sr-Cyrl-CS"/>
        </w:rPr>
        <w:t xml:space="preserve">   </w:t>
      </w:r>
    </w:p>
    <w:p w14:paraId="77D693AD" w14:textId="0AFFD4E1" w:rsidR="00023053" w:rsidRPr="00B27245" w:rsidRDefault="00023053" w:rsidP="00023053">
      <w:pPr>
        <w:spacing w:after="0"/>
        <w:jc w:val="center"/>
        <w:rPr>
          <w:rFonts w:ascii="Times New Roman" w:hAnsi="Times New Roman" w:cs="Times New Roman"/>
          <w:color w:val="222222"/>
          <w:sz w:val="24"/>
          <w:szCs w:val="24"/>
          <w:lang w:val="sr-Cyrl-CS"/>
        </w:rPr>
      </w:pPr>
    </w:p>
    <w:p w14:paraId="1D18BEAA" w14:textId="4F891E41" w:rsidR="009E197A" w:rsidRPr="00B27245" w:rsidRDefault="00023053" w:rsidP="00023053">
      <w:pPr>
        <w:spacing w:after="0"/>
        <w:ind w:left="5760" w:firstLine="720"/>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 xml:space="preserve">        </w:t>
      </w:r>
      <w:r w:rsidR="009E197A" w:rsidRPr="00B27245">
        <w:rPr>
          <w:rFonts w:ascii="Times New Roman" w:hAnsi="Times New Roman" w:cs="Times New Roman"/>
          <w:color w:val="222222"/>
          <w:sz w:val="24"/>
          <w:szCs w:val="24"/>
          <w:lang w:val="sr-Cyrl-CS"/>
        </w:rPr>
        <w:t xml:space="preserve">ПРЕДСЕДНИК </w:t>
      </w:r>
    </w:p>
    <w:p w14:paraId="5A5A9462" w14:textId="77777777" w:rsidR="00023053" w:rsidRPr="00B27245" w:rsidRDefault="00023053" w:rsidP="00023053">
      <w:pPr>
        <w:spacing w:after="0"/>
        <w:ind w:left="5760" w:firstLine="720"/>
        <w:rPr>
          <w:rFonts w:ascii="Times New Roman" w:hAnsi="Times New Roman" w:cs="Times New Roman"/>
          <w:color w:val="222222"/>
          <w:sz w:val="24"/>
          <w:szCs w:val="24"/>
          <w:lang w:val="sr-Cyrl-CS"/>
        </w:rPr>
      </w:pPr>
    </w:p>
    <w:p w14:paraId="59574A89" w14:textId="376D1DC2" w:rsidR="009E197A" w:rsidRPr="00B27245" w:rsidRDefault="00023053" w:rsidP="00023053">
      <w:pPr>
        <w:spacing w:after="0"/>
        <w:ind w:left="5760" w:firstLine="720"/>
        <w:rPr>
          <w:rFonts w:ascii="Times New Roman" w:hAnsi="Times New Roman" w:cs="Times New Roman"/>
          <w:color w:val="222222"/>
          <w:sz w:val="24"/>
          <w:szCs w:val="24"/>
          <w:lang w:val="sr-Cyrl-CS"/>
        </w:rPr>
      </w:pPr>
      <w:r w:rsidRPr="00B27245">
        <w:rPr>
          <w:rFonts w:ascii="Times New Roman" w:hAnsi="Times New Roman" w:cs="Times New Roman"/>
          <w:color w:val="222222"/>
          <w:sz w:val="24"/>
          <w:szCs w:val="24"/>
          <w:lang w:val="sr-Cyrl-CS"/>
        </w:rPr>
        <w:t xml:space="preserve">           </w:t>
      </w:r>
      <w:r w:rsidR="009E197A" w:rsidRPr="00B27245">
        <w:rPr>
          <w:rFonts w:ascii="Times New Roman" w:hAnsi="Times New Roman" w:cs="Times New Roman"/>
          <w:color w:val="222222"/>
          <w:sz w:val="24"/>
          <w:szCs w:val="24"/>
          <w:lang w:val="sr-Cyrl-CS"/>
        </w:rPr>
        <w:t>Ана Брнабић</w:t>
      </w:r>
    </w:p>
    <w:p w14:paraId="04D34E41" w14:textId="77777777" w:rsidR="00EC7019" w:rsidRPr="00B27245" w:rsidRDefault="00EC7019" w:rsidP="009E197A">
      <w:pPr>
        <w:jc w:val="center"/>
        <w:rPr>
          <w:rFonts w:ascii="Times New Roman" w:hAnsi="Times New Roman" w:cs="Times New Roman"/>
          <w:color w:val="222222"/>
          <w:sz w:val="24"/>
          <w:szCs w:val="24"/>
          <w:lang w:val="sr-Cyrl-CS"/>
        </w:rPr>
      </w:pPr>
    </w:p>
    <w:sectPr w:rsidR="00EC7019" w:rsidRPr="00B27245" w:rsidSect="007E1B48">
      <w:footerReference w:type="default" r:id="rId13"/>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5672B" w14:textId="77777777" w:rsidR="008D5F21" w:rsidRDefault="008D5F21" w:rsidP="00DF6C5E">
      <w:pPr>
        <w:spacing w:after="0" w:line="240" w:lineRule="auto"/>
      </w:pPr>
      <w:r>
        <w:separator/>
      </w:r>
    </w:p>
  </w:endnote>
  <w:endnote w:type="continuationSeparator" w:id="0">
    <w:p w14:paraId="23C54150" w14:textId="77777777" w:rsidR="008D5F21" w:rsidRDefault="008D5F21" w:rsidP="00DF6C5E">
      <w:pPr>
        <w:spacing w:after="0" w:line="240" w:lineRule="auto"/>
      </w:pPr>
      <w:r>
        <w:continuationSeparator/>
      </w:r>
    </w:p>
  </w:endnote>
  <w:endnote w:type="continuationNotice" w:id="1">
    <w:p w14:paraId="572CC9BB" w14:textId="77777777" w:rsidR="008D5F21" w:rsidRDefault="008D5F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613922"/>
      <w:docPartObj>
        <w:docPartGallery w:val="Page Numbers (Bottom of Page)"/>
        <w:docPartUnique/>
      </w:docPartObj>
    </w:sdtPr>
    <w:sdtEndPr>
      <w:rPr>
        <w:noProof/>
      </w:rPr>
    </w:sdtEndPr>
    <w:sdtContent>
      <w:p w14:paraId="0B2CECBF" w14:textId="3712AEEB" w:rsidR="0083182E" w:rsidRDefault="0083182E">
        <w:pPr>
          <w:pStyle w:val="Footer"/>
          <w:jc w:val="center"/>
        </w:pPr>
        <w:r>
          <w:fldChar w:fldCharType="begin"/>
        </w:r>
        <w:r>
          <w:instrText xml:space="preserve"> PAGE   \* MERGEFORMAT </w:instrText>
        </w:r>
        <w:r>
          <w:fldChar w:fldCharType="separate"/>
        </w:r>
        <w:r w:rsidR="00971B83">
          <w:rPr>
            <w:noProof/>
          </w:rPr>
          <w:t>3</w:t>
        </w:r>
        <w:r>
          <w:rPr>
            <w:noProof/>
          </w:rPr>
          <w:fldChar w:fldCharType="end"/>
        </w:r>
      </w:p>
    </w:sdtContent>
  </w:sdt>
  <w:p w14:paraId="78EDFD9E" w14:textId="77777777" w:rsidR="0083182E" w:rsidRDefault="008318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C89A4" w14:textId="77777777" w:rsidR="008D5F21" w:rsidRDefault="008D5F21" w:rsidP="00DF6C5E">
      <w:pPr>
        <w:spacing w:after="0" w:line="240" w:lineRule="auto"/>
      </w:pPr>
      <w:r>
        <w:separator/>
      </w:r>
    </w:p>
  </w:footnote>
  <w:footnote w:type="continuationSeparator" w:id="0">
    <w:p w14:paraId="618BD0A4" w14:textId="77777777" w:rsidR="008D5F21" w:rsidRDefault="008D5F21" w:rsidP="00DF6C5E">
      <w:pPr>
        <w:spacing w:after="0" w:line="240" w:lineRule="auto"/>
      </w:pPr>
      <w:r>
        <w:continuationSeparator/>
      </w:r>
    </w:p>
  </w:footnote>
  <w:footnote w:type="continuationNotice" w:id="1">
    <w:p w14:paraId="08CBDA6C" w14:textId="77777777" w:rsidR="008D5F21" w:rsidRDefault="008D5F21">
      <w:pPr>
        <w:spacing w:after="0" w:line="240" w:lineRule="auto"/>
      </w:pPr>
    </w:p>
  </w:footnote>
  <w:footnote w:id="2">
    <w:p w14:paraId="631FC170" w14:textId="0D5E80E4" w:rsidR="0083182E" w:rsidRPr="00A12D44" w:rsidRDefault="0083182E" w:rsidP="00DF6C5E">
      <w:pPr>
        <w:spacing w:line="240" w:lineRule="auto"/>
        <w:ind w:left="-15" w:right="112" w:firstLine="360"/>
        <w:jc w:val="both"/>
        <w:rPr>
          <w:rFonts w:ascii="Times New Roman" w:hAnsi="Times New Roman" w:cs="Times New Roman"/>
          <w:lang w:val="sr-Cyrl-RS"/>
        </w:rPr>
      </w:pPr>
      <w:r w:rsidRPr="00A12D44">
        <w:rPr>
          <w:rStyle w:val="FootnoteReference"/>
          <w:rFonts w:ascii="Times New Roman" w:hAnsi="Times New Roman" w:cs="Times New Roman"/>
          <w:sz w:val="20"/>
          <w:szCs w:val="20"/>
          <w:lang w:val="sr-Cyrl-RS"/>
        </w:rPr>
        <w:footnoteRef/>
      </w:r>
      <w:r w:rsidRPr="00A12D44">
        <w:rPr>
          <w:rFonts w:ascii="Times New Roman" w:hAnsi="Times New Roman" w:cs="Times New Roman"/>
          <w:sz w:val="20"/>
          <w:szCs w:val="20"/>
          <w:lang w:val="sr-Cyrl-RS"/>
        </w:rPr>
        <w:t xml:space="preserve"> Проблематични кредит дефинисан је Одлуком о извештавању банака („Службени гласник РС”, бр. 125/14</w:t>
      </w:r>
      <w:r>
        <w:rPr>
          <w:rFonts w:ascii="Times New Roman" w:hAnsi="Times New Roman" w:cs="Times New Roman"/>
          <w:sz w:val="20"/>
          <w:szCs w:val="20"/>
          <w:lang w:val="sr-Cyrl-RS"/>
        </w:rPr>
        <w:t>, 4/15, 111/15, 61/16 и 69/</w:t>
      </w:r>
      <w:r w:rsidRPr="00A12D44">
        <w:rPr>
          <w:rFonts w:ascii="Times New Roman" w:hAnsi="Times New Roman" w:cs="Times New Roman"/>
          <w:sz w:val="20"/>
          <w:szCs w:val="20"/>
          <w:lang w:val="sr-Cyrl-RS"/>
        </w:rPr>
        <w:t>16) – Прилог 8 (НПЛ 1) и Одлуком о класификацији билансне активе и ванбилансних став</w:t>
      </w:r>
      <w:r>
        <w:rPr>
          <w:rFonts w:ascii="Times New Roman" w:hAnsi="Times New Roman" w:cs="Times New Roman"/>
          <w:sz w:val="20"/>
          <w:szCs w:val="20"/>
          <w:lang w:val="sr-Cyrl-RS"/>
        </w:rPr>
        <w:t>ку банке  („Службени гласник РС”, бр. 94/11, 57/12, 123/12, 43/13, 113/13, 135/14, 25/15, 38/15, 61/16, 69/16 и 91/</w:t>
      </w:r>
      <w:r w:rsidRPr="00A12D44">
        <w:rPr>
          <w:rFonts w:ascii="Times New Roman" w:hAnsi="Times New Roman" w:cs="Times New Roman"/>
          <w:sz w:val="20"/>
          <w:szCs w:val="20"/>
          <w:lang w:val="sr-Cyrl-RS"/>
        </w:rPr>
        <w:t>16) као стање укупног преосталог дуга појединачног кредита (укључујући и износ доцње):  (1) по основу кога је дужник у доцњи (на начин предвиђен одлуком којом се уређује класификација билансне активе и ванбилансних ставки банке) дуже од 90 дана, или по основу плаћања камате или главнице, (2) по коме је камата у висини тромесечног износа (и виша) приписана дугу, капитализована, рефинансирана или је њено плаћање одложено, (3) по основу ког дужник касни мање од 90 дана, али је банка проценила да је способност дужника да отплати дуг погоршана и да је отплата дуга у пуном износу доведена у питање</w:t>
      </w:r>
      <w:r w:rsidRPr="00A12D44">
        <w:rPr>
          <w:rFonts w:ascii="Times New Roman" w:hAnsi="Times New Roman" w:cs="Times New Roman"/>
          <w:szCs w:val="24"/>
          <w:lang w:val="sr-Cyrl-RS"/>
        </w:rPr>
        <w:t>.</w:t>
      </w:r>
    </w:p>
  </w:footnote>
  <w:footnote w:id="3">
    <w:p w14:paraId="544CCC57" w14:textId="77777777" w:rsidR="0083182E" w:rsidRPr="00A12D44" w:rsidRDefault="0083182E" w:rsidP="00954F4D">
      <w:pPr>
        <w:pStyle w:val="FootnoteText"/>
        <w:jc w:val="both"/>
        <w:rPr>
          <w:rFonts w:ascii="Times New Roman" w:hAnsi="Times New Roman" w:cs="Times New Roman"/>
          <w:lang w:val="sr-Cyrl-RS"/>
        </w:rPr>
      </w:pPr>
      <w:r w:rsidRPr="00A12D44">
        <w:rPr>
          <w:rStyle w:val="FootnoteReference"/>
          <w:rFonts w:ascii="Times New Roman" w:hAnsi="Times New Roman" w:cs="Times New Roman"/>
          <w:lang w:val="sr-Cyrl-RS"/>
        </w:rPr>
        <w:footnoteRef/>
      </w:r>
      <w:r w:rsidRPr="00A12D44">
        <w:rPr>
          <w:rFonts w:ascii="Times New Roman" w:hAnsi="Times New Roman" w:cs="Times New Roman"/>
          <w:lang w:val="sr-Cyrl-RS"/>
        </w:rPr>
        <w:t xml:space="preserve"> Приказани подаци и информације о кретањима нивоа проблематичних кредита наведени су према Извештају о инфлацији НБС за новембар 2018. године, као и на основу Информације о НПЛ кредитима из новембра 2018. године,  која је достављена Министарству финансија од стране НБС-а.</w:t>
      </w:r>
    </w:p>
  </w:footnote>
  <w:footnote w:id="4">
    <w:p w14:paraId="613F542C" w14:textId="4E9D2DA4" w:rsidR="0083182E" w:rsidRPr="00A12D44" w:rsidRDefault="0083182E" w:rsidP="0059249F">
      <w:pPr>
        <w:pStyle w:val="FootnoteText"/>
        <w:jc w:val="both"/>
        <w:rPr>
          <w:rFonts w:ascii="Times New Roman" w:hAnsi="Times New Roman" w:cs="Times New Roman"/>
          <w:lang w:val="sr-Cyrl-RS"/>
        </w:rPr>
      </w:pPr>
      <w:r w:rsidRPr="00A12D44">
        <w:rPr>
          <w:rFonts w:ascii="Times New Roman" w:hAnsi="Times New Roman" w:cs="Times New Roman"/>
          <w:lang w:val="sr-Cyrl-RS"/>
        </w:rPr>
        <w:footnoteRef/>
      </w:r>
      <w:r w:rsidRPr="00A12D44">
        <w:rPr>
          <w:rFonts w:ascii="Times New Roman" w:hAnsi="Times New Roman" w:cs="Times New Roman"/>
          <w:lang w:val="sr-Cyrl-RS"/>
        </w:rPr>
        <w:t xml:space="preserve"> </w:t>
      </w:r>
      <w:r w:rsidRPr="00EF4241">
        <w:rPr>
          <w:rFonts w:ascii="Times New Roman" w:hAnsi="Times New Roman" w:cs="Times New Roman"/>
          <w:lang w:val="sr-Cyrl-RS"/>
        </w:rPr>
        <w:t>Овај износ уступања, тј</w:t>
      </w:r>
      <w:r>
        <w:rPr>
          <w:rFonts w:ascii="Times New Roman" w:hAnsi="Times New Roman" w:cs="Times New Roman"/>
          <w:lang w:val="sr-Cyrl-RS"/>
        </w:rPr>
        <w:t>.</w:t>
      </w:r>
      <w:r w:rsidRPr="00EF4241">
        <w:rPr>
          <w:rFonts w:ascii="Times New Roman" w:hAnsi="Times New Roman" w:cs="Times New Roman"/>
          <w:lang w:val="sr-Cyrl-RS"/>
        </w:rPr>
        <w:t xml:space="preserve"> продаје, односи се само на потраживања која су  продата лицима ван банкарског сектора. Продаје које су вршене лицима унутар банкарског сектора (у укупном износу од 1,1 милијарде динара), као и ванбилансне продаје, не утичу значајно на ниво проблематичних кредита, али указују на функционисање НПЛ тржишта у Србији.</w:t>
      </w:r>
    </w:p>
  </w:footnote>
  <w:footnote w:id="5">
    <w:p w14:paraId="558D03E9" w14:textId="77777777" w:rsidR="0083182E" w:rsidRPr="00A12D44" w:rsidRDefault="0083182E" w:rsidP="0059249F">
      <w:pPr>
        <w:pStyle w:val="FootnoteText"/>
        <w:jc w:val="both"/>
        <w:rPr>
          <w:rFonts w:ascii="Times New Roman" w:hAnsi="Times New Roman" w:cs="Times New Roman"/>
          <w:lang w:val="sr-Cyrl-RS"/>
        </w:rPr>
      </w:pPr>
      <w:r w:rsidRPr="00A12D44">
        <w:rPr>
          <w:rFonts w:ascii="Times New Roman" w:hAnsi="Times New Roman" w:cs="Times New Roman"/>
          <w:lang w:val="sr-Cyrl-RS"/>
        </w:rPr>
        <w:footnoteRef/>
      </w:r>
      <w:r w:rsidRPr="00A12D44">
        <w:rPr>
          <w:rFonts w:ascii="Times New Roman" w:hAnsi="Times New Roman" w:cs="Times New Roman"/>
          <w:lang w:val="sr-Cyrl-RS"/>
        </w:rPr>
        <w:t xml:space="preserve"> Банкарски сектор у Србији, Извештај за прво тромесечје 2018. године, НБС</w:t>
      </w:r>
    </w:p>
  </w:footnote>
  <w:footnote w:id="6">
    <w:p w14:paraId="1DDBD903" w14:textId="5259B40D" w:rsidR="0083182E" w:rsidRPr="00A12D44" w:rsidRDefault="0083182E" w:rsidP="005A67B4">
      <w:pPr>
        <w:pStyle w:val="FootnoteText"/>
        <w:jc w:val="both"/>
        <w:rPr>
          <w:rFonts w:ascii="Times New Roman" w:hAnsi="Times New Roman" w:cs="Times New Roman"/>
          <w:lang w:val="sr-Cyrl-RS"/>
        </w:rPr>
      </w:pPr>
      <w:r w:rsidRPr="00A12D44">
        <w:rPr>
          <w:rStyle w:val="FootnoteReference"/>
          <w:rFonts w:ascii="Times New Roman" w:hAnsi="Times New Roman" w:cs="Times New Roman"/>
          <w:lang w:val="sr-Cyrl-RS"/>
        </w:rPr>
        <w:footnoteRef/>
      </w:r>
      <w:r w:rsidRPr="00A12D44">
        <w:rPr>
          <w:rFonts w:ascii="Times New Roman" w:hAnsi="Times New Roman" w:cs="Times New Roman"/>
          <w:lang w:val="sr-Cyrl-RS"/>
        </w:rPr>
        <w:t xml:space="preserve"> </w:t>
      </w:r>
      <w:r w:rsidRPr="00A12D44">
        <w:rPr>
          <w:rFonts w:ascii="Times New Roman" w:hAnsi="Times New Roman" w:cs="Times New Roman"/>
          <w:bCs/>
          <w:lang w:val="sr-Cyrl-RS"/>
        </w:rPr>
        <w:t xml:space="preserve">Потраживањима преузетим од банака у стечају </w:t>
      </w:r>
      <w:r w:rsidRPr="00A12D44">
        <w:rPr>
          <w:rFonts w:ascii="Times New Roman" w:hAnsi="Times New Roman" w:cs="Times New Roman"/>
          <w:lang w:val="sr-Cyrl-RS"/>
        </w:rPr>
        <w:t>на основу Закона о регулисању односа Републике Србије и банака у стечају по основу преузетих иностраних кред</w:t>
      </w:r>
      <w:r>
        <w:rPr>
          <w:rFonts w:ascii="Times New Roman" w:hAnsi="Times New Roman" w:cs="Times New Roman"/>
          <w:lang w:val="sr-Cyrl-RS"/>
        </w:rPr>
        <w:t>ита, односно зајмова („Службени гласник РС”, број</w:t>
      </w:r>
      <w:r w:rsidRPr="00A12D44">
        <w:rPr>
          <w:rFonts w:ascii="Times New Roman" w:hAnsi="Times New Roman" w:cs="Times New Roman"/>
          <w:lang w:val="sr-Cyrl-RS"/>
        </w:rPr>
        <w:t xml:space="preserve"> 45/05)</w:t>
      </w:r>
      <w:r>
        <w:rPr>
          <w:rFonts w:ascii="Times New Roman" w:hAnsi="Times New Roman" w:cs="Times New Roman"/>
          <w:lang w:val="sr-Cyrl-RS"/>
        </w:rPr>
        <w:t>, односно потраживања преузетих на основу већег броја одлука (закључака) Владе</w:t>
      </w:r>
      <w:r w:rsidRPr="00A12D44">
        <w:rPr>
          <w:rFonts w:ascii="Times New Roman" w:hAnsi="Times New Roman" w:cs="Times New Roman"/>
          <w:lang w:val="sr-Cyrl-RS"/>
        </w:rPr>
        <w:t>.</w:t>
      </w:r>
    </w:p>
  </w:footnote>
  <w:footnote w:id="7">
    <w:p w14:paraId="66C21C6A" w14:textId="5DB7FA0E" w:rsidR="0083182E" w:rsidRPr="002E08E7" w:rsidRDefault="0083182E" w:rsidP="001373E4">
      <w:pPr>
        <w:jc w:val="both"/>
        <w:rPr>
          <w:rFonts w:ascii="Times New Roman" w:hAnsi="Times New Roman" w:cs="Times New Roman"/>
          <w:sz w:val="20"/>
          <w:szCs w:val="20"/>
          <w:lang w:val="sr-Cyrl-RS"/>
        </w:rPr>
      </w:pPr>
      <w:r w:rsidRPr="002E08E7">
        <w:rPr>
          <w:rStyle w:val="FootnoteReference"/>
          <w:rFonts w:ascii="Times New Roman" w:hAnsi="Times New Roman" w:cs="Times New Roman"/>
          <w:sz w:val="20"/>
          <w:szCs w:val="20"/>
        </w:rPr>
        <w:footnoteRef/>
      </w:r>
      <w:r w:rsidRPr="002E08E7">
        <w:rPr>
          <w:rFonts w:ascii="Times New Roman" w:hAnsi="Times New Roman" w:cs="Times New Roman"/>
          <w:sz w:val="20"/>
          <w:szCs w:val="20"/>
        </w:rPr>
        <w:t xml:space="preserve"> </w:t>
      </w:r>
      <w:r w:rsidRPr="002E08E7">
        <w:rPr>
          <w:rFonts w:ascii="Times New Roman" w:hAnsi="Times New Roman" w:cs="Times New Roman"/>
          <w:sz w:val="20"/>
          <w:szCs w:val="20"/>
          <w:lang w:val="sr-Cyrl-RS"/>
        </w:rPr>
        <w:t>Сагласно одредбама члана 2. Закона о Народној бан</w:t>
      </w:r>
      <w:r>
        <w:rPr>
          <w:rFonts w:ascii="Times New Roman" w:hAnsi="Times New Roman" w:cs="Times New Roman"/>
          <w:sz w:val="20"/>
          <w:szCs w:val="20"/>
          <w:lang w:val="sr-Cyrl-RS"/>
        </w:rPr>
        <w:t>ци Србије („Службени гласник РС”</w:t>
      </w:r>
      <w:r w:rsidRPr="002E08E7">
        <w:rPr>
          <w:rFonts w:ascii="Times New Roman" w:hAnsi="Times New Roman" w:cs="Times New Roman"/>
          <w:sz w:val="20"/>
          <w:szCs w:val="20"/>
          <w:lang w:val="sr-Cyrl-RS"/>
        </w:rPr>
        <w:t>, бр. 72/03, 55/04, 85/05-др. закон, 44/10, 76/12, 106/12, 14/15, 40/15-УС и 44/18) и законом прописане независности НБС, препоруке ове студије не могу бити обавезујуће за НБС.</w:t>
      </w:r>
    </w:p>
    <w:p w14:paraId="702E8535" w14:textId="2A62A77A" w:rsidR="0083182E" w:rsidRPr="00A223C0" w:rsidRDefault="0083182E">
      <w:pPr>
        <w:pStyle w:val="FootnoteText"/>
        <w:rPr>
          <w:lang w:val="sr-Cyrl-RS"/>
        </w:rPr>
      </w:pPr>
    </w:p>
  </w:footnote>
  <w:footnote w:id="8">
    <w:p w14:paraId="77B686BB" w14:textId="401F04B9" w:rsidR="0083182E" w:rsidRPr="00577AF6" w:rsidRDefault="0083182E" w:rsidP="00577AF6">
      <w:pPr>
        <w:pStyle w:val="Default"/>
        <w:spacing w:line="276" w:lineRule="auto"/>
        <w:jc w:val="both"/>
        <w:rPr>
          <w:sz w:val="20"/>
          <w:szCs w:val="20"/>
          <w:lang w:val="sr-Cyrl-RS"/>
        </w:rPr>
      </w:pPr>
      <w:r>
        <w:rPr>
          <w:rStyle w:val="FootnoteReference"/>
        </w:rPr>
        <w:footnoteRef/>
      </w:r>
      <w:r>
        <w:t xml:space="preserve"> </w:t>
      </w:r>
      <w:r w:rsidRPr="00577AF6">
        <w:rPr>
          <w:sz w:val="20"/>
          <w:szCs w:val="20"/>
          <w:lang w:val="sr-Cyrl-RS"/>
        </w:rPr>
        <w:t>Directive 2011/7/EU of the European Parliament and of the Council of 16 February 2011 on combating late payment in commercial transactions – Late Payment Directive, OJ L 48, 23.2.201 1. Kључне одредбе директиве се односе на: 1)  утврђивање рока плаћања од 60 дана у случају трансакција које обављају привредни субјекти унутар приватног сектора, осим ако се стране не сагласе другачије, при чему такви рокови нису изразито неправични; 2) ограничавање рокова плаћања у случају када субјекти јавног сектора набављају робе и услуге од привредних субј</w:t>
      </w:r>
      <w:r>
        <w:rPr>
          <w:sz w:val="20"/>
          <w:szCs w:val="20"/>
          <w:lang w:val="sr-Cyrl-RS"/>
        </w:rPr>
        <w:t xml:space="preserve">еката унутар приватног сектора </w:t>
      </w:r>
      <w:r w:rsidRPr="00577AF6">
        <w:rPr>
          <w:sz w:val="20"/>
          <w:szCs w:val="20"/>
          <w:lang w:val="sr-Cyrl-RS"/>
        </w:rPr>
        <w:t>на 30 дана, осим у изузетним околностима на 60 дана; 3) субјекти могу да захтевају плаћање камате у случају доцњи, као и износ од EUR €40 као надокнаду за трошкове намирења, али и накнаду за остале трошкове намирења; 4) Увећање каматне стопе на закаснело плаћање за барем 8 процентних поена изнад референтне каматне стопе; 5) Поступци извршења и намирења у случају неспорних потраживања треба да омогући да се на основу извршног наслова у року од 90 дана оконча поступак.</w:t>
      </w:r>
    </w:p>
  </w:footnote>
  <w:footnote w:id="9">
    <w:p w14:paraId="7CC9705E" w14:textId="3BDD095A" w:rsidR="0083182E" w:rsidRPr="00577AF6" w:rsidRDefault="0083182E">
      <w:pPr>
        <w:pStyle w:val="FootnoteText"/>
        <w:rPr>
          <w:rFonts w:ascii="Times New Roman" w:hAnsi="Times New Roman" w:cs="Times New Roman"/>
          <w:lang w:val="sr-Cyrl-RS"/>
        </w:rPr>
      </w:pPr>
      <w:r w:rsidRPr="00577AF6">
        <w:rPr>
          <w:rStyle w:val="FootnoteReference"/>
          <w:rFonts w:ascii="Times New Roman" w:hAnsi="Times New Roman" w:cs="Times New Roman"/>
        </w:rPr>
        <w:footnoteRef/>
      </w:r>
      <w:r w:rsidRPr="00577AF6">
        <w:rPr>
          <w:rFonts w:ascii="Times New Roman" w:hAnsi="Times New Roman" w:cs="Times New Roman"/>
        </w:rPr>
        <w:t xml:space="preserve"> </w:t>
      </w:r>
      <w:r w:rsidRPr="00577AF6">
        <w:rPr>
          <w:rFonts w:ascii="Times New Roman" w:hAnsi="Times New Roman" w:cs="Times New Roman"/>
          <w:lang w:val="sr-Cyrl-RS"/>
        </w:rPr>
        <w:t>В. Агенција за привредне регистре, Годишњи билтен финансијских извештаја, Београд, април 2017.</w:t>
      </w:r>
    </w:p>
  </w:footnote>
  <w:footnote w:id="10">
    <w:p w14:paraId="7B208722" w14:textId="027DD825" w:rsidR="0083182E" w:rsidRPr="00577AF6" w:rsidRDefault="0083182E" w:rsidP="00577AF6">
      <w:pPr>
        <w:autoSpaceDE w:val="0"/>
        <w:autoSpaceDN w:val="0"/>
        <w:adjustRightInd w:val="0"/>
        <w:rPr>
          <w:rFonts w:ascii="Times New Roman" w:hAnsi="Times New Roman" w:cs="Times New Roman"/>
          <w:sz w:val="20"/>
          <w:szCs w:val="20"/>
          <w:lang w:val="sr-Cyrl-RS"/>
        </w:rPr>
      </w:pPr>
      <w:r w:rsidRPr="00577AF6">
        <w:rPr>
          <w:rStyle w:val="FootnoteReference"/>
          <w:rFonts w:ascii="Times New Roman" w:hAnsi="Times New Roman" w:cs="Times New Roman"/>
          <w:sz w:val="20"/>
          <w:szCs w:val="20"/>
        </w:rPr>
        <w:footnoteRef/>
      </w:r>
      <w:r w:rsidRPr="00577AF6">
        <w:rPr>
          <w:rFonts w:ascii="Times New Roman" w:hAnsi="Times New Roman" w:cs="Times New Roman"/>
          <w:sz w:val="20"/>
          <w:szCs w:val="20"/>
        </w:rPr>
        <w:t xml:space="preserve"> </w:t>
      </w:r>
      <w:r w:rsidRPr="00577AF6">
        <w:rPr>
          <w:rFonts w:ascii="Times New Roman" w:hAnsi="Times New Roman" w:cs="Times New Roman"/>
          <w:sz w:val="20"/>
          <w:szCs w:val="20"/>
          <w:lang w:val="sr-Cyrl-RS"/>
        </w:rPr>
        <w:t xml:space="preserve">В. Deutsche Bundesbank, </w:t>
      </w:r>
      <w:r w:rsidRPr="00577AF6">
        <w:rPr>
          <w:rFonts w:ascii="Times New Roman" w:hAnsi="Times New Roman" w:cs="Times New Roman"/>
          <w:sz w:val="20"/>
          <w:szCs w:val="20"/>
        </w:rPr>
        <w:t>The importance of trade credit for</w:t>
      </w:r>
      <w:r w:rsidRPr="00577AF6">
        <w:rPr>
          <w:rFonts w:ascii="Times New Roman" w:hAnsi="Times New Roman" w:cs="Times New Roman"/>
          <w:sz w:val="20"/>
          <w:szCs w:val="20"/>
          <w:lang w:val="sr-Cyrl-RS"/>
        </w:rPr>
        <w:t xml:space="preserve"> </w:t>
      </w:r>
      <w:r w:rsidRPr="00577AF6">
        <w:rPr>
          <w:rFonts w:ascii="Times New Roman" w:hAnsi="Times New Roman" w:cs="Times New Roman"/>
          <w:sz w:val="20"/>
          <w:szCs w:val="20"/>
        </w:rPr>
        <w:t>corporate</w:t>
      </w:r>
      <w:r w:rsidRPr="00577AF6">
        <w:rPr>
          <w:rFonts w:ascii="Times New Roman" w:hAnsi="Times New Roman" w:cs="Times New Roman"/>
          <w:sz w:val="20"/>
          <w:szCs w:val="20"/>
          <w:lang w:val="sr-Cyrl-RS"/>
        </w:rPr>
        <w:t xml:space="preserve"> </w:t>
      </w:r>
      <w:r w:rsidRPr="00577AF6">
        <w:rPr>
          <w:rFonts w:ascii="Times New Roman" w:hAnsi="Times New Roman" w:cs="Times New Roman"/>
          <w:sz w:val="20"/>
          <w:szCs w:val="20"/>
        </w:rPr>
        <w:t>financing in Germany – evidence</w:t>
      </w:r>
      <w:r w:rsidRPr="00577AF6">
        <w:rPr>
          <w:rFonts w:ascii="Times New Roman" w:hAnsi="Times New Roman" w:cs="Times New Roman"/>
          <w:sz w:val="20"/>
          <w:szCs w:val="20"/>
          <w:lang w:val="sr-Cyrl-RS"/>
        </w:rPr>
        <w:t xml:space="preserve"> </w:t>
      </w:r>
      <w:r w:rsidRPr="00577AF6">
        <w:rPr>
          <w:rFonts w:ascii="Times New Roman" w:hAnsi="Times New Roman" w:cs="Times New Roman"/>
          <w:sz w:val="20"/>
          <w:szCs w:val="20"/>
        </w:rPr>
        <w:t>from financial statements statistics</w:t>
      </w:r>
      <w:r w:rsidRPr="00577AF6">
        <w:rPr>
          <w:rFonts w:ascii="Times New Roman" w:hAnsi="Times New Roman" w:cs="Times New Roman"/>
          <w:sz w:val="20"/>
          <w:szCs w:val="20"/>
          <w:lang w:val="sr-Cyrl-RS"/>
        </w:rPr>
        <w:t xml:space="preserve">, </w:t>
      </w:r>
      <w:r w:rsidRPr="00577AF6">
        <w:rPr>
          <w:rFonts w:ascii="Times New Roman" w:hAnsi="Times New Roman" w:cs="Times New Roman"/>
          <w:sz w:val="20"/>
          <w:szCs w:val="20"/>
        </w:rPr>
        <w:t>Monthly Report</w:t>
      </w:r>
      <w:r w:rsidRPr="00577AF6">
        <w:rPr>
          <w:rFonts w:ascii="Times New Roman" w:hAnsi="Times New Roman" w:cs="Times New Roman"/>
          <w:sz w:val="20"/>
          <w:szCs w:val="20"/>
          <w:lang w:val="sr-Cyrl-RS"/>
        </w:rPr>
        <w:t xml:space="preserve"> </w:t>
      </w:r>
      <w:r w:rsidRPr="00577AF6">
        <w:rPr>
          <w:rFonts w:ascii="Times New Roman" w:hAnsi="Times New Roman" w:cs="Times New Roman"/>
          <w:sz w:val="20"/>
          <w:szCs w:val="20"/>
        </w:rPr>
        <w:t>October 2012</w:t>
      </w:r>
      <w:r w:rsidRPr="00577AF6">
        <w:rPr>
          <w:rFonts w:ascii="Times New Roman" w:hAnsi="Times New Roman" w:cs="Times New Roman"/>
          <w:sz w:val="20"/>
          <w:szCs w:val="20"/>
          <w:lang w:val="sr-Cyrl-RS"/>
        </w:rPr>
        <w:t>, 51</w:t>
      </w:r>
    </w:p>
  </w:footnote>
  <w:footnote w:id="11">
    <w:p w14:paraId="69555F31" w14:textId="77777777" w:rsidR="0083182E" w:rsidRPr="00577AF6" w:rsidRDefault="0083182E" w:rsidP="00577AF6">
      <w:pPr>
        <w:pStyle w:val="FootnoteText"/>
        <w:rPr>
          <w:rFonts w:ascii="Times New Roman" w:hAnsi="Times New Roman" w:cs="Times New Roman"/>
          <w:lang w:val="sr-Latn-RS"/>
        </w:rPr>
      </w:pPr>
      <w:r w:rsidRPr="00577AF6">
        <w:rPr>
          <w:rStyle w:val="FootnoteReference"/>
          <w:rFonts w:ascii="Times New Roman" w:hAnsi="Times New Roman" w:cs="Times New Roman"/>
        </w:rPr>
        <w:footnoteRef/>
      </w:r>
      <w:r w:rsidRPr="00577AF6">
        <w:rPr>
          <w:rFonts w:ascii="Times New Roman" w:hAnsi="Times New Roman" w:cs="Times New Roman"/>
        </w:rPr>
        <w:t xml:space="preserve"> </w:t>
      </w:r>
      <w:r w:rsidRPr="00577AF6">
        <w:rPr>
          <w:rFonts w:ascii="Times New Roman" w:hAnsi="Times New Roman" w:cs="Times New Roman"/>
          <w:lang w:val="sr-Cyrl-RS"/>
        </w:rPr>
        <w:t>Приказани подаци односе се на пети талас истраживања које је спроведено за већи број земаља у периоду од 2012-2014. године.</w:t>
      </w:r>
      <w:r w:rsidRPr="00577AF6">
        <w:rPr>
          <w:rFonts w:ascii="Times New Roman" w:hAnsi="Times New Roman" w:cs="Times New Roman"/>
          <w:lang w:val="sr-Latn-RS"/>
        </w:rPr>
        <w:t xml:space="preserve"> </w:t>
      </w:r>
      <w:r w:rsidRPr="00577AF6">
        <w:rPr>
          <w:rFonts w:ascii="Times New Roman" w:hAnsi="Times New Roman" w:cs="Times New Roman"/>
          <w:lang w:val="sr-Cyrl-RS"/>
        </w:rPr>
        <w:t xml:space="preserve">База података на основу које су приказани подаци доступна је на </w:t>
      </w:r>
      <w:hyperlink r:id="rId1" w:history="1">
        <w:r w:rsidRPr="00577AF6">
          <w:rPr>
            <w:rStyle w:val="Hyperlink"/>
            <w:rFonts w:ascii="Times New Roman" w:hAnsi="Times New Roman" w:cs="Times New Roman"/>
            <w:lang w:val="sr-Cyrl-RS"/>
          </w:rPr>
          <w:t>http://ebrd-beeps.com/data/</w:t>
        </w:r>
      </w:hyperlink>
      <w:r w:rsidRPr="00577AF6">
        <w:rPr>
          <w:rFonts w:ascii="Times New Roman" w:hAnsi="Times New Roman" w:cs="Times New Roman"/>
          <w:lang w:val="sr-Latn-RS"/>
        </w:rPr>
        <w:t xml:space="preserve"> </w:t>
      </w:r>
    </w:p>
    <w:p w14:paraId="5F7F94DC" w14:textId="604F7F7C" w:rsidR="0083182E" w:rsidRPr="00577AF6" w:rsidRDefault="0083182E">
      <w:pPr>
        <w:pStyle w:val="FootnoteText"/>
        <w:rPr>
          <w:rFonts w:ascii="Times New Roman" w:hAnsi="Times New Roman" w:cs="Times New Roman"/>
          <w:lang w:val="sr-Cyrl-RS"/>
        </w:rPr>
      </w:pPr>
    </w:p>
  </w:footnote>
  <w:footnote w:id="12">
    <w:p w14:paraId="4C2E970A" w14:textId="77777777" w:rsidR="0083182E" w:rsidRPr="00982768" w:rsidRDefault="0083182E" w:rsidP="00982768">
      <w:pPr>
        <w:spacing w:line="276" w:lineRule="auto"/>
        <w:jc w:val="both"/>
        <w:rPr>
          <w:rFonts w:ascii="Arial Narrow" w:hAnsi="Arial Narrow"/>
          <w:sz w:val="20"/>
          <w:szCs w:val="20"/>
          <w:lang w:val="sr-Cyrl-RS"/>
        </w:rPr>
      </w:pPr>
      <w:r>
        <w:rPr>
          <w:rStyle w:val="FootnoteReference"/>
        </w:rPr>
        <w:footnoteRef/>
      </w:r>
      <w:r>
        <w:t xml:space="preserve"> </w:t>
      </w:r>
      <w:r w:rsidRPr="00982768">
        <w:rPr>
          <w:rFonts w:ascii="Arial Narrow" w:hAnsi="Arial Narrow"/>
          <w:sz w:val="20"/>
          <w:szCs w:val="20"/>
          <w:lang w:val="sr-Cyrl-RS"/>
        </w:rPr>
        <w:t>Intrum Justitia, European Payment Report, 2018</w:t>
      </w:r>
    </w:p>
    <w:p w14:paraId="32653200" w14:textId="77777777" w:rsidR="0083182E" w:rsidRPr="00982768" w:rsidRDefault="0083182E">
      <w:pPr>
        <w:pStyle w:val="FootnoteText"/>
        <w:rPr>
          <w:lang w:val="en-U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41804F"/>
    <w:multiLevelType w:val="hybridMultilevel"/>
    <w:tmpl w:val="23E22B5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147D5"/>
    <w:multiLevelType w:val="hybridMultilevel"/>
    <w:tmpl w:val="EA0A1C62"/>
    <w:lvl w:ilvl="0" w:tplc="2670E1D4">
      <w:start w:val="1"/>
      <w:numFmt w:val="bullet"/>
      <w:lvlText w:val="-"/>
      <w:lvlJc w:val="left"/>
      <w:pPr>
        <w:ind w:left="72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lvl w:ilvl="1" w:tplc="1F86CBA0">
      <w:start w:val="1"/>
      <w:numFmt w:val="bullet"/>
      <w:lvlText w:val="o"/>
      <w:lvlJc w:val="left"/>
      <w:pPr>
        <w:ind w:left="144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lvl w:ilvl="2" w:tplc="717AD498">
      <w:start w:val="1"/>
      <w:numFmt w:val="bullet"/>
      <w:lvlText w:val="▪"/>
      <w:lvlJc w:val="left"/>
      <w:pPr>
        <w:ind w:left="216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lvl w:ilvl="3" w:tplc="51B4F35C">
      <w:start w:val="1"/>
      <w:numFmt w:val="bullet"/>
      <w:lvlText w:val="•"/>
      <w:lvlJc w:val="left"/>
      <w:pPr>
        <w:ind w:left="288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lvl w:ilvl="4" w:tplc="BAF610FE">
      <w:start w:val="1"/>
      <w:numFmt w:val="bullet"/>
      <w:lvlText w:val="o"/>
      <w:lvlJc w:val="left"/>
      <w:pPr>
        <w:ind w:left="360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lvl w:ilvl="5" w:tplc="30103EA8">
      <w:start w:val="1"/>
      <w:numFmt w:val="bullet"/>
      <w:lvlText w:val="▪"/>
      <w:lvlJc w:val="left"/>
      <w:pPr>
        <w:ind w:left="432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lvl w:ilvl="6" w:tplc="11508FAE">
      <w:start w:val="1"/>
      <w:numFmt w:val="bullet"/>
      <w:lvlText w:val="•"/>
      <w:lvlJc w:val="left"/>
      <w:pPr>
        <w:ind w:left="504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lvl w:ilvl="7" w:tplc="6C42A526">
      <w:start w:val="1"/>
      <w:numFmt w:val="bullet"/>
      <w:lvlText w:val="o"/>
      <w:lvlJc w:val="left"/>
      <w:pPr>
        <w:ind w:left="576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lvl w:ilvl="8" w:tplc="279AB1F2">
      <w:start w:val="1"/>
      <w:numFmt w:val="bullet"/>
      <w:lvlText w:val="▪"/>
      <w:lvlJc w:val="left"/>
      <w:pPr>
        <w:ind w:left="6480" w:firstLine="0"/>
      </w:pPr>
      <w:rPr>
        <w:rFonts w:ascii="SimSun" w:eastAsia="SimSun" w:hAnsi="SimSun" w:cs="SimSu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48B7230"/>
    <w:multiLevelType w:val="hybridMultilevel"/>
    <w:tmpl w:val="BFF6B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214A1"/>
    <w:multiLevelType w:val="hybridMultilevel"/>
    <w:tmpl w:val="46D02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20796"/>
    <w:multiLevelType w:val="hybridMultilevel"/>
    <w:tmpl w:val="32DC898E"/>
    <w:lvl w:ilvl="0" w:tplc="4C502A6E">
      <w:start w:val="1"/>
      <w:numFmt w:val="decimal"/>
      <w:lvlText w:val="%1."/>
      <w:lvlJc w:val="left"/>
      <w:pPr>
        <w:ind w:left="1070" w:hanging="360"/>
      </w:p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5" w15:restartNumberingAfterBreak="0">
    <w:nsid w:val="0E8120F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B070F"/>
    <w:multiLevelType w:val="hybridMultilevel"/>
    <w:tmpl w:val="D56C3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E03FF9"/>
    <w:multiLevelType w:val="hybridMultilevel"/>
    <w:tmpl w:val="E7FA1914"/>
    <w:lvl w:ilvl="0" w:tplc="5670717E">
      <w:start w:val="1"/>
      <w:numFmt w:val="bullet"/>
      <w:lvlText w:val="•"/>
      <w:lvlJc w:val="left"/>
      <w:pPr>
        <w:tabs>
          <w:tab w:val="num" w:pos="720"/>
        </w:tabs>
        <w:ind w:left="720" w:hanging="360"/>
      </w:pPr>
      <w:rPr>
        <w:rFonts w:ascii="Arial" w:hAnsi="Arial" w:hint="default"/>
      </w:rPr>
    </w:lvl>
    <w:lvl w:ilvl="1" w:tplc="5F84E8F0" w:tentative="1">
      <w:start w:val="1"/>
      <w:numFmt w:val="bullet"/>
      <w:lvlText w:val="•"/>
      <w:lvlJc w:val="left"/>
      <w:pPr>
        <w:tabs>
          <w:tab w:val="num" w:pos="1440"/>
        </w:tabs>
        <w:ind w:left="1440" w:hanging="360"/>
      </w:pPr>
      <w:rPr>
        <w:rFonts w:ascii="Arial" w:hAnsi="Arial" w:hint="default"/>
      </w:rPr>
    </w:lvl>
    <w:lvl w:ilvl="2" w:tplc="F8160C12" w:tentative="1">
      <w:start w:val="1"/>
      <w:numFmt w:val="bullet"/>
      <w:lvlText w:val="•"/>
      <w:lvlJc w:val="left"/>
      <w:pPr>
        <w:tabs>
          <w:tab w:val="num" w:pos="2160"/>
        </w:tabs>
        <w:ind w:left="2160" w:hanging="360"/>
      </w:pPr>
      <w:rPr>
        <w:rFonts w:ascii="Arial" w:hAnsi="Arial" w:hint="default"/>
      </w:rPr>
    </w:lvl>
    <w:lvl w:ilvl="3" w:tplc="8C68175A" w:tentative="1">
      <w:start w:val="1"/>
      <w:numFmt w:val="bullet"/>
      <w:lvlText w:val="•"/>
      <w:lvlJc w:val="left"/>
      <w:pPr>
        <w:tabs>
          <w:tab w:val="num" w:pos="2880"/>
        </w:tabs>
        <w:ind w:left="2880" w:hanging="360"/>
      </w:pPr>
      <w:rPr>
        <w:rFonts w:ascii="Arial" w:hAnsi="Arial" w:hint="default"/>
      </w:rPr>
    </w:lvl>
    <w:lvl w:ilvl="4" w:tplc="3CC4BBD4" w:tentative="1">
      <w:start w:val="1"/>
      <w:numFmt w:val="bullet"/>
      <w:lvlText w:val="•"/>
      <w:lvlJc w:val="left"/>
      <w:pPr>
        <w:tabs>
          <w:tab w:val="num" w:pos="3600"/>
        </w:tabs>
        <w:ind w:left="3600" w:hanging="360"/>
      </w:pPr>
      <w:rPr>
        <w:rFonts w:ascii="Arial" w:hAnsi="Arial" w:hint="default"/>
      </w:rPr>
    </w:lvl>
    <w:lvl w:ilvl="5" w:tplc="41C69E58" w:tentative="1">
      <w:start w:val="1"/>
      <w:numFmt w:val="bullet"/>
      <w:lvlText w:val="•"/>
      <w:lvlJc w:val="left"/>
      <w:pPr>
        <w:tabs>
          <w:tab w:val="num" w:pos="4320"/>
        </w:tabs>
        <w:ind w:left="4320" w:hanging="360"/>
      </w:pPr>
      <w:rPr>
        <w:rFonts w:ascii="Arial" w:hAnsi="Arial" w:hint="default"/>
      </w:rPr>
    </w:lvl>
    <w:lvl w:ilvl="6" w:tplc="2B466A14" w:tentative="1">
      <w:start w:val="1"/>
      <w:numFmt w:val="bullet"/>
      <w:lvlText w:val="•"/>
      <w:lvlJc w:val="left"/>
      <w:pPr>
        <w:tabs>
          <w:tab w:val="num" w:pos="5040"/>
        </w:tabs>
        <w:ind w:left="5040" w:hanging="360"/>
      </w:pPr>
      <w:rPr>
        <w:rFonts w:ascii="Arial" w:hAnsi="Arial" w:hint="default"/>
      </w:rPr>
    </w:lvl>
    <w:lvl w:ilvl="7" w:tplc="F8E4E18E" w:tentative="1">
      <w:start w:val="1"/>
      <w:numFmt w:val="bullet"/>
      <w:lvlText w:val="•"/>
      <w:lvlJc w:val="left"/>
      <w:pPr>
        <w:tabs>
          <w:tab w:val="num" w:pos="5760"/>
        </w:tabs>
        <w:ind w:left="5760" w:hanging="360"/>
      </w:pPr>
      <w:rPr>
        <w:rFonts w:ascii="Arial" w:hAnsi="Arial" w:hint="default"/>
      </w:rPr>
    </w:lvl>
    <w:lvl w:ilvl="8" w:tplc="C792B1E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3B001E9"/>
    <w:multiLevelType w:val="hybridMultilevel"/>
    <w:tmpl w:val="CF18798E"/>
    <w:lvl w:ilvl="0" w:tplc="B484CAF8">
      <w:start w:val="1"/>
      <w:numFmt w:val="decimal"/>
      <w:lvlText w:val="%1."/>
      <w:lvlJc w:val="left"/>
      <w:pPr>
        <w:tabs>
          <w:tab w:val="num" w:pos="720"/>
        </w:tabs>
        <w:ind w:left="720" w:hanging="360"/>
      </w:pPr>
    </w:lvl>
    <w:lvl w:ilvl="1" w:tplc="10280BC4" w:tentative="1">
      <w:start w:val="1"/>
      <w:numFmt w:val="decimal"/>
      <w:lvlText w:val="%2."/>
      <w:lvlJc w:val="left"/>
      <w:pPr>
        <w:tabs>
          <w:tab w:val="num" w:pos="1440"/>
        </w:tabs>
        <w:ind w:left="1440" w:hanging="360"/>
      </w:pPr>
    </w:lvl>
    <w:lvl w:ilvl="2" w:tplc="BA48F5F6" w:tentative="1">
      <w:start w:val="1"/>
      <w:numFmt w:val="decimal"/>
      <w:lvlText w:val="%3."/>
      <w:lvlJc w:val="left"/>
      <w:pPr>
        <w:tabs>
          <w:tab w:val="num" w:pos="2160"/>
        </w:tabs>
        <w:ind w:left="2160" w:hanging="360"/>
      </w:pPr>
    </w:lvl>
    <w:lvl w:ilvl="3" w:tplc="9F10CF84" w:tentative="1">
      <w:start w:val="1"/>
      <w:numFmt w:val="decimal"/>
      <w:lvlText w:val="%4."/>
      <w:lvlJc w:val="left"/>
      <w:pPr>
        <w:tabs>
          <w:tab w:val="num" w:pos="2880"/>
        </w:tabs>
        <w:ind w:left="2880" w:hanging="360"/>
      </w:pPr>
    </w:lvl>
    <w:lvl w:ilvl="4" w:tplc="8B0EF9BC" w:tentative="1">
      <w:start w:val="1"/>
      <w:numFmt w:val="decimal"/>
      <w:lvlText w:val="%5."/>
      <w:lvlJc w:val="left"/>
      <w:pPr>
        <w:tabs>
          <w:tab w:val="num" w:pos="3600"/>
        </w:tabs>
        <w:ind w:left="3600" w:hanging="360"/>
      </w:pPr>
    </w:lvl>
    <w:lvl w:ilvl="5" w:tplc="4DB4624E" w:tentative="1">
      <w:start w:val="1"/>
      <w:numFmt w:val="decimal"/>
      <w:lvlText w:val="%6."/>
      <w:lvlJc w:val="left"/>
      <w:pPr>
        <w:tabs>
          <w:tab w:val="num" w:pos="4320"/>
        </w:tabs>
        <w:ind w:left="4320" w:hanging="360"/>
      </w:pPr>
    </w:lvl>
    <w:lvl w:ilvl="6" w:tplc="B56EC406" w:tentative="1">
      <w:start w:val="1"/>
      <w:numFmt w:val="decimal"/>
      <w:lvlText w:val="%7."/>
      <w:lvlJc w:val="left"/>
      <w:pPr>
        <w:tabs>
          <w:tab w:val="num" w:pos="5040"/>
        </w:tabs>
        <w:ind w:left="5040" w:hanging="360"/>
      </w:pPr>
    </w:lvl>
    <w:lvl w:ilvl="7" w:tplc="9C40D2AC" w:tentative="1">
      <w:start w:val="1"/>
      <w:numFmt w:val="decimal"/>
      <w:lvlText w:val="%8."/>
      <w:lvlJc w:val="left"/>
      <w:pPr>
        <w:tabs>
          <w:tab w:val="num" w:pos="5760"/>
        </w:tabs>
        <w:ind w:left="5760" w:hanging="360"/>
      </w:pPr>
    </w:lvl>
    <w:lvl w:ilvl="8" w:tplc="B1FCB176" w:tentative="1">
      <w:start w:val="1"/>
      <w:numFmt w:val="decimal"/>
      <w:lvlText w:val="%9."/>
      <w:lvlJc w:val="left"/>
      <w:pPr>
        <w:tabs>
          <w:tab w:val="num" w:pos="6480"/>
        </w:tabs>
        <w:ind w:left="6480" w:hanging="360"/>
      </w:pPr>
    </w:lvl>
  </w:abstractNum>
  <w:abstractNum w:abstractNumId="9" w15:restartNumberingAfterBreak="0">
    <w:nsid w:val="142E694F"/>
    <w:multiLevelType w:val="multilevel"/>
    <w:tmpl w:val="B46404A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E313A0"/>
    <w:multiLevelType w:val="hybridMultilevel"/>
    <w:tmpl w:val="2E76BD50"/>
    <w:lvl w:ilvl="0" w:tplc="36408490">
      <w:start w:val="1"/>
      <w:numFmt w:val="bullet"/>
      <w:lvlText w:val="–"/>
      <w:lvlJc w:val="left"/>
      <w:pPr>
        <w:ind w:left="720" w:hanging="360"/>
      </w:pPr>
      <w:rPr>
        <w:rFonts w:ascii="Tahoma" w:hAnsi="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1A402C94"/>
    <w:multiLevelType w:val="hybridMultilevel"/>
    <w:tmpl w:val="E1984A28"/>
    <w:lvl w:ilvl="0" w:tplc="6E8A10BE">
      <w:start w:val="1"/>
      <w:numFmt w:val="bullet"/>
      <w:lvlText w:val=""/>
      <w:lvlJc w:val="left"/>
      <w:pPr>
        <w:tabs>
          <w:tab w:val="num" w:pos="720"/>
        </w:tabs>
        <w:ind w:left="720" w:hanging="360"/>
      </w:pPr>
      <w:rPr>
        <w:rFonts w:ascii="Wingdings" w:hAnsi="Wingdings" w:hint="default"/>
      </w:rPr>
    </w:lvl>
    <w:lvl w:ilvl="1" w:tplc="CADC1768" w:tentative="1">
      <w:start w:val="1"/>
      <w:numFmt w:val="bullet"/>
      <w:lvlText w:val=""/>
      <w:lvlJc w:val="left"/>
      <w:pPr>
        <w:tabs>
          <w:tab w:val="num" w:pos="1440"/>
        </w:tabs>
        <w:ind w:left="1440" w:hanging="360"/>
      </w:pPr>
      <w:rPr>
        <w:rFonts w:ascii="Wingdings" w:hAnsi="Wingdings" w:hint="default"/>
      </w:rPr>
    </w:lvl>
    <w:lvl w:ilvl="2" w:tplc="7508336C" w:tentative="1">
      <w:start w:val="1"/>
      <w:numFmt w:val="bullet"/>
      <w:lvlText w:val=""/>
      <w:lvlJc w:val="left"/>
      <w:pPr>
        <w:tabs>
          <w:tab w:val="num" w:pos="2160"/>
        </w:tabs>
        <w:ind w:left="2160" w:hanging="360"/>
      </w:pPr>
      <w:rPr>
        <w:rFonts w:ascii="Wingdings" w:hAnsi="Wingdings" w:hint="default"/>
      </w:rPr>
    </w:lvl>
    <w:lvl w:ilvl="3" w:tplc="2C064864" w:tentative="1">
      <w:start w:val="1"/>
      <w:numFmt w:val="bullet"/>
      <w:lvlText w:val=""/>
      <w:lvlJc w:val="left"/>
      <w:pPr>
        <w:tabs>
          <w:tab w:val="num" w:pos="2880"/>
        </w:tabs>
        <w:ind w:left="2880" w:hanging="360"/>
      </w:pPr>
      <w:rPr>
        <w:rFonts w:ascii="Wingdings" w:hAnsi="Wingdings" w:hint="default"/>
      </w:rPr>
    </w:lvl>
    <w:lvl w:ilvl="4" w:tplc="A496C270" w:tentative="1">
      <w:start w:val="1"/>
      <w:numFmt w:val="bullet"/>
      <w:lvlText w:val=""/>
      <w:lvlJc w:val="left"/>
      <w:pPr>
        <w:tabs>
          <w:tab w:val="num" w:pos="3600"/>
        </w:tabs>
        <w:ind w:left="3600" w:hanging="360"/>
      </w:pPr>
      <w:rPr>
        <w:rFonts w:ascii="Wingdings" w:hAnsi="Wingdings" w:hint="default"/>
      </w:rPr>
    </w:lvl>
    <w:lvl w:ilvl="5" w:tplc="CFCEB700" w:tentative="1">
      <w:start w:val="1"/>
      <w:numFmt w:val="bullet"/>
      <w:lvlText w:val=""/>
      <w:lvlJc w:val="left"/>
      <w:pPr>
        <w:tabs>
          <w:tab w:val="num" w:pos="4320"/>
        </w:tabs>
        <w:ind w:left="4320" w:hanging="360"/>
      </w:pPr>
      <w:rPr>
        <w:rFonts w:ascii="Wingdings" w:hAnsi="Wingdings" w:hint="default"/>
      </w:rPr>
    </w:lvl>
    <w:lvl w:ilvl="6" w:tplc="0F5A5538" w:tentative="1">
      <w:start w:val="1"/>
      <w:numFmt w:val="bullet"/>
      <w:lvlText w:val=""/>
      <w:lvlJc w:val="left"/>
      <w:pPr>
        <w:tabs>
          <w:tab w:val="num" w:pos="5040"/>
        </w:tabs>
        <w:ind w:left="5040" w:hanging="360"/>
      </w:pPr>
      <w:rPr>
        <w:rFonts w:ascii="Wingdings" w:hAnsi="Wingdings" w:hint="default"/>
      </w:rPr>
    </w:lvl>
    <w:lvl w:ilvl="7" w:tplc="D2C8EA68" w:tentative="1">
      <w:start w:val="1"/>
      <w:numFmt w:val="bullet"/>
      <w:lvlText w:val=""/>
      <w:lvlJc w:val="left"/>
      <w:pPr>
        <w:tabs>
          <w:tab w:val="num" w:pos="5760"/>
        </w:tabs>
        <w:ind w:left="5760" w:hanging="360"/>
      </w:pPr>
      <w:rPr>
        <w:rFonts w:ascii="Wingdings" w:hAnsi="Wingdings" w:hint="default"/>
      </w:rPr>
    </w:lvl>
    <w:lvl w:ilvl="8" w:tplc="5FFEFB0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4056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7112AB"/>
    <w:multiLevelType w:val="multilevel"/>
    <w:tmpl w:val="FCBC7916"/>
    <w:lvl w:ilvl="0">
      <w:start w:val="1"/>
      <w:numFmt w:val="none"/>
      <w:lvlText w:val="2.3."/>
      <w:lvlJc w:val="left"/>
      <w:pPr>
        <w:ind w:left="360" w:hanging="360"/>
      </w:pPr>
      <w:rPr>
        <w:rFonts w:hint="default"/>
      </w:rPr>
    </w:lvl>
    <w:lvl w:ilvl="1">
      <w:start w:val="2"/>
      <w:numFmt w:val="none"/>
      <w:lvlText w:val="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320E52"/>
    <w:multiLevelType w:val="hybridMultilevel"/>
    <w:tmpl w:val="C8F2605C"/>
    <w:lvl w:ilvl="0" w:tplc="FF6C6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D941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80305F"/>
    <w:multiLevelType w:val="hybridMultilevel"/>
    <w:tmpl w:val="14600552"/>
    <w:lvl w:ilvl="0" w:tplc="6C9CF5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A3677"/>
    <w:multiLevelType w:val="hybridMultilevel"/>
    <w:tmpl w:val="C8F2605C"/>
    <w:lvl w:ilvl="0" w:tplc="FF6C6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2802EF"/>
    <w:multiLevelType w:val="hybridMultilevel"/>
    <w:tmpl w:val="5F5E0958"/>
    <w:lvl w:ilvl="0" w:tplc="EADE0DD8">
      <w:start w:val="1"/>
      <w:numFmt w:val="bullet"/>
      <w:lvlText w:val=""/>
      <w:lvlJc w:val="left"/>
      <w:pPr>
        <w:tabs>
          <w:tab w:val="num" w:pos="720"/>
        </w:tabs>
        <w:ind w:left="720" w:hanging="360"/>
      </w:pPr>
      <w:rPr>
        <w:rFonts w:ascii="Wingdings" w:hAnsi="Wingdings" w:hint="default"/>
      </w:rPr>
    </w:lvl>
    <w:lvl w:ilvl="1" w:tplc="86CE1A70" w:tentative="1">
      <w:start w:val="1"/>
      <w:numFmt w:val="bullet"/>
      <w:lvlText w:val=""/>
      <w:lvlJc w:val="left"/>
      <w:pPr>
        <w:tabs>
          <w:tab w:val="num" w:pos="1440"/>
        </w:tabs>
        <w:ind w:left="1440" w:hanging="360"/>
      </w:pPr>
      <w:rPr>
        <w:rFonts w:ascii="Wingdings" w:hAnsi="Wingdings" w:hint="default"/>
      </w:rPr>
    </w:lvl>
    <w:lvl w:ilvl="2" w:tplc="975C11F6" w:tentative="1">
      <w:start w:val="1"/>
      <w:numFmt w:val="bullet"/>
      <w:lvlText w:val=""/>
      <w:lvlJc w:val="left"/>
      <w:pPr>
        <w:tabs>
          <w:tab w:val="num" w:pos="2160"/>
        </w:tabs>
        <w:ind w:left="2160" w:hanging="360"/>
      </w:pPr>
      <w:rPr>
        <w:rFonts w:ascii="Wingdings" w:hAnsi="Wingdings" w:hint="default"/>
      </w:rPr>
    </w:lvl>
    <w:lvl w:ilvl="3" w:tplc="5D60BC18" w:tentative="1">
      <w:start w:val="1"/>
      <w:numFmt w:val="bullet"/>
      <w:lvlText w:val=""/>
      <w:lvlJc w:val="left"/>
      <w:pPr>
        <w:tabs>
          <w:tab w:val="num" w:pos="2880"/>
        </w:tabs>
        <w:ind w:left="2880" w:hanging="360"/>
      </w:pPr>
      <w:rPr>
        <w:rFonts w:ascii="Wingdings" w:hAnsi="Wingdings" w:hint="default"/>
      </w:rPr>
    </w:lvl>
    <w:lvl w:ilvl="4" w:tplc="86701CDE" w:tentative="1">
      <w:start w:val="1"/>
      <w:numFmt w:val="bullet"/>
      <w:lvlText w:val=""/>
      <w:lvlJc w:val="left"/>
      <w:pPr>
        <w:tabs>
          <w:tab w:val="num" w:pos="3600"/>
        </w:tabs>
        <w:ind w:left="3600" w:hanging="360"/>
      </w:pPr>
      <w:rPr>
        <w:rFonts w:ascii="Wingdings" w:hAnsi="Wingdings" w:hint="default"/>
      </w:rPr>
    </w:lvl>
    <w:lvl w:ilvl="5" w:tplc="BA643126" w:tentative="1">
      <w:start w:val="1"/>
      <w:numFmt w:val="bullet"/>
      <w:lvlText w:val=""/>
      <w:lvlJc w:val="left"/>
      <w:pPr>
        <w:tabs>
          <w:tab w:val="num" w:pos="4320"/>
        </w:tabs>
        <w:ind w:left="4320" w:hanging="360"/>
      </w:pPr>
      <w:rPr>
        <w:rFonts w:ascii="Wingdings" w:hAnsi="Wingdings" w:hint="default"/>
      </w:rPr>
    </w:lvl>
    <w:lvl w:ilvl="6" w:tplc="DC68FCCC" w:tentative="1">
      <w:start w:val="1"/>
      <w:numFmt w:val="bullet"/>
      <w:lvlText w:val=""/>
      <w:lvlJc w:val="left"/>
      <w:pPr>
        <w:tabs>
          <w:tab w:val="num" w:pos="5040"/>
        </w:tabs>
        <w:ind w:left="5040" w:hanging="360"/>
      </w:pPr>
      <w:rPr>
        <w:rFonts w:ascii="Wingdings" w:hAnsi="Wingdings" w:hint="default"/>
      </w:rPr>
    </w:lvl>
    <w:lvl w:ilvl="7" w:tplc="D51AF608" w:tentative="1">
      <w:start w:val="1"/>
      <w:numFmt w:val="bullet"/>
      <w:lvlText w:val=""/>
      <w:lvlJc w:val="left"/>
      <w:pPr>
        <w:tabs>
          <w:tab w:val="num" w:pos="5760"/>
        </w:tabs>
        <w:ind w:left="5760" w:hanging="360"/>
      </w:pPr>
      <w:rPr>
        <w:rFonts w:ascii="Wingdings" w:hAnsi="Wingdings" w:hint="default"/>
      </w:rPr>
    </w:lvl>
    <w:lvl w:ilvl="8" w:tplc="332444F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CC102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C55DB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C16121"/>
    <w:multiLevelType w:val="hybridMultilevel"/>
    <w:tmpl w:val="D7E272D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15:restartNumberingAfterBreak="0">
    <w:nsid w:val="4F4A183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C47B0E"/>
    <w:multiLevelType w:val="hybridMultilevel"/>
    <w:tmpl w:val="14600552"/>
    <w:lvl w:ilvl="0" w:tplc="6C9CF5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8B47D2"/>
    <w:multiLevelType w:val="hybridMultilevel"/>
    <w:tmpl w:val="141840FE"/>
    <w:lvl w:ilvl="0" w:tplc="D5F8094E">
      <w:start w:val="1"/>
      <w:numFmt w:val="bullet"/>
      <w:lvlText w:val="•"/>
      <w:lvlJc w:val="left"/>
      <w:pPr>
        <w:tabs>
          <w:tab w:val="num" w:pos="720"/>
        </w:tabs>
        <w:ind w:left="720" w:hanging="360"/>
      </w:pPr>
      <w:rPr>
        <w:rFonts w:ascii="Arial" w:hAnsi="Arial" w:hint="default"/>
      </w:rPr>
    </w:lvl>
    <w:lvl w:ilvl="1" w:tplc="726E4882" w:tentative="1">
      <w:start w:val="1"/>
      <w:numFmt w:val="bullet"/>
      <w:lvlText w:val="•"/>
      <w:lvlJc w:val="left"/>
      <w:pPr>
        <w:tabs>
          <w:tab w:val="num" w:pos="1440"/>
        </w:tabs>
        <w:ind w:left="1440" w:hanging="360"/>
      </w:pPr>
      <w:rPr>
        <w:rFonts w:ascii="Arial" w:hAnsi="Arial" w:hint="default"/>
      </w:rPr>
    </w:lvl>
    <w:lvl w:ilvl="2" w:tplc="FF306680" w:tentative="1">
      <w:start w:val="1"/>
      <w:numFmt w:val="bullet"/>
      <w:lvlText w:val="•"/>
      <w:lvlJc w:val="left"/>
      <w:pPr>
        <w:tabs>
          <w:tab w:val="num" w:pos="2160"/>
        </w:tabs>
        <w:ind w:left="2160" w:hanging="360"/>
      </w:pPr>
      <w:rPr>
        <w:rFonts w:ascii="Arial" w:hAnsi="Arial" w:hint="default"/>
      </w:rPr>
    </w:lvl>
    <w:lvl w:ilvl="3" w:tplc="C894746A" w:tentative="1">
      <w:start w:val="1"/>
      <w:numFmt w:val="bullet"/>
      <w:lvlText w:val="•"/>
      <w:lvlJc w:val="left"/>
      <w:pPr>
        <w:tabs>
          <w:tab w:val="num" w:pos="2880"/>
        </w:tabs>
        <w:ind w:left="2880" w:hanging="360"/>
      </w:pPr>
      <w:rPr>
        <w:rFonts w:ascii="Arial" w:hAnsi="Arial" w:hint="default"/>
      </w:rPr>
    </w:lvl>
    <w:lvl w:ilvl="4" w:tplc="9752C86E" w:tentative="1">
      <w:start w:val="1"/>
      <w:numFmt w:val="bullet"/>
      <w:lvlText w:val="•"/>
      <w:lvlJc w:val="left"/>
      <w:pPr>
        <w:tabs>
          <w:tab w:val="num" w:pos="3600"/>
        </w:tabs>
        <w:ind w:left="3600" w:hanging="360"/>
      </w:pPr>
      <w:rPr>
        <w:rFonts w:ascii="Arial" w:hAnsi="Arial" w:hint="default"/>
      </w:rPr>
    </w:lvl>
    <w:lvl w:ilvl="5" w:tplc="9C944E18" w:tentative="1">
      <w:start w:val="1"/>
      <w:numFmt w:val="bullet"/>
      <w:lvlText w:val="•"/>
      <w:lvlJc w:val="left"/>
      <w:pPr>
        <w:tabs>
          <w:tab w:val="num" w:pos="4320"/>
        </w:tabs>
        <w:ind w:left="4320" w:hanging="360"/>
      </w:pPr>
      <w:rPr>
        <w:rFonts w:ascii="Arial" w:hAnsi="Arial" w:hint="default"/>
      </w:rPr>
    </w:lvl>
    <w:lvl w:ilvl="6" w:tplc="785A88A2" w:tentative="1">
      <w:start w:val="1"/>
      <w:numFmt w:val="bullet"/>
      <w:lvlText w:val="•"/>
      <w:lvlJc w:val="left"/>
      <w:pPr>
        <w:tabs>
          <w:tab w:val="num" w:pos="5040"/>
        </w:tabs>
        <w:ind w:left="5040" w:hanging="360"/>
      </w:pPr>
      <w:rPr>
        <w:rFonts w:ascii="Arial" w:hAnsi="Arial" w:hint="default"/>
      </w:rPr>
    </w:lvl>
    <w:lvl w:ilvl="7" w:tplc="1546863C" w:tentative="1">
      <w:start w:val="1"/>
      <w:numFmt w:val="bullet"/>
      <w:lvlText w:val="•"/>
      <w:lvlJc w:val="left"/>
      <w:pPr>
        <w:tabs>
          <w:tab w:val="num" w:pos="5760"/>
        </w:tabs>
        <w:ind w:left="5760" w:hanging="360"/>
      </w:pPr>
      <w:rPr>
        <w:rFonts w:ascii="Arial" w:hAnsi="Arial" w:hint="default"/>
      </w:rPr>
    </w:lvl>
    <w:lvl w:ilvl="8" w:tplc="18A605F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75B0013"/>
    <w:multiLevelType w:val="hybridMultilevel"/>
    <w:tmpl w:val="22346930"/>
    <w:lvl w:ilvl="0" w:tplc="4852FC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78F47E5"/>
    <w:multiLevelType w:val="hybridMultilevel"/>
    <w:tmpl w:val="D4487EE2"/>
    <w:lvl w:ilvl="0" w:tplc="4852FC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19D7F3F"/>
    <w:multiLevelType w:val="hybridMultilevel"/>
    <w:tmpl w:val="CF2ECFCE"/>
    <w:lvl w:ilvl="0" w:tplc="91165F84">
      <w:start w:val="1"/>
      <w:numFmt w:val="bullet"/>
      <w:lvlText w:val=""/>
      <w:lvlJc w:val="left"/>
      <w:pPr>
        <w:tabs>
          <w:tab w:val="num" w:pos="720"/>
        </w:tabs>
        <w:ind w:left="720" w:hanging="360"/>
      </w:pPr>
      <w:rPr>
        <w:rFonts w:ascii="Wingdings" w:hAnsi="Wingdings" w:hint="default"/>
      </w:rPr>
    </w:lvl>
    <w:lvl w:ilvl="1" w:tplc="D99CC420">
      <w:start w:val="110"/>
      <w:numFmt w:val="bullet"/>
      <w:lvlText w:val=""/>
      <w:lvlJc w:val="left"/>
      <w:pPr>
        <w:tabs>
          <w:tab w:val="num" w:pos="1440"/>
        </w:tabs>
        <w:ind w:left="1440" w:hanging="360"/>
      </w:pPr>
      <w:rPr>
        <w:rFonts w:ascii="Wingdings" w:hAnsi="Wingdings" w:hint="default"/>
      </w:rPr>
    </w:lvl>
    <w:lvl w:ilvl="2" w:tplc="9CC82888">
      <w:start w:val="110"/>
      <w:numFmt w:val="bullet"/>
      <w:lvlText w:val=""/>
      <w:lvlJc w:val="left"/>
      <w:pPr>
        <w:tabs>
          <w:tab w:val="num" w:pos="2160"/>
        </w:tabs>
        <w:ind w:left="2160" w:hanging="360"/>
      </w:pPr>
      <w:rPr>
        <w:rFonts w:ascii="Wingdings" w:hAnsi="Wingdings" w:hint="default"/>
      </w:rPr>
    </w:lvl>
    <w:lvl w:ilvl="3" w:tplc="59BC0F34">
      <w:start w:val="110"/>
      <w:numFmt w:val="bullet"/>
      <w:lvlText w:val=""/>
      <w:lvlJc w:val="left"/>
      <w:pPr>
        <w:tabs>
          <w:tab w:val="num" w:pos="2880"/>
        </w:tabs>
        <w:ind w:left="2880" w:hanging="360"/>
      </w:pPr>
      <w:rPr>
        <w:rFonts w:ascii="Wingdings" w:hAnsi="Wingdings" w:hint="default"/>
      </w:rPr>
    </w:lvl>
    <w:lvl w:ilvl="4" w:tplc="C41E46E6" w:tentative="1">
      <w:start w:val="1"/>
      <w:numFmt w:val="bullet"/>
      <w:lvlText w:val=""/>
      <w:lvlJc w:val="left"/>
      <w:pPr>
        <w:tabs>
          <w:tab w:val="num" w:pos="3600"/>
        </w:tabs>
        <w:ind w:left="3600" w:hanging="360"/>
      </w:pPr>
      <w:rPr>
        <w:rFonts w:ascii="Wingdings" w:hAnsi="Wingdings" w:hint="default"/>
      </w:rPr>
    </w:lvl>
    <w:lvl w:ilvl="5" w:tplc="50C8A2DE" w:tentative="1">
      <w:start w:val="1"/>
      <w:numFmt w:val="bullet"/>
      <w:lvlText w:val=""/>
      <w:lvlJc w:val="left"/>
      <w:pPr>
        <w:tabs>
          <w:tab w:val="num" w:pos="4320"/>
        </w:tabs>
        <w:ind w:left="4320" w:hanging="360"/>
      </w:pPr>
      <w:rPr>
        <w:rFonts w:ascii="Wingdings" w:hAnsi="Wingdings" w:hint="default"/>
      </w:rPr>
    </w:lvl>
    <w:lvl w:ilvl="6" w:tplc="BBC025AE" w:tentative="1">
      <w:start w:val="1"/>
      <w:numFmt w:val="bullet"/>
      <w:lvlText w:val=""/>
      <w:lvlJc w:val="left"/>
      <w:pPr>
        <w:tabs>
          <w:tab w:val="num" w:pos="5040"/>
        </w:tabs>
        <w:ind w:left="5040" w:hanging="360"/>
      </w:pPr>
      <w:rPr>
        <w:rFonts w:ascii="Wingdings" w:hAnsi="Wingdings" w:hint="default"/>
      </w:rPr>
    </w:lvl>
    <w:lvl w:ilvl="7" w:tplc="CECE6078" w:tentative="1">
      <w:start w:val="1"/>
      <w:numFmt w:val="bullet"/>
      <w:lvlText w:val=""/>
      <w:lvlJc w:val="left"/>
      <w:pPr>
        <w:tabs>
          <w:tab w:val="num" w:pos="5760"/>
        </w:tabs>
        <w:ind w:left="5760" w:hanging="360"/>
      </w:pPr>
      <w:rPr>
        <w:rFonts w:ascii="Wingdings" w:hAnsi="Wingdings" w:hint="default"/>
      </w:rPr>
    </w:lvl>
    <w:lvl w:ilvl="8" w:tplc="5948A24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B73892"/>
    <w:multiLevelType w:val="hybridMultilevel"/>
    <w:tmpl w:val="0012E992"/>
    <w:lvl w:ilvl="0" w:tplc="0A5CC4CC">
      <w:start w:val="1"/>
      <w:numFmt w:val="decimal"/>
      <w:lvlText w:val="%1."/>
      <w:lvlJc w:val="left"/>
      <w:pPr>
        <w:tabs>
          <w:tab w:val="num" w:pos="720"/>
        </w:tabs>
        <w:ind w:left="720" w:hanging="360"/>
      </w:pPr>
    </w:lvl>
    <w:lvl w:ilvl="1" w:tplc="3C1ED208" w:tentative="1">
      <w:start w:val="1"/>
      <w:numFmt w:val="decimal"/>
      <w:lvlText w:val="%2."/>
      <w:lvlJc w:val="left"/>
      <w:pPr>
        <w:tabs>
          <w:tab w:val="num" w:pos="1440"/>
        </w:tabs>
        <w:ind w:left="1440" w:hanging="360"/>
      </w:pPr>
    </w:lvl>
    <w:lvl w:ilvl="2" w:tplc="27DEC914" w:tentative="1">
      <w:start w:val="1"/>
      <w:numFmt w:val="decimal"/>
      <w:lvlText w:val="%3."/>
      <w:lvlJc w:val="left"/>
      <w:pPr>
        <w:tabs>
          <w:tab w:val="num" w:pos="2160"/>
        </w:tabs>
        <w:ind w:left="2160" w:hanging="360"/>
      </w:pPr>
    </w:lvl>
    <w:lvl w:ilvl="3" w:tplc="ADD438F8" w:tentative="1">
      <w:start w:val="1"/>
      <w:numFmt w:val="decimal"/>
      <w:lvlText w:val="%4."/>
      <w:lvlJc w:val="left"/>
      <w:pPr>
        <w:tabs>
          <w:tab w:val="num" w:pos="2880"/>
        </w:tabs>
        <w:ind w:left="2880" w:hanging="360"/>
      </w:pPr>
    </w:lvl>
    <w:lvl w:ilvl="4" w:tplc="F086EBB6" w:tentative="1">
      <w:start w:val="1"/>
      <w:numFmt w:val="decimal"/>
      <w:lvlText w:val="%5."/>
      <w:lvlJc w:val="left"/>
      <w:pPr>
        <w:tabs>
          <w:tab w:val="num" w:pos="3600"/>
        </w:tabs>
        <w:ind w:left="3600" w:hanging="360"/>
      </w:pPr>
    </w:lvl>
    <w:lvl w:ilvl="5" w:tplc="3CBC73FC" w:tentative="1">
      <w:start w:val="1"/>
      <w:numFmt w:val="decimal"/>
      <w:lvlText w:val="%6."/>
      <w:lvlJc w:val="left"/>
      <w:pPr>
        <w:tabs>
          <w:tab w:val="num" w:pos="4320"/>
        </w:tabs>
        <w:ind w:left="4320" w:hanging="360"/>
      </w:pPr>
    </w:lvl>
    <w:lvl w:ilvl="6" w:tplc="2DE87708" w:tentative="1">
      <w:start w:val="1"/>
      <w:numFmt w:val="decimal"/>
      <w:lvlText w:val="%7."/>
      <w:lvlJc w:val="left"/>
      <w:pPr>
        <w:tabs>
          <w:tab w:val="num" w:pos="5040"/>
        </w:tabs>
        <w:ind w:left="5040" w:hanging="360"/>
      </w:pPr>
    </w:lvl>
    <w:lvl w:ilvl="7" w:tplc="FB9066DA" w:tentative="1">
      <w:start w:val="1"/>
      <w:numFmt w:val="decimal"/>
      <w:lvlText w:val="%8."/>
      <w:lvlJc w:val="left"/>
      <w:pPr>
        <w:tabs>
          <w:tab w:val="num" w:pos="5760"/>
        </w:tabs>
        <w:ind w:left="5760" w:hanging="360"/>
      </w:pPr>
    </w:lvl>
    <w:lvl w:ilvl="8" w:tplc="3F945F04" w:tentative="1">
      <w:start w:val="1"/>
      <w:numFmt w:val="decimal"/>
      <w:lvlText w:val="%9."/>
      <w:lvlJc w:val="left"/>
      <w:pPr>
        <w:tabs>
          <w:tab w:val="num" w:pos="6480"/>
        </w:tabs>
        <w:ind w:left="6480" w:hanging="360"/>
      </w:pPr>
    </w:lvl>
  </w:abstractNum>
  <w:abstractNum w:abstractNumId="29" w15:restartNumberingAfterBreak="0">
    <w:nsid w:val="6D7573F1"/>
    <w:multiLevelType w:val="multilevel"/>
    <w:tmpl w:val="545CD4D4"/>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08625AA"/>
    <w:multiLevelType w:val="multilevel"/>
    <w:tmpl w:val="30409712"/>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25C1098"/>
    <w:multiLevelType w:val="hybridMultilevel"/>
    <w:tmpl w:val="751058E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77D02705"/>
    <w:multiLevelType w:val="hybridMultilevel"/>
    <w:tmpl w:val="6F1CFD48"/>
    <w:lvl w:ilvl="0" w:tplc="04090001">
      <w:start w:val="1"/>
      <w:numFmt w:val="bullet"/>
      <w:lvlText w:val=""/>
      <w:lvlJc w:val="left"/>
      <w:pPr>
        <w:ind w:left="720" w:hanging="360"/>
      </w:pPr>
      <w:rPr>
        <w:rFonts w:ascii="Symbol" w:hAnsi="Symbol" w:hint="default"/>
      </w:rPr>
    </w:lvl>
    <w:lvl w:ilvl="1" w:tplc="72627D40">
      <w:start w:val="1"/>
      <w:numFmt w:val="decimal"/>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4D40AA"/>
    <w:multiLevelType w:val="hybridMultilevel"/>
    <w:tmpl w:val="034481B2"/>
    <w:lvl w:ilvl="0" w:tplc="1E0C3AA4">
      <w:start w:val="1"/>
      <w:numFmt w:val="decimal"/>
      <w:lvlText w:val="%1."/>
      <w:lvlJc w:val="left"/>
      <w:pPr>
        <w:tabs>
          <w:tab w:val="num" w:pos="720"/>
        </w:tabs>
        <w:ind w:left="720" w:hanging="360"/>
      </w:pPr>
    </w:lvl>
    <w:lvl w:ilvl="1" w:tplc="1506D672" w:tentative="1">
      <w:start w:val="1"/>
      <w:numFmt w:val="decimal"/>
      <w:lvlText w:val="%2."/>
      <w:lvlJc w:val="left"/>
      <w:pPr>
        <w:tabs>
          <w:tab w:val="num" w:pos="1440"/>
        </w:tabs>
        <w:ind w:left="1440" w:hanging="360"/>
      </w:pPr>
    </w:lvl>
    <w:lvl w:ilvl="2" w:tplc="857EAD60" w:tentative="1">
      <w:start w:val="1"/>
      <w:numFmt w:val="decimal"/>
      <w:lvlText w:val="%3."/>
      <w:lvlJc w:val="left"/>
      <w:pPr>
        <w:tabs>
          <w:tab w:val="num" w:pos="2160"/>
        </w:tabs>
        <w:ind w:left="2160" w:hanging="360"/>
      </w:pPr>
    </w:lvl>
    <w:lvl w:ilvl="3" w:tplc="DBAAC1EA" w:tentative="1">
      <w:start w:val="1"/>
      <w:numFmt w:val="decimal"/>
      <w:lvlText w:val="%4."/>
      <w:lvlJc w:val="left"/>
      <w:pPr>
        <w:tabs>
          <w:tab w:val="num" w:pos="2880"/>
        </w:tabs>
        <w:ind w:left="2880" w:hanging="360"/>
      </w:pPr>
    </w:lvl>
    <w:lvl w:ilvl="4" w:tplc="B2BEA796" w:tentative="1">
      <w:start w:val="1"/>
      <w:numFmt w:val="decimal"/>
      <w:lvlText w:val="%5."/>
      <w:lvlJc w:val="left"/>
      <w:pPr>
        <w:tabs>
          <w:tab w:val="num" w:pos="3600"/>
        </w:tabs>
        <w:ind w:left="3600" w:hanging="360"/>
      </w:pPr>
    </w:lvl>
    <w:lvl w:ilvl="5" w:tplc="A4DAA89C" w:tentative="1">
      <w:start w:val="1"/>
      <w:numFmt w:val="decimal"/>
      <w:lvlText w:val="%6."/>
      <w:lvlJc w:val="left"/>
      <w:pPr>
        <w:tabs>
          <w:tab w:val="num" w:pos="4320"/>
        </w:tabs>
        <w:ind w:left="4320" w:hanging="360"/>
      </w:pPr>
    </w:lvl>
    <w:lvl w:ilvl="6" w:tplc="DC2C2EA4" w:tentative="1">
      <w:start w:val="1"/>
      <w:numFmt w:val="decimal"/>
      <w:lvlText w:val="%7."/>
      <w:lvlJc w:val="left"/>
      <w:pPr>
        <w:tabs>
          <w:tab w:val="num" w:pos="5040"/>
        </w:tabs>
        <w:ind w:left="5040" w:hanging="360"/>
      </w:pPr>
    </w:lvl>
    <w:lvl w:ilvl="7" w:tplc="D76A77E4" w:tentative="1">
      <w:start w:val="1"/>
      <w:numFmt w:val="decimal"/>
      <w:lvlText w:val="%8."/>
      <w:lvlJc w:val="left"/>
      <w:pPr>
        <w:tabs>
          <w:tab w:val="num" w:pos="5760"/>
        </w:tabs>
        <w:ind w:left="5760" w:hanging="360"/>
      </w:pPr>
    </w:lvl>
    <w:lvl w:ilvl="8" w:tplc="CDBE94F6" w:tentative="1">
      <w:start w:val="1"/>
      <w:numFmt w:val="decimal"/>
      <w:lvlText w:val="%9."/>
      <w:lvlJc w:val="left"/>
      <w:pPr>
        <w:tabs>
          <w:tab w:val="num" w:pos="6480"/>
        </w:tabs>
        <w:ind w:left="6480" w:hanging="360"/>
      </w:pPr>
    </w:lvl>
  </w:abstractNum>
  <w:num w:numId="1">
    <w:abstractNumId w:val="20"/>
  </w:num>
  <w:num w:numId="2">
    <w:abstractNumId w:val="1"/>
  </w:num>
  <w:num w:numId="3">
    <w:abstractNumId w:val="4"/>
  </w:num>
  <w:num w:numId="4">
    <w:abstractNumId w:val="4"/>
  </w:num>
  <w:num w:numId="5">
    <w:abstractNumId w:val="33"/>
  </w:num>
  <w:num w:numId="6">
    <w:abstractNumId w:val="8"/>
  </w:num>
  <w:num w:numId="7">
    <w:abstractNumId w:val="27"/>
  </w:num>
  <w:num w:numId="8">
    <w:abstractNumId w:val="28"/>
  </w:num>
  <w:num w:numId="9">
    <w:abstractNumId w:val="7"/>
  </w:num>
  <w:num w:numId="10">
    <w:abstractNumId w:val="24"/>
  </w:num>
  <w:num w:numId="11">
    <w:abstractNumId w:val="18"/>
  </w:num>
  <w:num w:numId="12">
    <w:abstractNumId w:val="25"/>
  </w:num>
  <w:num w:numId="13">
    <w:abstractNumId w:val="11"/>
  </w:num>
  <w:num w:numId="14">
    <w:abstractNumId w:val="5"/>
  </w:num>
  <w:num w:numId="15">
    <w:abstractNumId w:val="22"/>
  </w:num>
  <w:num w:numId="16">
    <w:abstractNumId w:val="12"/>
  </w:num>
  <w:num w:numId="17">
    <w:abstractNumId w:val="19"/>
  </w:num>
  <w:num w:numId="18">
    <w:abstractNumId w:val="26"/>
  </w:num>
  <w:num w:numId="19">
    <w:abstractNumId w:val="0"/>
  </w:num>
  <w:num w:numId="20">
    <w:abstractNumId w:val="10"/>
  </w:num>
  <w:num w:numId="21">
    <w:abstractNumId w:val="21"/>
  </w:num>
  <w:num w:numId="22">
    <w:abstractNumId w:val="31"/>
  </w:num>
  <w:num w:numId="23">
    <w:abstractNumId w:val="15"/>
  </w:num>
  <w:num w:numId="24">
    <w:abstractNumId w:val="16"/>
  </w:num>
  <w:num w:numId="25">
    <w:abstractNumId w:val="23"/>
  </w:num>
  <w:num w:numId="26">
    <w:abstractNumId w:val="17"/>
  </w:num>
  <w:num w:numId="27">
    <w:abstractNumId w:val="6"/>
  </w:num>
  <w:num w:numId="28">
    <w:abstractNumId w:val="13"/>
  </w:num>
  <w:num w:numId="29">
    <w:abstractNumId w:val="30"/>
  </w:num>
  <w:num w:numId="30">
    <w:abstractNumId w:val="9"/>
  </w:num>
  <w:num w:numId="31">
    <w:abstractNumId w:val="29"/>
  </w:num>
  <w:num w:numId="32">
    <w:abstractNumId w:val="3"/>
  </w:num>
  <w:num w:numId="33">
    <w:abstractNumId w:val="2"/>
  </w:num>
  <w:num w:numId="34">
    <w:abstractNumId w:val="32"/>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removePersonalInformation/>
  <w:removeDateAndTim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c0tzA3MrW0NDYzMTBQ0lEKTi0uzszPAykwqgUACOtOYywAAAA="/>
  </w:docVars>
  <w:rsids>
    <w:rsidRoot w:val="00081508"/>
    <w:rsid w:val="000004C1"/>
    <w:rsid w:val="00006803"/>
    <w:rsid w:val="00010D46"/>
    <w:rsid w:val="00021AD0"/>
    <w:rsid w:val="00023053"/>
    <w:rsid w:val="00026C09"/>
    <w:rsid w:val="000338F6"/>
    <w:rsid w:val="00062E62"/>
    <w:rsid w:val="00065DB5"/>
    <w:rsid w:val="00072862"/>
    <w:rsid w:val="00075899"/>
    <w:rsid w:val="00077A0D"/>
    <w:rsid w:val="000803B2"/>
    <w:rsid w:val="00081508"/>
    <w:rsid w:val="000A2651"/>
    <w:rsid w:val="000A6D5A"/>
    <w:rsid w:val="000B26A4"/>
    <w:rsid w:val="000B4204"/>
    <w:rsid w:val="000C176D"/>
    <w:rsid w:val="000D3DF8"/>
    <w:rsid w:val="000E286D"/>
    <w:rsid w:val="000F0CB2"/>
    <w:rsid w:val="001373E4"/>
    <w:rsid w:val="0014736E"/>
    <w:rsid w:val="00173399"/>
    <w:rsid w:val="001778B8"/>
    <w:rsid w:val="00187444"/>
    <w:rsid w:val="0019313C"/>
    <w:rsid w:val="001936F1"/>
    <w:rsid w:val="001A1951"/>
    <w:rsid w:val="001A5654"/>
    <w:rsid w:val="001A6B52"/>
    <w:rsid w:val="001D2BBE"/>
    <w:rsid w:val="001D5715"/>
    <w:rsid w:val="001D7B3D"/>
    <w:rsid w:val="001E356B"/>
    <w:rsid w:val="001F1D71"/>
    <w:rsid w:val="001F4337"/>
    <w:rsid w:val="001F6191"/>
    <w:rsid w:val="00200C70"/>
    <w:rsid w:val="002137A5"/>
    <w:rsid w:val="00216660"/>
    <w:rsid w:val="00231DEE"/>
    <w:rsid w:val="00240478"/>
    <w:rsid w:val="00260730"/>
    <w:rsid w:val="00264A74"/>
    <w:rsid w:val="00267A38"/>
    <w:rsid w:val="00276DA0"/>
    <w:rsid w:val="00282AD4"/>
    <w:rsid w:val="00285F85"/>
    <w:rsid w:val="00296FCF"/>
    <w:rsid w:val="002B66E2"/>
    <w:rsid w:val="002B7CA6"/>
    <w:rsid w:val="002E08E7"/>
    <w:rsid w:val="002F1AA1"/>
    <w:rsid w:val="00305CE8"/>
    <w:rsid w:val="00316355"/>
    <w:rsid w:val="003277A3"/>
    <w:rsid w:val="003318EF"/>
    <w:rsid w:val="00336179"/>
    <w:rsid w:val="00343890"/>
    <w:rsid w:val="00344D1E"/>
    <w:rsid w:val="00352939"/>
    <w:rsid w:val="00361D92"/>
    <w:rsid w:val="00361FDF"/>
    <w:rsid w:val="00374FF2"/>
    <w:rsid w:val="003753F0"/>
    <w:rsid w:val="00375D03"/>
    <w:rsid w:val="00393986"/>
    <w:rsid w:val="00394563"/>
    <w:rsid w:val="003B612F"/>
    <w:rsid w:val="003D610E"/>
    <w:rsid w:val="003F7C08"/>
    <w:rsid w:val="0040153E"/>
    <w:rsid w:val="004019A0"/>
    <w:rsid w:val="004026C3"/>
    <w:rsid w:val="004044E6"/>
    <w:rsid w:val="0041141D"/>
    <w:rsid w:val="0042266F"/>
    <w:rsid w:val="004249AE"/>
    <w:rsid w:val="004342F1"/>
    <w:rsid w:val="004375AC"/>
    <w:rsid w:val="00443A10"/>
    <w:rsid w:val="0044583A"/>
    <w:rsid w:val="00455BF1"/>
    <w:rsid w:val="00466E2A"/>
    <w:rsid w:val="00482659"/>
    <w:rsid w:val="00486C4E"/>
    <w:rsid w:val="004977FC"/>
    <w:rsid w:val="004A1112"/>
    <w:rsid w:val="004A2FCD"/>
    <w:rsid w:val="004C1E84"/>
    <w:rsid w:val="004C1F3E"/>
    <w:rsid w:val="004C5443"/>
    <w:rsid w:val="004E3F51"/>
    <w:rsid w:val="00516E12"/>
    <w:rsid w:val="00527CD8"/>
    <w:rsid w:val="00530531"/>
    <w:rsid w:val="00530A83"/>
    <w:rsid w:val="00543505"/>
    <w:rsid w:val="00552D7A"/>
    <w:rsid w:val="005571BB"/>
    <w:rsid w:val="00570512"/>
    <w:rsid w:val="00571B11"/>
    <w:rsid w:val="00572F07"/>
    <w:rsid w:val="00577AF6"/>
    <w:rsid w:val="005810DA"/>
    <w:rsid w:val="00581AC1"/>
    <w:rsid w:val="0059249F"/>
    <w:rsid w:val="005A17DC"/>
    <w:rsid w:val="005A420C"/>
    <w:rsid w:val="005A67B4"/>
    <w:rsid w:val="005C04C4"/>
    <w:rsid w:val="005C3BCA"/>
    <w:rsid w:val="005E2111"/>
    <w:rsid w:val="005E528F"/>
    <w:rsid w:val="005E6049"/>
    <w:rsid w:val="005F247E"/>
    <w:rsid w:val="00621441"/>
    <w:rsid w:val="00645B27"/>
    <w:rsid w:val="00655AA7"/>
    <w:rsid w:val="0065610A"/>
    <w:rsid w:val="0066588D"/>
    <w:rsid w:val="00673AD6"/>
    <w:rsid w:val="00674FD6"/>
    <w:rsid w:val="00691FE1"/>
    <w:rsid w:val="006A5046"/>
    <w:rsid w:val="006A5E53"/>
    <w:rsid w:val="006B006C"/>
    <w:rsid w:val="006B12B6"/>
    <w:rsid w:val="006B2B9D"/>
    <w:rsid w:val="006B33A4"/>
    <w:rsid w:val="006B5A27"/>
    <w:rsid w:val="006B65C0"/>
    <w:rsid w:val="006C7723"/>
    <w:rsid w:val="006E196F"/>
    <w:rsid w:val="006F1D76"/>
    <w:rsid w:val="006F451D"/>
    <w:rsid w:val="006F5777"/>
    <w:rsid w:val="00703DAF"/>
    <w:rsid w:val="007118BB"/>
    <w:rsid w:val="007137FD"/>
    <w:rsid w:val="00713FAA"/>
    <w:rsid w:val="00724F9E"/>
    <w:rsid w:val="00744863"/>
    <w:rsid w:val="0075271A"/>
    <w:rsid w:val="007528A9"/>
    <w:rsid w:val="00790545"/>
    <w:rsid w:val="007A086E"/>
    <w:rsid w:val="007A0A30"/>
    <w:rsid w:val="007A1073"/>
    <w:rsid w:val="007D4EC6"/>
    <w:rsid w:val="007E1B48"/>
    <w:rsid w:val="007F2DD9"/>
    <w:rsid w:val="00807EEF"/>
    <w:rsid w:val="00811461"/>
    <w:rsid w:val="0081785A"/>
    <w:rsid w:val="0083182E"/>
    <w:rsid w:val="0083473D"/>
    <w:rsid w:val="008428A3"/>
    <w:rsid w:val="008450FD"/>
    <w:rsid w:val="00863672"/>
    <w:rsid w:val="0089259F"/>
    <w:rsid w:val="008A19EB"/>
    <w:rsid w:val="008A4A72"/>
    <w:rsid w:val="008C5EA1"/>
    <w:rsid w:val="008D5F21"/>
    <w:rsid w:val="008D617E"/>
    <w:rsid w:val="008E5B2E"/>
    <w:rsid w:val="008F257F"/>
    <w:rsid w:val="00925466"/>
    <w:rsid w:val="00947398"/>
    <w:rsid w:val="00952632"/>
    <w:rsid w:val="00954F4D"/>
    <w:rsid w:val="00971B83"/>
    <w:rsid w:val="00982768"/>
    <w:rsid w:val="009D5F8D"/>
    <w:rsid w:val="009E197A"/>
    <w:rsid w:val="009E1D2A"/>
    <w:rsid w:val="009F3092"/>
    <w:rsid w:val="00A12D44"/>
    <w:rsid w:val="00A1710E"/>
    <w:rsid w:val="00A223C0"/>
    <w:rsid w:val="00A25508"/>
    <w:rsid w:val="00A33E3C"/>
    <w:rsid w:val="00A44201"/>
    <w:rsid w:val="00A47864"/>
    <w:rsid w:val="00A81053"/>
    <w:rsid w:val="00A83E29"/>
    <w:rsid w:val="00A93E90"/>
    <w:rsid w:val="00AB3141"/>
    <w:rsid w:val="00AC0766"/>
    <w:rsid w:val="00AC6481"/>
    <w:rsid w:val="00AD3CA6"/>
    <w:rsid w:val="00AD75BC"/>
    <w:rsid w:val="00AD7CD7"/>
    <w:rsid w:val="00B02193"/>
    <w:rsid w:val="00B12C42"/>
    <w:rsid w:val="00B27245"/>
    <w:rsid w:val="00B3280E"/>
    <w:rsid w:val="00B40885"/>
    <w:rsid w:val="00B4766B"/>
    <w:rsid w:val="00B50FBA"/>
    <w:rsid w:val="00B67FA8"/>
    <w:rsid w:val="00B70F57"/>
    <w:rsid w:val="00B72A76"/>
    <w:rsid w:val="00B86DDC"/>
    <w:rsid w:val="00BA0A8F"/>
    <w:rsid w:val="00BB163E"/>
    <w:rsid w:val="00BC6C7E"/>
    <w:rsid w:val="00BD34E6"/>
    <w:rsid w:val="00BE2A02"/>
    <w:rsid w:val="00BF63F9"/>
    <w:rsid w:val="00C06638"/>
    <w:rsid w:val="00C15C2F"/>
    <w:rsid w:val="00C43E18"/>
    <w:rsid w:val="00C8532A"/>
    <w:rsid w:val="00C906E5"/>
    <w:rsid w:val="00C95365"/>
    <w:rsid w:val="00C95AC3"/>
    <w:rsid w:val="00C97C9C"/>
    <w:rsid w:val="00CA29B6"/>
    <w:rsid w:val="00CE2371"/>
    <w:rsid w:val="00D03F2C"/>
    <w:rsid w:val="00D1035B"/>
    <w:rsid w:val="00D24B28"/>
    <w:rsid w:val="00D45548"/>
    <w:rsid w:val="00D75761"/>
    <w:rsid w:val="00D87FF7"/>
    <w:rsid w:val="00D92668"/>
    <w:rsid w:val="00D9693F"/>
    <w:rsid w:val="00DB2EE0"/>
    <w:rsid w:val="00DC3E81"/>
    <w:rsid w:val="00DE42E0"/>
    <w:rsid w:val="00DF4C69"/>
    <w:rsid w:val="00DF6C5E"/>
    <w:rsid w:val="00DF6CD1"/>
    <w:rsid w:val="00E02464"/>
    <w:rsid w:val="00E15F96"/>
    <w:rsid w:val="00E30F5F"/>
    <w:rsid w:val="00E31C57"/>
    <w:rsid w:val="00E41891"/>
    <w:rsid w:val="00E45664"/>
    <w:rsid w:val="00E60D2D"/>
    <w:rsid w:val="00E628E7"/>
    <w:rsid w:val="00E9299F"/>
    <w:rsid w:val="00EA5DF1"/>
    <w:rsid w:val="00EC38F8"/>
    <w:rsid w:val="00EC7019"/>
    <w:rsid w:val="00EC7A3C"/>
    <w:rsid w:val="00ED66F8"/>
    <w:rsid w:val="00EF2976"/>
    <w:rsid w:val="00EF4241"/>
    <w:rsid w:val="00EF43C7"/>
    <w:rsid w:val="00F00EE4"/>
    <w:rsid w:val="00F05491"/>
    <w:rsid w:val="00F075F5"/>
    <w:rsid w:val="00F12E73"/>
    <w:rsid w:val="00F23E6B"/>
    <w:rsid w:val="00F24DC5"/>
    <w:rsid w:val="00F264CA"/>
    <w:rsid w:val="00F272BA"/>
    <w:rsid w:val="00F40698"/>
    <w:rsid w:val="00F43137"/>
    <w:rsid w:val="00F4492C"/>
    <w:rsid w:val="00F94611"/>
    <w:rsid w:val="00F9719D"/>
    <w:rsid w:val="00F97529"/>
    <w:rsid w:val="00FA7583"/>
    <w:rsid w:val="00FB2156"/>
    <w:rsid w:val="00FD53F6"/>
    <w:rsid w:val="00FE191C"/>
    <w:rsid w:val="00FE7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D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3E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uiPriority w:val="9"/>
    <w:unhideWhenUsed/>
    <w:qFormat/>
    <w:rsid w:val="00216660"/>
    <w:pPr>
      <w:keepNext/>
      <w:keepLines/>
      <w:spacing w:after="5" w:line="268" w:lineRule="auto"/>
      <w:ind w:left="10" w:right="111" w:hanging="10"/>
      <w:jc w:val="both"/>
      <w:outlineLvl w:val="1"/>
    </w:pPr>
    <w:rPr>
      <w:rFonts w:ascii="Times New Roman" w:eastAsia="Times New Roman" w:hAnsi="Times New Roman" w:cs="Times New Roman"/>
      <w:b/>
      <w:color w:val="000000"/>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28F"/>
    <w:pPr>
      <w:ind w:left="720"/>
      <w:contextualSpacing/>
    </w:pPr>
  </w:style>
  <w:style w:type="character" w:styleId="CommentReference">
    <w:name w:val="annotation reference"/>
    <w:basedOn w:val="DefaultParagraphFont"/>
    <w:uiPriority w:val="99"/>
    <w:semiHidden/>
    <w:unhideWhenUsed/>
    <w:rsid w:val="002137A5"/>
    <w:rPr>
      <w:sz w:val="16"/>
      <w:szCs w:val="16"/>
    </w:rPr>
  </w:style>
  <w:style w:type="paragraph" w:styleId="CommentText">
    <w:name w:val="annotation text"/>
    <w:basedOn w:val="Normal"/>
    <w:link w:val="CommentTextChar"/>
    <w:uiPriority w:val="99"/>
    <w:semiHidden/>
    <w:unhideWhenUsed/>
    <w:rsid w:val="002137A5"/>
    <w:pPr>
      <w:spacing w:line="240" w:lineRule="auto"/>
    </w:pPr>
    <w:rPr>
      <w:sz w:val="20"/>
      <w:szCs w:val="20"/>
    </w:rPr>
  </w:style>
  <w:style w:type="character" w:customStyle="1" w:styleId="CommentTextChar">
    <w:name w:val="Comment Text Char"/>
    <w:basedOn w:val="DefaultParagraphFont"/>
    <w:link w:val="CommentText"/>
    <w:uiPriority w:val="99"/>
    <w:semiHidden/>
    <w:rsid w:val="002137A5"/>
    <w:rPr>
      <w:sz w:val="20"/>
      <w:szCs w:val="20"/>
    </w:rPr>
  </w:style>
  <w:style w:type="paragraph" w:styleId="CommentSubject">
    <w:name w:val="annotation subject"/>
    <w:basedOn w:val="CommentText"/>
    <w:next w:val="CommentText"/>
    <w:link w:val="CommentSubjectChar"/>
    <w:uiPriority w:val="99"/>
    <w:semiHidden/>
    <w:unhideWhenUsed/>
    <w:rsid w:val="002137A5"/>
    <w:rPr>
      <w:b/>
      <w:bCs/>
    </w:rPr>
  </w:style>
  <w:style w:type="character" w:customStyle="1" w:styleId="CommentSubjectChar">
    <w:name w:val="Comment Subject Char"/>
    <w:basedOn w:val="CommentTextChar"/>
    <w:link w:val="CommentSubject"/>
    <w:uiPriority w:val="99"/>
    <w:semiHidden/>
    <w:rsid w:val="002137A5"/>
    <w:rPr>
      <w:b/>
      <w:bCs/>
      <w:sz w:val="20"/>
      <w:szCs w:val="20"/>
    </w:rPr>
  </w:style>
  <w:style w:type="paragraph" w:styleId="BalloonText">
    <w:name w:val="Balloon Text"/>
    <w:basedOn w:val="Normal"/>
    <w:link w:val="BalloonTextChar"/>
    <w:uiPriority w:val="99"/>
    <w:semiHidden/>
    <w:unhideWhenUsed/>
    <w:rsid w:val="002137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7A5"/>
    <w:rPr>
      <w:rFonts w:ascii="Segoe UI" w:hAnsi="Segoe UI" w:cs="Segoe UI"/>
      <w:sz w:val="18"/>
      <w:szCs w:val="18"/>
    </w:rPr>
  </w:style>
  <w:style w:type="paragraph" w:styleId="FootnoteText">
    <w:name w:val="footnote text"/>
    <w:basedOn w:val="Normal"/>
    <w:link w:val="FootnoteTextChar"/>
    <w:uiPriority w:val="99"/>
    <w:unhideWhenUsed/>
    <w:rsid w:val="00DF6C5E"/>
    <w:pPr>
      <w:spacing w:after="0" w:line="240" w:lineRule="auto"/>
    </w:pPr>
    <w:rPr>
      <w:sz w:val="20"/>
      <w:szCs w:val="20"/>
    </w:rPr>
  </w:style>
  <w:style w:type="character" w:customStyle="1" w:styleId="FootnoteTextChar">
    <w:name w:val="Footnote Text Char"/>
    <w:basedOn w:val="DefaultParagraphFont"/>
    <w:link w:val="FootnoteText"/>
    <w:uiPriority w:val="99"/>
    <w:rsid w:val="00DF6C5E"/>
    <w:rPr>
      <w:sz w:val="20"/>
      <w:szCs w:val="20"/>
    </w:rPr>
  </w:style>
  <w:style w:type="character" w:styleId="FootnoteReference">
    <w:name w:val="footnote reference"/>
    <w:basedOn w:val="DefaultParagraphFont"/>
    <w:uiPriority w:val="99"/>
    <w:semiHidden/>
    <w:unhideWhenUsed/>
    <w:rsid w:val="00DF6C5E"/>
    <w:rPr>
      <w:vertAlign w:val="superscript"/>
    </w:rPr>
  </w:style>
  <w:style w:type="character" w:customStyle="1" w:styleId="Heading2Char">
    <w:name w:val="Heading 2 Char"/>
    <w:basedOn w:val="DefaultParagraphFont"/>
    <w:link w:val="Heading2"/>
    <w:uiPriority w:val="9"/>
    <w:rsid w:val="00216660"/>
    <w:rPr>
      <w:rFonts w:ascii="Times New Roman" w:eastAsia="Times New Roman" w:hAnsi="Times New Roman" w:cs="Times New Roman"/>
      <w:b/>
      <w:color w:val="000000"/>
      <w:sz w:val="24"/>
      <w:lang w:eastAsia="en-GB"/>
    </w:rPr>
  </w:style>
  <w:style w:type="paragraph" w:styleId="Caption">
    <w:name w:val="caption"/>
    <w:basedOn w:val="Normal"/>
    <w:next w:val="Normal"/>
    <w:uiPriority w:val="35"/>
    <w:unhideWhenUsed/>
    <w:qFormat/>
    <w:rsid w:val="00216660"/>
    <w:pPr>
      <w:spacing w:after="200" w:line="240" w:lineRule="auto"/>
      <w:ind w:right="118" w:firstLine="710"/>
      <w:jc w:val="both"/>
    </w:pPr>
    <w:rPr>
      <w:rFonts w:ascii="Times New Roman" w:eastAsia="Times New Roman" w:hAnsi="Times New Roman" w:cs="Times New Roman"/>
      <w:i/>
      <w:iCs/>
      <w:color w:val="44546A" w:themeColor="text2"/>
      <w:sz w:val="18"/>
      <w:szCs w:val="18"/>
      <w:lang w:eastAsia="en-GB"/>
    </w:rPr>
  </w:style>
  <w:style w:type="table" w:customStyle="1" w:styleId="PlainTable51">
    <w:name w:val="Plain Table 51"/>
    <w:basedOn w:val="TableNormal"/>
    <w:uiPriority w:val="45"/>
    <w:rsid w:val="0095263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uiPriority w:val="46"/>
    <w:rsid w:val="00952632"/>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7Colorful-Accent31">
    <w:name w:val="Grid Table 7 Colorful - Accent 31"/>
    <w:basedOn w:val="TableNormal"/>
    <w:uiPriority w:val="52"/>
    <w:rsid w:val="00B72A7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ListTable7Colorful-Accent31">
    <w:name w:val="List Table 7 Colorful - Accent 31"/>
    <w:basedOn w:val="TableNormal"/>
    <w:uiPriority w:val="52"/>
    <w:rsid w:val="00B72A76"/>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Web">
    <w:name w:val="Normal (Web)"/>
    <w:basedOn w:val="Normal"/>
    <w:uiPriority w:val="99"/>
    <w:semiHidden/>
    <w:unhideWhenUsed/>
    <w:rsid w:val="0059249F"/>
    <w:pPr>
      <w:spacing w:before="100" w:beforeAutospacing="1" w:after="100" w:afterAutospacing="1" w:line="240" w:lineRule="auto"/>
    </w:pPr>
    <w:rPr>
      <w:rFonts w:ascii="Times New Roman" w:eastAsiaTheme="minorEastAsia" w:hAnsi="Times New Roman" w:cs="Times New Roman"/>
      <w:sz w:val="24"/>
      <w:szCs w:val="24"/>
      <w:lang w:val="en-US"/>
    </w:rPr>
  </w:style>
  <w:style w:type="table" w:customStyle="1" w:styleId="TableGrid">
    <w:name w:val="TableGrid"/>
    <w:rsid w:val="006F5777"/>
    <w:pPr>
      <w:spacing w:after="0" w:line="240" w:lineRule="auto"/>
    </w:pPr>
    <w:rPr>
      <w:rFonts w:eastAsiaTheme="minorEastAsia"/>
      <w:lang w:eastAsia="en-GB"/>
    </w:r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C43E18"/>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C43E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3E18"/>
    <w:rPr>
      <w:rFonts w:asciiTheme="majorHAnsi" w:eastAsiaTheme="majorEastAsia" w:hAnsiTheme="majorHAnsi" w:cstheme="majorBidi"/>
      <w:spacing w:val="-10"/>
      <w:kern w:val="28"/>
      <w:sz w:val="56"/>
      <w:szCs w:val="56"/>
    </w:rPr>
  </w:style>
  <w:style w:type="paragraph" w:customStyle="1" w:styleId="Default">
    <w:name w:val="Default"/>
    <w:rsid w:val="005A67B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6B006C"/>
    <w:rPr>
      <w:color w:val="0563C1" w:themeColor="hyperlink"/>
      <w:u w:val="single"/>
    </w:rPr>
  </w:style>
  <w:style w:type="paragraph" w:styleId="Header">
    <w:name w:val="header"/>
    <w:basedOn w:val="Normal"/>
    <w:link w:val="HeaderChar"/>
    <w:uiPriority w:val="99"/>
    <w:unhideWhenUsed/>
    <w:rsid w:val="00C15C2F"/>
    <w:pPr>
      <w:tabs>
        <w:tab w:val="center" w:pos="4703"/>
        <w:tab w:val="right" w:pos="9406"/>
      </w:tabs>
      <w:spacing w:after="0" w:line="240" w:lineRule="auto"/>
    </w:pPr>
  </w:style>
  <w:style w:type="character" w:customStyle="1" w:styleId="HeaderChar">
    <w:name w:val="Header Char"/>
    <w:basedOn w:val="DefaultParagraphFont"/>
    <w:link w:val="Header"/>
    <w:uiPriority w:val="99"/>
    <w:rsid w:val="00C15C2F"/>
  </w:style>
  <w:style w:type="paragraph" w:styleId="Footer">
    <w:name w:val="footer"/>
    <w:basedOn w:val="Normal"/>
    <w:link w:val="FooterChar"/>
    <w:uiPriority w:val="99"/>
    <w:unhideWhenUsed/>
    <w:rsid w:val="00C15C2F"/>
    <w:pPr>
      <w:tabs>
        <w:tab w:val="center" w:pos="4703"/>
        <w:tab w:val="right" w:pos="9406"/>
      </w:tabs>
      <w:spacing w:after="0" w:line="240" w:lineRule="auto"/>
    </w:pPr>
  </w:style>
  <w:style w:type="character" w:customStyle="1" w:styleId="FooterChar">
    <w:name w:val="Footer Char"/>
    <w:basedOn w:val="DefaultParagraphFont"/>
    <w:link w:val="Footer"/>
    <w:uiPriority w:val="99"/>
    <w:rsid w:val="00C15C2F"/>
  </w:style>
  <w:style w:type="paragraph" w:styleId="Revision">
    <w:name w:val="Revision"/>
    <w:hidden/>
    <w:uiPriority w:val="99"/>
    <w:semiHidden/>
    <w:rsid w:val="005E21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3600">
      <w:bodyDiv w:val="1"/>
      <w:marLeft w:val="0"/>
      <w:marRight w:val="0"/>
      <w:marTop w:val="0"/>
      <w:marBottom w:val="0"/>
      <w:divBdr>
        <w:top w:val="none" w:sz="0" w:space="0" w:color="auto"/>
        <w:left w:val="none" w:sz="0" w:space="0" w:color="auto"/>
        <w:bottom w:val="none" w:sz="0" w:space="0" w:color="auto"/>
        <w:right w:val="none" w:sz="0" w:space="0" w:color="auto"/>
      </w:divBdr>
    </w:div>
    <w:div w:id="40595908">
      <w:bodyDiv w:val="1"/>
      <w:marLeft w:val="0"/>
      <w:marRight w:val="0"/>
      <w:marTop w:val="0"/>
      <w:marBottom w:val="0"/>
      <w:divBdr>
        <w:top w:val="none" w:sz="0" w:space="0" w:color="auto"/>
        <w:left w:val="none" w:sz="0" w:space="0" w:color="auto"/>
        <w:bottom w:val="none" w:sz="0" w:space="0" w:color="auto"/>
        <w:right w:val="none" w:sz="0" w:space="0" w:color="auto"/>
      </w:divBdr>
    </w:div>
    <w:div w:id="110056973">
      <w:bodyDiv w:val="1"/>
      <w:marLeft w:val="0"/>
      <w:marRight w:val="0"/>
      <w:marTop w:val="0"/>
      <w:marBottom w:val="0"/>
      <w:divBdr>
        <w:top w:val="none" w:sz="0" w:space="0" w:color="auto"/>
        <w:left w:val="none" w:sz="0" w:space="0" w:color="auto"/>
        <w:bottom w:val="none" w:sz="0" w:space="0" w:color="auto"/>
        <w:right w:val="none" w:sz="0" w:space="0" w:color="auto"/>
      </w:divBdr>
    </w:div>
    <w:div w:id="126778266">
      <w:bodyDiv w:val="1"/>
      <w:marLeft w:val="0"/>
      <w:marRight w:val="0"/>
      <w:marTop w:val="0"/>
      <w:marBottom w:val="0"/>
      <w:divBdr>
        <w:top w:val="none" w:sz="0" w:space="0" w:color="auto"/>
        <w:left w:val="none" w:sz="0" w:space="0" w:color="auto"/>
        <w:bottom w:val="none" w:sz="0" w:space="0" w:color="auto"/>
        <w:right w:val="none" w:sz="0" w:space="0" w:color="auto"/>
      </w:divBdr>
      <w:divsChild>
        <w:div w:id="992292571">
          <w:marLeft w:val="634"/>
          <w:marRight w:val="0"/>
          <w:marTop w:val="115"/>
          <w:marBottom w:val="0"/>
          <w:divBdr>
            <w:top w:val="none" w:sz="0" w:space="0" w:color="auto"/>
            <w:left w:val="none" w:sz="0" w:space="0" w:color="auto"/>
            <w:bottom w:val="none" w:sz="0" w:space="0" w:color="auto"/>
            <w:right w:val="none" w:sz="0" w:space="0" w:color="auto"/>
          </w:divBdr>
        </w:div>
        <w:div w:id="616444720">
          <w:marLeft w:val="1267"/>
          <w:marRight w:val="0"/>
          <w:marTop w:val="86"/>
          <w:marBottom w:val="0"/>
          <w:divBdr>
            <w:top w:val="none" w:sz="0" w:space="0" w:color="auto"/>
            <w:left w:val="none" w:sz="0" w:space="0" w:color="auto"/>
            <w:bottom w:val="none" w:sz="0" w:space="0" w:color="auto"/>
            <w:right w:val="none" w:sz="0" w:space="0" w:color="auto"/>
          </w:divBdr>
        </w:div>
        <w:div w:id="166483838">
          <w:marLeft w:val="1267"/>
          <w:marRight w:val="0"/>
          <w:marTop w:val="86"/>
          <w:marBottom w:val="0"/>
          <w:divBdr>
            <w:top w:val="none" w:sz="0" w:space="0" w:color="auto"/>
            <w:left w:val="none" w:sz="0" w:space="0" w:color="auto"/>
            <w:bottom w:val="none" w:sz="0" w:space="0" w:color="auto"/>
            <w:right w:val="none" w:sz="0" w:space="0" w:color="auto"/>
          </w:divBdr>
        </w:div>
        <w:div w:id="265037517">
          <w:marLeft w:val="634"/>
          <w:marRight w:val="0"/>
          <w:marTop w:val="115"/>
          <w:marBottom w:val="0"/>
          <w:divBdr>
            <w:top w:val="none" w:sz="0" w:space="0" w:color="auto"/>
            <w:left w:val="none" w:sz="0" w:space="0" w:color="auto"/>
            <w:bottom w:val="none" w:sz="0" w:space="0" w:color="auto"/>
            <w:right w:val="none" w:sz="0" w:space="0" w:color="auto"/>
          </w:divBdr>
        </w:div>
        <w:div w:id="967516294">
          <w:marLeft w:val="1166"/>
          <w:marRight w:val="0"/>
          <w:marTop w:val="86"/>
          <w:marBottom w:val="0"/>
          <w:divBdr>
            <w:top w:val="none" w:sz="0" w:space="0" w:color="auto"/>
            <w:left w:val="none" w:sz="0" w:space="0" w:color="auto"/>
            <w:bottom w:val="none" w:sz="0" w:space="0" w:color="auto"/>
            <w:right w:val="none" w:sz="0" w:space="0" w:color="auto"/>
          </w:divBdr>
        </w:div>
        <w:div w:id="51393425">
          <w:marLeft w:val="1800"/>
          <w:marRight w:val="0"/>
          <w:marTop w:val="67"/>
          <w:marBottom w:val="0"/>
          <w:divBdr>
            <w:top w:val="none" w:sz="0" w:space="0" w:color="auto"/>
            <w:left w:val="none" w:sz="0" w:space="0" w:color="auto"/>
            <w:bottom w:val="none" w:sz="0" w:space="0" w:color="auto"/>
            <w:right w:val="none" w:sz="0" w:space="0" w:color="auto"/>
          </w:divBdr>
        </w:div>
        <w:div w:id="1538201011">
          <w:marLeft w:val="1800"/>
          <w:marRight w:val="0"/>
          <w:marTop w:val="67"/>
          <w:marBottom w:val="0"/>
          <w:divBdr>
            <w:top w:val="none" w:sz="0" w:space="0" w:color="auto"/>
            <w:left w:val="none" w:sz="0" w:space="0" w:color="auto"/>
            <w:bottom w:val="none" w:sz="0" w:space="0" w:color="auto"/>
            <w:right w:val="none" w:sz="0" w:space="0" w:color="auto"/>
          </w:divBdr>
        </w:div>
        <w:div w:id="869144511">
          <w:marLeft w:val="634"/>
          <w:marRight w:val="0"/>
          <w:marTop w:val="115"/>
          <w:marBottom w:val="0"/>
          <w:divBdr>
            <w:top w:val="none" w:sz="0" w:space="0" w:color="auto"/>
            <w:left w:val="none" w:sz="0" w:space="0" w:color="auto"/>
            <w:bottom w:val="none" w:sz="0" w:space="0" w:color="auto"/>
            <w:right w:val="none" w:sz="0" w:space="0" w:color="auto"/>
          </w:divBdr>
        </w:div>
        <w:div w:id="333529621">
          <w:marLeft w:val="1354"/>
          <w:marRight w:val="0"/>
          <w:marTop w:val="86"/>
          <w:marBottom w:val="0"/>
          <w:divBdr>
            <w:top w:val="none" w:sz="0" w:space="0" w:color="auto"/>
            <w:left w:val="none" w:sz="0" w:space="0" w:color="auto"/>
            <w:bottom w:val="none" w:sz="0" w:space="0" w:color="auto"/>
            <w:right w:val="none" w:sz="0" w:space="0" w:color="auto"/>
          </w:divBdr>
        </w:div>
        <w:div w:id="1988433495">
          <w:marLeft w:val="1354"/>
          <w:marRight w:val="0"/>
          <w:marTop w:val="86"/>
          <w:marBottom w:val="0"/>
          <w:divBdr>
            <w:top w:val="none" w:sz="0" w:space="0" w:color="auto"/>
            <w:left w:val="none" w:sz="0" w:space="0" w:color="auto"/>
            <w:bottom w:val="none" w:sz="0" w:space="0" w:color="auto"/>
            <w:right w:val="none" w:sz="0" w:space="0" w:color="auto"/>
          </w:divBdr>
        </w:div>
      </w:divsChild>
    </w:div>
    <w:div w:id="138419609">
      <w:bodyDiv w:val="1"/>
      <w:marLeft w:val="0"/>
      <w:marRight w:val="0"/>
      <w:marTop w:val="0"/>
      <w:marBottom w:val="0"/>
      <w:divBdr>
        <w:top w:val="none" w:sz="0" w:space="0" w:color="auto"/>
        <w:left w:val="none" w:sz="0" w:space="0" w:color="auto"/>
        <w:bottom w:val="none" w:sz="0" w:space="0" w:color="auto"/>
        <w:right w:val="none" w:sz="0" w:space="0" w:color="auto"/>
      </w:divBdr>
    </w:div>
    <w:div w:id="229274522">
      <w:bodyDiv w:val="1"/>
      <w:marLeft w:val="0"/>
      <w:marRight w:val="0"/>
      <w:marTop w:val="0"/>
      <w:marBottom w:val="0"/>
      <w:divBdr>
        <w:top w:val="none" w:sz="0" w:space="0" w:color="auto"/>
        <w:left w:val="none" w:sz="0" w:space="0" w:color="auto"/>
        <w:bottom w:val="none" w:sz="0" w:space="0" w:color="auto"/>
        <w:right w:val="none" w:sz="0" w:space="0" w:color="auto"/>
      </w:divBdr>
    </w:div>
    <w:div w:id="450787309">
      <w:bodyDiv w:val="1"/>
      <w:marLeft w:val="0"/>
      <w:marRight w:val="0"/>
      <w:marTop w:val="0"/>
      <w:marBottom w:val="0"/>
      <w:divBdr>
        <w:top w:val="none" w:sz="0" w:space="0" w:color="auto"/>
        <w:left w:val="none" w:sz="0" w:space="0" w:color="auto"/>
        <w:bottom w:val="none" w:sz="0" w:space="0" w:color="auto"/>
        <w:right w:val="none" w:sz="0" w:space="0" w:color="auto"/>
      </w:divBdr>
    </w:div>
    <w:div w:id="707069205">
      <w:bodyDiv w:val="1"/>
      <w:marLeft w:val="0"/>
      <w:marRight w:val="0"/>
      <w:marTop w:val="0"/>
      <w:marBottom w:val="0"/>
      <w:divBdr>
        <w:top w:val="none" w:sz="0" w:space="0" w:color="auto"/>
        <w:left w:val="none" w:sz="0" w:space="0" w:color="auto"/>
        <w:bottom w:val="none" w:sz="0" w:space="0" w:color="auto"/>
        <w:right w:val="none" w:sz="0" w:space="0" w:color="auto"/>
      </w:divBdr>
      <w:divsChild>
        <w:div w:id="1636061630">
          <w:marLeft w:val="360"/>
          <w:marRight w:val="0"/>
          <w:marTop w:val="53"/>
          <w:marBottom w:val="0"/>
          <w:divBdr>
            <w:top w:val="none" w:sz="0" w:space="0" w:color="auto"/>
            <w:left w:val="none" w:sz="0" w:space="0" w:color="auto"/>
            <w:bottom w:val="none" w:sz="0" w:space="0" w:color="auto"/>
            <w:right w:val="none" w:sz="0" w:space="0" w:color="auto"/>
          </w:divBdr>
        </w:div>
        <w:div w:id="1166241149">
          <w:marLeft w:val="288"/>
          <w:marRight w:val="0"/>
          <w:marTop w:val="53"/>
          <w:marBottom w:val="0"/>
          <w:divBdr>
            <w:top w:val="none" w:sz="0" w:space="0" w:color="auto"/>
            <w:left w:val="none" w:sz="0" w:space="0" w:color="auto"/>
            <w:bottom w:val="none" w:sz="0" w:space="0" w:color="auto"/>
            <w:right w:val="none" w:sz="0" w:space="0" w:color="auto"/>
          </w:divBdr>
        </w:div>
        <w:div w:id="1499345843">
          <w:marLeft w:val="288"/>
          <w:marRight w:val="0"/>
          <w:marTop w:val="53"/>
          <w:marBottom w:val="0"/>
          <w:divBdr>
            <w:top w:val="none" w:sz="0" w:space="0" w:color="auto"/>
            <w:left w:val="none" w:sz="0" w:space="0" w:color="auto"/>
            <w:bottom w:val="none" w:sz="0" w:space="0" w:color="auto"/>
            <w:right w:val="none" w:sz="0" w:space="0" w:color="auto"/>
          </w:divBdr>
        </w:div>
        <w:div w:id="2000190635">
          <w:marLeft w:val="288"/>
          <w:marRight w:val="0"/>
          <w:marTop w:val="53"/>
          <w:marBottom w:val="0"/>
          <w:divBdr>
            <w:top w:val="none" w:sz="0" w:space="0" w:color="auto"/>
            <w:left w:val="none" w:sz="0" w:space="0" w:color="auto"/>
            <w:bottom w:val="none" w:sz="0" w:space="0" w:color="auto"/>
            <w:right w:val="none" w:sz="0" w:space="0" w:color="auto"/>
          </w:divBdr>
        </w:div>
        <w:div w:id="1724284837">
          <w:marLeft w:val="288"/>
          <w:marRight w:val="0"/>
          <w:marTop w:val="53"/>
          <w:marBottom w:val="0"/>
          <w:divBdr>
            <w:top w:val="none" w:sz="0" w:space="0" w:color="auto"/>
            <w:left w:val="none" w:sz="0" w:space="0" w:color="auto"/>
            <w:bottom w:val="none" w:sz="0" w:space="0" w:color="auto"/>
            <w:right w:val="none" w:sz="0" w:space="0" w:color="auto"/>
          </w:divBdr>
        </w:div>
        <w:div w:id="1115829656">
          <w:marLeft w:val="288"/>
          <w:marRight w:val="0"/>
          <w:marTop w:val="53"/>
          <w:marBottom w:val="0"/>
          <w:divBdr>
            <w:top w:val="none" w:sz="0" w:space="0" w:color="auto"/>
            <w:left w:val="none" w:sz="0" w:space="0" w:color="auto"/>
            <w:bottom w:val="none" w:sz="0" w:space="0" w:color="auto"/>
            <w:right w:val="none" w:sz="0" w:space="0" w:color="auto"/>
          </w:divBdr>
        </w:div>
      </w:divsChild>
    </w:div>
    <w:div w:id="711350520">
      <w:bodyDiv w:val="1"/>
      <w:marLeft w:val="0"/>
      <w:marRight w:val="0"/>
      <w:marTop w:val="0"/>
      <w:marBottom w:val="0"/>
      <w:divBdr>
        <w:top w:val="none" w:sz="0" w:space="0" w:color="auto"/>
        <w:left w:val="none" w:sz="0" w:space="0" w:color="auto"/>
        <w:bottom w:val="none" w:sz="0" w:space="0" w:color="auto"/>
        <w:right w:val="none" w:sz="0" w:space="0" w:color="auto"/>
      </w:divBdr>
    </w:div>
    <w:div w:id="793213964">
      <w:bodyDiv w:val="1"/>
      <w:marLeft w:val="0"/>
      <w:marRight w:val="0"/>
      <w:marTop w:val="0"/>
      <w:marBottom w:val="0"/>
      <w:divBdr>
        <w:top w:val="none" w:sz="0" w:space="0" w:color="auto"/>
        <w:left w:val="none" w:sz="0" w:space="0" w:color="auto"/>
        <w:bottom w:val="none" w:sz="0" w:space="0" w:color="auto"/>
        <w:right w:val="none" w:sz="0" w:space="0" w:color="auto"/>
      </w:divBdr>
    </w:div>
    <w:div w:id="960114227">
      <w:bodyDiv w:val="1"/>
      <w:marLeft w:val="0"/>
      <w:marRight w:val="0"/>
      <w:marTop w:val="0"/>
      <w:marBottom w:val="0"/>
      <w:divBdr>
        <w:top w:val="none" w:sz="0" w:space="0" w:color="auto"/>
        <w:left w:val="none" w:sz="0" w:space="0" w:color="auto"/>
        <w:bottom w:val="none" w:sz="0" w:space="0" w:color="auto"/>
        <w:right w:val="none" w:sz="0" w:space="0" w:color="auto"/>
      </w:divBdr>
    </w:div>
    <w:div w:id="967011162">
      <w:bodyDiv w:val="1"/>
      <w:marLeft w:val="0"/>
      <w:marRight w:val="0"/>
      <w:marTop w:val="0"/>
      <w:marBottom w:val="0"/>
      <w:divBdr>
        <w:top w:val="none" w:sz="0" w:space="0" w:color="auto"/>
        <w:left w:val="none" w:sz="0" w:space="0" w:color="auto"/>
        <w:bottom w:val="none" w:sz="0" w:space="0" w:color="auto"/>
        <w:right w:val="none" w:sz="0" w:space="0" w:color="auto"/>
      </w:divBdr>
    </w:div>
    <w:div w:id="1045325167">
      <w:bodyDiv w:val="1"/>
      <w:marLeft w:val="0"/>
      <w:marRight w:val="0"/>
      <w:marTop w:val="0"/>
      <w:marBottom w:val="0"/>
      <w:divBdr>
        <w:top w:val="none" w:sz="0" w:space="0" w:color="auto"/>
        <w:left w:val="none" w:sz="0" w:space="0" w:color="auto"/>
        <w:bottom w:val="none" w:sz="0" w:space="0" w:color="auto"/>
        <w:right w:val="none" w:sz="0" w:space="0" w:color="auto"/>
      </w:divBdr>
    </w:div>
    <w:div w:id="1088573973">
      <w:bodyDiv w:val="1"/>
      <w:marLeft w:val="0"/>
      <w:marRight w:val="0"/>
      <w:marTop w:val="0"/>
      <w:marBottom w:val="0"/>
      <w:divBdr>
        <w:top w:val="none" w:sz="0" w:space="0" w:color="auto"/>
        <w:left w:val="none" w:sz="0" w:space="0" w:color="auto"/>
        <w:bottom w:val="none" w:sz="0" w:space="0" w:color="auto"/>
        <w:right w:val="none" w:sz="0" w:space="0" w:color="auto"/>
      </w:divBdr>
    </w:div>
    <w:div w:id="1218542601">
      <w:bodyDiv w:val="1"/>
      <w:marLeft w:val="0"/>
      <w:marRight w:val="0"/>
      <w:marTop w:val="0"/>
      <w:marBottom w:val="0"/>
      <w:divBdr>
        <w:top w:val="none" w:sz="0" w:space="0" w:color="auto"/>
        <w:left w:val="none" w:sz="0" w:space="0" w:color="auto"/>
        <w:bottom w:val="none" w:sz="0" w:space="0" w:color="auto"/>
        <w:right w:val="none" w:sz="0" w:space="0" w:color="auto"/>
      </w:divBdr>
      <w:divsChild>
        <w:div w:id="2098943372">
          <w:marLeft w:val="979"/>
          <w:marRight w:val="0"/>
          <w:marTop w:val="0"/>
          <w:marBottom w:val="0"/>
          <w:divBdr>
            <w:top w:val="none" w:sz="0" w:space="0" w:color="auto"/>
            <w:left w:val="none" w:sz="0" w:space="0" w:color="auto"/>
            <w:bottom w:val="none" w:sz="0" w:space="0" w:color="auto"/>
            <w:right w:val="none" w:sz="0" w:space="0" w:color="auto"/>
          </w:divBdr>
        </w:div>
        <w:div w:id="1698191625">
          <w:marLeft w:val="979"/>
          <w:marRight w:val="0"/>
          <w:marTop w:val="0"/>
          <w:marBottom w:val="0"/>
          <w:divBdr>
            <w:top w:val="none" w:sz="0" w:space="0" w:color="auto"/>
            <w:left w:val="none" w:sz="0" w:space="0" w:color="auto"/>
            <w:bottom w:val="none" w:sz="0" w:space="0" w:color="auto"/>
            <w:right w:val="none" w:sz="0" w:space="0" w:color="auto"/>
          </w:divBdr>
        </w:div>
      </w:divsChild>
    </w:div>
    <w:div w:id="1251620430">
      <w:bodyDiv w:val="1"/>
      <w:marLeft w:val="0"/>
      <w:marRight w:val="0"/>
      <w:marTop w:val="0"/>
      <w:marBottom w:val="0"/>
      <w:divBdr>
        <w:top w:val="none" w:sz="0" w:space="0" w:color="auto"/>
        <w:left w:val="none" w:sz="0" w:space="0" w:color="auto"/>
        <w:bottom w:val="none" w:sz="0" w:space="0" w:color="auto"/>
        <w:right w:val="none" w:sz="0" w:space="0" w:color="auto"/>
      </w:divBdr>
    </w:div>
    <w:div w:id="1268468343">
      <w:bodyDiv w:val="1"/>
      <w:marLeft w:val="0"/>
      <w:marRight w:val="0"/>
      <w:marTop w:val="0"/>
      <w:marBottom w:val="0"/>
      <w:divBdr>
        <w:top w:val="none" w:sz="0" w:space="0" w:color="auto"/>
        <w:left w:val="none" w:sz="0" w:space="0" w:color="auto"/>
        <w:bottom w:val="none" w:sz="0" w:space="0" w:color="auto"/>
        <w:right w:val="none" w:sz="0" w:space="0" w:color="auto"/>
      </w:divBdr>
    </w:div>
    <w:div w:id="1334797537">
      <w:bodyDiv w:val="1"/>
      <w:marLeft w:val="0"/>
      <w:marRight w:val="0"/>
      <w:marTop w:val="0"/>
      <w:marBottom w:val="0"/>
      <w:divBdr>
        <w:top w:val="none" w:sz="0" w:space="0" w:color="auto"/>
        <w:left w:val="none" w:sz="0" w:space="0" w:color="auto"/>
        <w:bottom w:val="none" w:sz="0" w:space="0" w:color="auto"/>
        <w:right w:val="none" w:sz="0" w:space="0" w:color="auto"/>
      </w:divBdr>
    </w:div>
    <w:div w:id="1342320933">
      <w:bodyDiv w:val="1"/>
      <w:marLeft w:val="0"/>
      <w:marRight w:val="0"/>
      <w:marTop w:val="0"/>
      <w:marBottom w:val="0"/>
      <w:divBdr>
        <w:top w:val="none" w:sz="0" w:space="0" w:color="auto"/>
        <w:left w:val="none" w:sz="0" w:space="0" w:color="auto"/>
        <w:bottom w:val="none" w:sz="0" w:space="0" w:color="auto"/>
        <w:right w:val="none" w:sz="0" w:space="0" w:color="auto"/>
      </w:divBdr>
      <w:divsChild>
        <w:div w:id="255214675">
          <w:marLeft w:val="360"/>
          <w:marRight w:val="0"/>
          <w:marTop w:val="53"/>
          <w:marBottom w:val="0"/>
          <w:divBdr>
            <w:top w:val="none" w:sz="0" w:space="0" w:color="auto"/>
            <w:left w:val="none" w:sz="0" w:space="0" w:color="auto"/>
            <w:bottom w:val="none" w:sz="0" w:space="0" w:color="auto"/>
            <w:right w:val="none" w:sz="0" w:space="0" w:color="auto"/>
          </w:divBdr>
        </w:div>
      </w:divsChild>
    </w:div>
    <w:div w:id="1438407890">
      <w:bodyDiv w:val="1"/>
      <w:marLeft w:val="0"/>
      <w:marRight w:val="0"/>
      <w:marTop w:val="0"/>
      <w:marBottom w:val="0"/>
      <w:divBdr>
        <w:top w:val="none" w:sz="0" w:space="0" w:color="auto"/>
        <w:left w:val="none" w:sz="0" w:space="0" w:color="auto"/>
        <w:bottom w:val="none" w:sz="0" w:space="0" w:color="auto"/>
        <w:right w:val="none" w:sz="0" w:space="0" w:color="auto"/>
      </w:divBdr>
    </w:div>
    <w:div w:id="1440026309">
      <w:bodyDiv w:val="1"/>
      <w:marLeft w:val="0"/>
      <w:marRight w:val="0"/>
      <w:marTop w:val="0"/>
      <w:marBottom w:val="0"/>
      <w:divBdr>
        <w:top w:val="none" w:sz="0" w:space="0" w:color="auto"/>
        <w:left w:val="none" w:sz="0" w:space="0" w:color="auto"/>
        <w:bottom w:val="none" w:sz="0" w:space="0" w:color="auto"/>
        <w:right w:val="none" w:sz="0" w:space="0" w:color="auto"/>
      </w:divBdr>
    </w:div>
    <w:div w:id="1458067012">
      <w:bodyDiv w:val="1"/>
      <w:marLeft w:val="0"/>
      <w:marRight w:val="0"/>
      <w:marTop w:val="0"/>
      <w:marBottom w:val="0"/>
      <w:divBdr>
        <w:top w:val="none" w:sz="0" w:space="0" w:color="auto"/>
        <w:left w:val="none" w:sz="0" w:space="0" w:color="auto"/>
        <w:bottom w:val="none" w:sz="0" w:space="0" w:color="auto"/>
        <w:right w:val="none" w:sz="0" w:space="0" w:color="auto"/>
      </w:divBdr>
    </w:div>
    <w:div w:id="1495223927">
      <w:bodyDiv w:val="1"/>
      <w:marLeft w:val="0"/>
      <w:marRight w:val="0"/>
      <w:marTop w:val="0"/>
      <w:marBottom w:val="0"/>
      <w:divBdr>
        <w:top w:val="none" w:sz="0" w:space="0" w:color="auto"/>
        <w:left w:val="none" w:sz="0" w:space="0" w:color="auto"/>
        <w:bottom w:val="none" w:sz="0" w:space="0" w:color="auto"/>
        <w:right w:val="none" w:sz="0" w:space="0" w:color="auto"/>
      </w:divBdr>
      <w:divsChild>
        <w:div w:id="2096584534">
          <w:marLeft w:val="806"/>
          <w:marRight w:val="0"/>
          <w:marTop w:val="134"/>
          <w:marBottom w:val="240"/>
          <w:divBdr>
            <w:top w:val="none" w:sz="0" w:space="0" w:color="auto"/>
            <w:left w:val="none" w:sz="0" w:space="0" w:color="auto"/>
            <w:bottom w:val="none" w:sz="0" w:space="0" w:color="auto"/>
            <w:right w:val="none" w:sz="0" w:space="0" w:color="auto"/>
          </w:divBdr>
        </w:div>
        <w:div w:id="1689789533">
          <w:marLeft w:val="806"/>
          <w:marRight w:val="0"/>
          <w:marTop w:val="134"/>
          <w:marBottom w:val="240"/>
          <w:divBdr>
            <w:top w:val="none" w:sz="0" w:space="0" w:color="auto"/>
            <w:left w:val="none" w:sz="0" w:space="0" w:color="auto"/>
            <w:bottom w:val="none" w:sz="0" w:space="0" w:color="auto"/>
            <w:right w:val="none" w:sz="0" w:space="0" w:color="auto"/>
          </w:divBdr>
        </w:div>
        <w:div w:id="1487431622">
          <w:marLeft w:val="806"/>
          <w:marRight w:val="0"/>
          <w:marTop w:val="134"/>
          <w:marBottom w:val="240"/>
          <w:divBdr>
            <w:top w:val="none" w:sz="0" w:space="0" w:color="auto"/>
            <w:left w:val="none" w:sz="0" w:space="0" w:color="auto"/>
            <w:bottom w:val="none" w:sz="0" w:space="0" w:color="auto"/>
            <w:right w:val="none" w:sz="0" w:space="0" w:color="auto"/>
          </w:divBdr>
        </w:div>
        <w:div w:id="1672684209">
          <w:marLeft w:val="806"/>
          <w:marRight w:val="0"/>
          <w:marTop w:val="134"/>
          <w:marBottom w:val="240"/>
          <w:divBdr>
            <w:top w:val="none" w:sz="0" w:space="0" w:color="auto"/>
            <w:left w:val="none" w:sz="0" w:space="0" w:color="auto"/>
            <w:bottom w:val="none" w:sz="0" w:space="0" w:color="auto"/>
            <w:right w:val="none" w:sz="0" w:space="0" w:color="auto"/>
          </w:divBdr>
        </w:div>
        <w:div w:id="1928810264">
          <w:marLeft w:val="806"/>
          <w:marRight w:val="0"/>
          <w:marTop w:val="134"/>
          <w:marBottom w:val="240"/>
          <w:divBdr>
            <w:top w:val="none" w:sz="0" w:space="0" w:color="auto"/>
            <w:left w:val="none" w:sz="0" w:space="0" w:color="auto"/>
            <w:bottom w:val="none" w:sz="0" w:space="0" w:color="auto"/>
            <w:right w:val="none" w:sz="0" w:space="0" w:color="auto"/>
          </w:divBdr>
        </w:div>
        <w:div w:id="146896219">
          <w:marLeft w:val="806"/>
          <w:marRight w:val="0"/>
          <w:marTop w:val="134"/>
          <w:marBottom w:val="240"/>
          <w:divBdr>
            <w:top w:val="none" w:sz="0" w:space="0" w:color="auto"/>
            <w:left w:val="none" w:sz="0" w:space="0" w:color="auto"/>
            <w:bottom w:val="none" w:sz="0" w:space="0" w:color="auto"/>
            <w:right w:val="none" w:sz="0" w:space="0" w:color="auto"/>
          </w:divBdr>
        </w:div>
      </w:divsChild>
    </w:div>
    <w:div w:id="1505625717">
      <w:bodyDiv w:val="1"/>
      <w:marLeft w:val="0"/>
      <w:marRight w:val="0"/>
      <w:marTop w:val="0"/>
      <w:marBottom w:val="0"/>
      <w:divBdr>
        <w:top w:val="none" w:sz="0" w:space="0" w:color="auto"/>
        <w:left w:val="none" w:sz="0" w:space="0" w:color="auto"/>
        <w:bottom w:val="none" w:sz="0" w:space="0" w:color="auto"/>
        <w:right w:val="none" w:sz="0" w:space="0" w:color="auto"/>
      </w:divBdr>
    </w:div>
    <w:div w:id="1552113361">
      <w:bodyDiv w:val="1"/>
      <w:marLeft w:val="0"/>
      <w:marRight w:val="0"/>
      <w:marTop w:val="0"/>
      <w:marBottom w:val="0"/>
      <w:divBdr>
        <w:top w:val="none" w:sz="0" w:space="0" w:color="auto"/>
        <w:left w:val="none" w:sz="0" w:space="0" w:color="auto"/>
        <w:bottom w:val="none" w:sz="0" w:space="0" w:color="auto"/>
        <w:right w:val="none" w:sz="0" w:space="0" w:color="auto"/>
      </w:divBdr>
    </w:div>
    <w:div w:id="1563058188">
      <w:bodyDiv w:val="1"/>
      <w:marLeft w:val="0"/>
      <w:marRight w:val="0"/>
      <w:marTop w:val="0"/>
      <w:marBottom w:val="0"/>
      <w:divBdr>
        <w:top w:val="none" w:sz="0" w:space="0" w:color="auto"/>
        <w:left w:val="none" w:sz="0" w:space="0" w:color="auto"/>
        <w:bottom w:val="none" w:sz="0" w:space="0" w:color="auto"/>
        <w:right w:val="none" w:sz="0" w:space="0" w:color="auto"/>
      </w:divBdr>
    </w:div>
    <w:div w:id="1889221183">
      <w:bodyDiv w:val="1"/>
      <w:marLeft w:val="0"/>
      <w:marRight w:val="0"/>
      <w:marTop w:val="0"/>
      <w:marBottom w:val="0"/>
      <w:divBdr>
        <w:top w:val="none" w:sz="0" w:space="0" w:color="auto"/>
        <w:left w:val="none" w:sz="0" w:space="0" w:color="auto"/>
        <w:bottom w:val="none" w:sz="0" w:space="0" w:color="auto"/>
        <w:right w:val="none" w:sz="0" w:space="0" w:color="auto"/>
      </w:divBdr>
      <w:divsChild>
        <w:div w:id="1154562473">
          <w:marLeft w:val="274"/>
          <w:marRight w:val="0"/>
          <w:marTop w:val="0"/>
          <w:marBottom w:val="0"/>
          <w:divBdr>
            <w:top w:val="none" w:sz="0" w:space="0" w:color="auto"/>
            <w:left w:val="none" w:sz="0" w:space="0" w:color="auto"/>
            <w:bottom w:val="none" w:sz="0" w:space="0" w:color="auto"/>
            <w:right w:val="none" w:sz="0" w:space="0" w:color="auto"/>
          </w:divBdr>
        </w:div>
        <w:div w:id="1650937749">
          <w:marLeft w:val="274"/>
          <w:marRight w:val="0"/>
          <w:marTop w:val="0"/>
          <w:marBottom w:val="0"/>
          <w:divBdr>
            <w:top w:val="none" w:sz="0" w:space="0" w:color="auto"/>
            <w:left w:val="none" w:sz="0" w:space="0" w:color="auto"/>
            <w:bottom w:val="none" w:sz="0" w:space="0" w:color="auto"/>
            <w:right w:val="none" w:sz="0" w:space="0" w:color="auto"/>
          </w:divBdr>
        </w:div>
        <w:div w:id="1049189164">
          <w:marLeft w:val="274"/>
          <w:marRight w:val="0"/>
          <w:marTop w:val="0"/>
          <w:marBottom w:val="0"/>
          <w:divBdr>
            <w:top w:val="none" w:sz="0" w:space="0" w:color="auto"/>
            <w:left w:val="none" w:sz="0" w:space="0" w:color="auto"/>
            <w:bottom w:val="none" w:sz="0" w:space="0" w:color="auto"/>
            <w:right w:val="none" w:sz="0" w:space="0" w:color="auto"/>
          </w:divBdr>
        </w:div>
        <w:div w:id="495344120">
          <w:marLeft w:val="274"/>
          <w:marRight w:val="0"/>
          <w:marTop w:val="0"/>
          <w:marBottom w:val="0"/>
          <w:divBdr>
            <w:top w:val="none" w:sz="0" w:space="0" w:color="auto"/>
            <w:left w:val="none" w:sz="0" w:space="0" w:color="auto"/>
            <w:bottom w:val="none" w:sz="0" w:space="0" w:color="auto"/>
            <w:right w:val="none" w:sz="0" w:space="0" w:color="auto"/>
          </w:divBdr>
        </w:div>
        <w:div w:id="1048188012">
          <w:marLeft w:val="274"/>
          <w:marRight w:val="0"/>
          <w:marTop w:val="0"/>
          <w:marBottom w:val="0"/>
          <w:divBdr>
            <w:top w:val="none" w:sz="0" w:space="0" w:color="auto"/>
            <w:left w:val="none" w:sz="0" w:space="0" w:color="auto"/>
            <w:bottom w:val="none" w:sz="0" w:space="0" w:color="auto"/>
            <w:right w:val="none" w:sz="0" w:space="0" w:color="auto"/>
          </w:divBdr>
        </w:div>
      </w:divsChild>
    </w:div>
    <w:div w:id="214554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brd-beeps.com/data/"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s://d.docs.live.net/22f3f965ad1e8ff9/DESKTOP/NPL%20Strategija/Copy%20of%20NPL%20statistika%20MILAN%20KOVAC%20SB.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235198045438251E-2"/>
          <c:y val="4.8275862068965517E-2"/>
          <c:w val="0.89752395621710879"/>
          <c:h val="0.74971921675258224"/>
        </c:manualLayout>
      </c:layout>
      <c:barChart>
        <c:barDir val="col"/>
        <c:grouping val="stacked"/>
        <c:varyColors val="0"/>
        <c:ser>
          <c:idx val="2"/>
          <c:order val="0"/>
          <c:tx>
            <c:strRef>
              <c:f>'[Copy of NPL statistika MILAN KOVAC SB.xlsx]podaci NPL na 30.09.2018 '!$K$9</c:f>
              <c:strCache>
                <c:ptCount val="1"/>
                <c:pt idx="0">
                  <c:v>Остали сектори</c:v>
                </c:pt>
              </c:strCache>
            </c:strRef>
          </c:tx>
          <c:spPr>
            <a:solidFill>
              <a:schemeClr val="accent1"/>
            </a:solidFill>
            <a:ln w="25400">
              <a:no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'[Copy of NPL statistika MILAN KOVAC SB.xlsx]podaci NPL na 30.09.2018 '!$G$10:$G$20</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'[Copy of NPL statistika MILAN KOVAC SB.xlsx]podaci NPL na 30.09.2018 '!$K$10:$K$20</c:f>
              <c:numCache>
                <c:formatCode>#,##0.0</c:formatCode>
                <c:ptCount val="11"/>
                <c:pt idx="0">
                  <c:v>11.2</c:v>
                </c:pt>
                <c:pt idx="1">
                  <c:v>16.3</c:v>
                </c:pt>
                <c:pt idx="2">
                  <c:v>36.299999999999997</c:v>
                </c:pt>
                <c:pt idx="3">
                  <c:v>77.099999999999994</c:v>
                </c:pt>
                <c:pt idx="4">
                  <c:v>110.5</c:v>
                </c:pt>
                <c:pt idx="5">
                  <c:v>100.2</c:v>
                </c:pt>
                <c:pt idx="6">
                  <c:v>106.4</c:v>
                </c:pt>
                <c:pt idx="7">
                  <c:v>134.4</c:v>
                </c:pt>
                <c:pt idx="8">
                  <c:v>103.8</c:v>
                </c:pt>
                <c:pt idx="9">
                  <c:v>51.9</c:v>
                </c:pt>
                <c:pt idx="10">
                  <c:v>38.276398999999998</c:v>
                </c:pt>
              </c:numCache>
            </c:numRef>
          </c:val>
          <c:extLst>
            <c:ext xmlns:c16="http://schemas.microsoft.com/office/drawing/2014/chart" uri="{C3380CC4-5D6E-409C-BE32-E72D297353CC}">
              <c16:uniqueId val="{00000000-C17E-4F1B-AFCB-A610FCAC451B}"/>
            </c:ext>
          </c:extLst>
        </c:ser>
        <c:ser>
          <c:idx val="0"/>
          <c:order val="1"/>
          <c:tx>
            <c:strRef>
              <c:f>'[Copy of NPL statistika MILAN KOVAC SB.xlsx]podaci NPL na 30.09.2018 '!$I$9</c:f>
              <c:strCache>
                <c:ptCount val="1"/>
                <c:pt idx="0">
                  <c:v>Привреда</c:v>
                </c:pt>
              </c:strCache>
            </c:strRef>
          </c:tx>
          <c:spPr>
            <a:solidFill>
              <a:srgbClr val="FF0000"/>
            </a:solidFill>
            <a:ln w="25400">
              <a:no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'[Copy of NPL statistika MILAN KOVAC SB.xlsx]podaci NPL na 30.09.2018 '!$G$10:$G$20</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'[Copy of NPL statistika MILAN KOVAC SB.xlsx]podaci NPL na 30.09.2018 '!$I$10:$I$20</c:f>
              <c:numCache>
                <c:formatCode>#,##0.0</c:formatCode>
                <c:ptCount val="11"/>
                <c:pt idx="0">
                  <c:v>92.609538999999998</c:v>
                </c:pt>
                <c:pt idx="1">
                  <c:v>153.04310799999999</c:v>
                </c:pt>
                <c:pt idx="2">
                  <c:v>197.6</c:v>
                </c:pt>
                <c:pt idx="3">
                  <c:v>223.3</c:v>
                </c:pt>
                <c:pt idx="4">
                  <c:v>206.3</c:v>
                </c:pt>
                <c:pt idx="5">
                  <c:v>238.4</c:v>
                </c:pt>
                <c:pt idx="6">
                  <c:v>248.4</c:v>
                </c:pt>
                <c:pt idx="7">
                  <c:v>216.8</c:v>
                </c:pt>
                <c:pt idx="8">
                  <c:v>172.8</c:v>
                </c:pt>
                <c:pt idx="9">
                  <c:v>107.6</c:v>
                </c:pt>
                <c:pt idx="10">
                  <c:v>60.723326999999998</c:v>
                </c:pt>
              </c:numCache>
            </c:numRef>
          </c:val>
          <c:extLst>
            <c:ext xmlns:c16="http://schemas.microsoft.com/office/drawing/2014/chart" uri="{C3380CC4-5D6E-409C-BE32-E72D297353CC}">
              <c16:uniqueId val="{00000001-C17E-4F1B-AFCB-A610FCAC451B}"/>
            </c:ext>
          </c:extLst>
        </c:ser>
        <c:ser>
          <c:idx val="1"/>
          <c:order val="2"/>
          <c:tx>
            <c:strRef>
              <c:f>'[Copy of NPL statistika MILAN KOVAC SB.xlsx]podaci NPL na 30.09.2018 '!$J$9</c:f>
              <c:strCache>
                <c:ptCount val="1"/>
                <c:pt idx="0">
                  <c:v>Становништво</c:v>
                </c:pt>
              </c:strCache>
            </c:strRef>
          </c:tx>
          <c:spPr>
            <a:solidFill>
              <a:srgbClr val="92D050"/>
            </a:solidFill>
            <a:ln w="25400">
              <a:noFill/>
            </a:ln>
          </c:spPr>
          <c:invertIfNegative val="0"/>
          <c:dLbls>
            <c:spPr>
              <a:noFill/>
              <a:ln>
                <a:noFill/>
              </a:ln>
              <a:effectLst/>
            </c:spPr>
            <c:txPr>
              <a:bodyPr wrap="square" lIns="38100" tIns="19050" rIns="38100" bIns="19050" anchor="ctr">
                <a:spAutoFit/>
              </a:bodyPr>
              <a:lstStyle/>
              <a:p>
                <a:pPr>
                  <a:defRPr>
                    <a:solidFill>
                      <a:sysClr val="windowText" lastClr="000000"/>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'[Copy of NPL statistika MILAN KOVAC SB.xlsx]podaci NPL na 30.09.2018 '!$G$10:$G$20</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'[Copy of NPL statistika MILAN KOVAC SB.xlsx]podaci NPL na 30.09.2018 '!$J$10:$J$20</c:f>
              <c:numCache>
                <c:formatCode>#,##0.0</c:formatCode>
                <c:ptCount val="11"/>
                <c:pt idx="0">
                  <c:v>26.9</c:v>
                </c:pt>
                <c:pt idx="1">
                  <c:v>32.299999999999997</c:v>
                </c:pt>
                <c:pt idx="2">
                  <c:v>39.6</c:v>
                </c:pt>
                <c:pt idx="3">
                  <c:v>42.2</c:v>
                </c:pt>
                <c:pt idx="4">
                  <c:v>49</c:v>
                </c:pt>
                <c:pt idx="5">
                  <c:v>56.7</c:v>
                </c:pt>
                <c:pt idx="6">
                  <c:v>66.400000000000006</c:v>
                </c:pt>
                <c:pt idx="7">
                  <c:v>73.400000000000006</c:v>
                </c:pt>
                <c:pt idx="8">
                  <c:v>69.2</c:v>
                </c:pt>
                <c:pt idx="9">
                  <c:v>45.4</c:v>
                </c:pt>
                <c:pt idx="10">
                  <c:v>42.243074</c:v>
                </c:pt>
              </c:numCache>
            </c:numRef>
          </c:val>
          <c:extLst>
            <c:ext xmlns:c16="http://schemas.microsoft.com/office/drawing/2014/chart" uri="{C3380CC4-5D6E-409C-BE32-E72D297353CC}">
              <c16:uniqueId val="{00000002-C17E-4F1B-AFCB-A610FCAC451B}"/>
            </c:ext>
          </c:extLst>
        </c:ser>
        <c:dLbls>
          <c:showLegendKey val="0"/>
          <c:showVal val="0"/>
          <c:showCatName val="0"/>
          <c:showSerName val="0"/>
          <c:showPercent val="0"/>
          <c:showBubbleSize val="0"/>
        </c:dLbls>
        <c:gapWidth val="50"/>
        <c:overlap val="100"/>
        <c:axId val="208929280"/>
        <c:axId val="188107008"/>
      </c:barChart>
      <c:lineChart>
        <c:grouping val="standard"/>
        <c:varyColors val="0"/>
        <c:ser>
          <c:idx val="3"/>
          <c:order val="3"/>
          <c:tx>
            <c:strRef>
              <c:f>'[Copy of NPL statistika MILAN KOVAC SB.xlsx]podaci NPL na 30.09.2018 '!$L$9</c:f>
              <c:strCache>
                <c:ptCount val="1"/>
                <c:pt idx="0">
                  <c:v>Учешће NPL у укупним кредитима (д.с.)</c:v>
                </c:pt>
              </c:strCache>
            </c:strRef>
          </c:tx>
          <c:spPr>
            <a:ln w="25400">
              <a:solidFill>
                <a:srgbClr val="002060"/>
              </a:solidFill>
            </a:ln>
          </c:spPr>
          <c:marker>
            <c:symbol val="diamond"/>
            <c:size val="5"/>
            <c:spPr>
              <a:solidFill>
                <a:schemeClr val="tx1"/>
              </a:solidFill>
              <a:ln>
                <a:solidFill>
                  <a:srgbClr val="002060"/>
                </a:solid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'[Copy of NPL statistika MILAN KOVAC SB.xlsx]podaci NPL na 30.09.2018 '!$H$10:$H$20</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'[Copy of NPL statistika MILAN KOVAC SB.xlsx]podaci NPL na 30.09.2018 '!$L$10:$L$20</c:f>
              <c:numCache>
                <c:formatCode>#,##0.0</c:formatCode>
                <c:ptCount val="11"/>
                <c:pt idx="0">
                  <c:v>11.3</c:v>
                </c:pt>
                <c:pt idx="1">
                  <c:v>15.687075979407</c:v>
                </c:pt>
                <c:pt idx="2">
                  <c:v>16.9151120886843</c:v>
                </c:pt>
                <c:pt idx="3">
                  <c:v>19.03</c:v>
                </c:pt>
                <c:pt idx="4">
                  <c:v>18.63</c:v>
                </c:pt>
                <c:pt idx="5">
                  <c:v>21.37</c:v>
                </c:pt>
                <c:pt idx="6">
                  <c:v>21.54</c:v>
                </c:pt>
                <c:pt idx="7">
                  <c:v>21.58</c:v>
                </c:pt>
                <c:pt idx="8">
                  <c:v>17.02728510278526</c:v>
                </c:pt>
                <c:pt idx="9">
                  <c:v>9.8000000000000007</c:v>
                </c:pt>
                <c:pt idx="10">
                  <c:v>6.41</c:v>
                </c:pt>
              </c:numCache>
            </c:numRef>
          </c:val>
          <c:smooth val="0"/>
          <c:extLst>
            <c:ext xmlns:c16="http://schemas.microsoft.com/office/drawing/2014/chart" uri="{C3380CC4-5D6E-409C-BE32-E72D297353CC}">
              <c16:uniqueId val="{00000003-C17E-4F1B-AFCB-A610FCAC451B}"/>
            </c:ext>
          </c:extLst>
        </c:ser>
        <c:dLbls>
          <c:showLegendKey val="0"/>
          <c:showVal val="0"/>
          <c:showCatName val="0"/>
          <c:showSerName val="0"/>
          <c:showPercent val="0"/>
          <c:showBubbleSize val="0"/>
        </c:dLbls>
        <c:marker val="1"/>
        <c:smooth val="0"/>
        <c:axId val="208929792"/>
        <c:axId val="188107584"/>
      </c:lineChart>
      <c:catAx>
        <c:axId val="208929280"/>
        <c:scaling>
          <c:orientation val="minMax"/>
        </c:scaling>
        <c:delete val="0"/>
        <c:axPos val="b"/>
        <c:minorGridlines/>
        <c:numFmt formatCode="General" sourceLinked="1"/>
        <c:majorTickMark val="out"/>
        <c:minorTickMark val="none"/>
        <c:tickLblPos val="nextTo"/>
        <c:spPr>
          <a:noFill/>
          <a:ln w="9525">
            <a:solidFill>
              <a:srgbClr val="C0C0C0"/>
            </a:solidFill>
          </a:ln>
          <a:extLst>
            <a:ext uri="{909E8E84-426E-40DD-AFC4-6F175D3DCCD1}">
              <a14:hiddenFill xmlns:a14="http://schemas.microsoft.com/office/drawing/2010/main">
                <a:solidFill>
                  <a:sysClr val="window" lastClr="FFFFFF">
                    <a:lumMod val="75000"/>
                  </a:sysClr>
                </a:solidFill>
              </a14:hiddenFill>
            </a:ext>
          </a:extLst>
        </c:spPr>
        <c:txPr>
          <a:bodyPr rot="0" vert="horz"/>
          <a:lstStyle/>
          <a:p>
            <a:pPr>
              <a:defRPr/>
            </a:pPr>
            <a:endParaRPr lang="en-US"/>
          </a:p>
        </c:txPr>
        <c:crossAx val="188107008"/>
        <c:crosses val="autoZero"/>
        <c:auto val="1"/>
        <c:lblAlgn val="ctr"/>
        <c:lblOffset val="100"/>
        <c:tickLblSkip val="1"/>
        <c:tickMarkSkip val="1"/>
        <c:noMultiLvlLbl val="0"/>
      </c:catAx>
      <c:valAx>
        <c:axId val="188107008"/>
        <c:scaling>
          <c:orientation val="minMax"/>
          <c:max val="600"/>
          <c:min val="0"/>
        </c:scaling>
        <c:delete val="0"/>
        <c:axPos val="l"/>
        <c:majorGridlines>
          <c:spPr>
            <a:ln w="9525" cap="flat" cmpd="sng" algn="ctr">
              <a:solidFill>
                <a:srgbClr val="C0C0C0"/>
              </a:solidFill>
              <a:prstDash val="solid"/>
              <a:round/>
              <a:headEnd type="none" w="med" len="med"/>
              <a:tailEnd type="none" w="med" len="med"/>
            </a:ln>
          </c:spPr>
        </c:majorGridlines>
        <c:numFmt formatCode="General" sourceLinked="0"/>
        <c:majorTickMark val="none"/>
        <c:minorTickMark val="none"/>
        <c:tickLblPos val="nextTo"/>
        <c:spPr>
          <a:ln>
            <a:solidFill>
              <a:srgbClr val="C0C0C0"/>
            </a:solidFill>
          </a:ln>
        </c:spPr>
        <c:txPr>
          <a:bodyPr rot="0" vert="horz"/>
          <a:lstStyle/>
          <a:p>
            <a:pPr>
              <a:defRPr/>
            </a:pPr>
            <a:endParaRPr lang="en-US"/>
          </a:p>
        </c:txPr>
        <c:crossAx val="208929280"/>
        <c:crosses val="autoZero"/>
        <c:crossBetween val="between"/>
        <c:majorUnit val="100"/>
      </c:valAx>
      <c:catAx>
        <c:axId val="208929792"/>
        <c:scaling>
          <c:orientation val="minMax"/>
        </c:scaling>
        <c:delete val="1"/>
        <c:axPos val="b"/>
        <c:numFmt formatCode="General" sourceLinked="1"/>
        <c:majorTickMark val="out"/>
        <c:minorTickMark val="none"/>
        <c:tickLblPos val="nextTo"/>
        <c:crossAx val="188107584"/>
        <c:crosses val="autoZero"/>
        <c:auto val="1"/>
        <c:lblAlgn val="ctr"/>
        <c:lblOffset val="100"/>
        <c:noMultiLvlLbl val="0"/>
      </c:catAx>
      <c:valAx>
        <c:axId val="188107584"/>
        <c:scaling>
          <c:orientation val="minMax"/>
        </c:scaling>
        <c:delete val="0"/>
        <c:axPos val="r"/>
        <c:numFmt formatCode="#,##0" sourceLinked="0"/>
        <c:majorTickMark val="none"/>
        <c:minorTickMark val="none"/>
        <c:tickLblPos val="nextTo"/>
        <c:spPr>
          <a:ln>
            <a:noFill/>
          </a:ln>
        </c:spPr>
        <c:txPr>
          <a:bodyPr rot="0" vert="horz"/>
          <a:lstStyle/>
          <a:p>
            <a:pPr>
              <a:defRPr/>
            </a:pPr>
            <a:endParaRPr lang="en-US"/>
          </a:p>
        </c:txPr>
        <c:crossAx val="208929792"/>
        <c:crosses val="max"/>
        <c:crossBetween val="between"/>
      </c:valAx>
      <c:spPr>
        <a:noFill/>
        <a:ln w="9525" cap="flat" cmpd="sng" algn="ctr">
          <a:solidFill>
            <a:srgbClr val="C0C0C0"/>
          </a:solidFill>
          <a:prstDash val="solid"/>
          <a:round/>
          <a:headEnd type="none" w="med" len="med"/>
          <a:tailEnd type="none" w="med" len="med"/>
        </a:ln>
      </c:spPr>
    </c:plotArea>
    <c:legend>
      <c:legendPos val="r"/>
      <c:layout>
        <c:manualLayout>
          <c:xMode val="edge"/>
          <c:yMode val="edge"/>
          <c:x val="1.7730496453900711E-2"/>
          <c:y val="0.87476802809720733"/>
          <c:w val="0.98145255451837488"/>
          <c:h val="0.11045336958779434"/>
        </c:manualLayout>
      </c:layout>
      <c:overlay val="0"/>
      <c:spPr>
        <a:ln w="25400">
          <a:noFill/>
        </a:ln>
      </c:spPr>
    </c:legend>
    <c:plotVisOnly val="1"/>
    <c:dispBlanksAs val="gap"/>
    <c:showDLblsOverMax val="0"/>
  </c:chart>
  <c:spPr>
    <a:noFill/>
    <a:ln w="9525">
      <a:noFill/>
    </a:ln>
  </c:spPr>
  <c:txPr>
    <a:bodyPr/>
    <a:lstStyle/>
    <a:p>
      <a:pPr>
        <a:defRPr sz="8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dLbl>
              <c:idx val="0"/>
              <c:tx>
                <c:rich>
                  <a:bodyPr/>
                  <a:lstStyle/>
                  <a:p>
                    <a:r>
                      <a:rPr lang="en-US" dirty="0"/>
                      <a:t>0,13%</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B95-4D81-819F-8851BBC4E8E4}"/>
                </c:ext>
              </c:extLst>
            </c:dLbl>
            <c:dLbl>
              <c:idx val="1"/>
              <c:tx>
                <c:rich>
                  <a:bodyPr/>
                  <a:lstStyle/>
                  <a:p>
                    <a:r>
                      <a:rPr lang="en-US" dirty="0"/>
                      <a:t>11,79%</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B95-4D81-819F-8851BBC4E8E4}"/>
                </c:ext>
              </c:extLst>
            </c:dLbl>
            <c:dLbl>
              <c:idx val="2"/>
              <c:tx>
                <c:rich>
                  <a:bodyPr/>
                  <a:lstStyle/>
                  <a:p>
                    <a:r>
                      <a:rPr lang="en-US" dirty="0"/>
                      <a:t>53,40%</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B95-4D81-819F-8851BBC4E8E4}"/>
                </c:ext>
              </c:extLst>
            </c:dLbl>
            <c:dLbl>
              <c:idx val="3"/>
              <c:layout>
                <c:manualLayout>
                  <c:x val="1.6666666666666687E-2"/>
                  <c:y val="0.10648148148148157"/>
                </c:manualLayout>
              </c:layout>
              <c:tx>
                <c:rich>
                  <a:bodyPr/>
                  <a:lstStyle/>
                  <a:p>
                    <a:r>
                      <a:rPr lang="en-US" dirty="0"/>
                      <a:t>12,72%</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B95-4D81-819F-8851BBC4E8E4}"/>
                </c:ext>
              </c:extLst>
            </c:dLbl>
            <c:dLbl>
              <c:idx val="4"/>
              <c:tx>
                <c:rich>
                  <a:bodyPr/>
                  <a:lstStyle/>
                  <a:p>
                    <a:r>
                      <a:rPr lang="en-US" dirty="0"/>
                      <a:t>0,51%</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B95-4D81-819F-8851BBC4E8E4}"/>
                </c:ext>
              </c:extLst>
            </c:dLbl>
            <c:dLbl>
              <c:idx val="5"/>
              <c:layout>
                <c:manualLayout>
                  <c:x val="0"/>
                  <c:y val="-5.5555555555555455E-2"/>
                </c:manualLayout>
              </c:layout>
              <c:tx>
                <c:rich>
                  <a:bodyPr/>
                  <a:lstStyle/>
                  <a:p>
                    <a:r>
                      <a:rPr lang="en-US" dirty="0"/>
                      <a:t>5,42%</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95-4D81-819F-8851BBC4E8E4}"/>
                </c:ext>
              </c:extLst>
            </c:dLbl>
            <c:dLbl>
              <c:idx val="6"/>
              <c:tx>
                <c:rich>
                  <a:bodyPr/>
                  <a:lstStyle/>
                  <a:p>
                    <a:r>
                      <a:rPr lang="en-US" dirty="0"/>
                      <a:t>15,96%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B95-4D81-819F-8851BBC4E8E4}"/>
                </c:ext>
              </c:extLst>
            </c:dLbl>
            <c:spPr>
              <a:noFill/>
              <a:ln>
                <a:noFill/>
              </a:ln>
              <a:effectLst/>
            </c:spPr>
            <c:txPr>
              <a:bodyPr/>
              <a:lstStyle/>
              <a:p>
                <a:pPr>
                  <a:defRPr sz="900">
                    <a:solidFill>
                      <a:schemeClr val="tx2"/>
                    </a:solidFill>
                    <a:latin typeface="Times New Roman" pitchFamily="18" charset="0"/>
                    <a:cs typeface="Times New Roman" pitchFamily="18" charset="0"/>
                  </a:defRPr>
                </a:pPr>
                <a:endParaRPr lang="en-US"/>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Sheet1!$B$4:$B$10</c:f>
              <c:strCache>
                <c:ptCount val="7"/>
                <c:pt idx="0">
                  <c:v>Уредни</c:v>
                </c:pt>
                <c:pt idx="1">
                  <c:v>Блокирани</c:v>
                </c:pt>
                <c:pt idx="2">
                  <c:v>Стечај</c:v>
                </c:pt>
                <c:pt idx="3">
                  <c:v>Реорганизација</c:v>
                </c:pt>
                <c:pt idx="4">
                  <c:v>Споразуми/Репрограми</c:v>
                </c:pt>
                <c:pt idx="5">
                  <c:v>Брисани из регистра</c:v>
                </c:pt>
                <c:pt idx="6">
                  <c:v>Остали</c:v>
                </c:pt>
              </c:strCache>
            </c:strRef>
          </c:cat>
          <c:val>
            <c:numRef>
              <c:f>Sheet1!$C$4:$C$10</c:f>
              <c:numCache>
                <c:formatCode>#.000%</c:formatCode>
                <c:ptCount val="7"/>
                <c:pt idx="0">
                  <c:v>1.2999999999999991E-3</c:v>
                </c:pt>
                <c:pt idx="1">
                  <c:v>0.12010000000000005</c:v>
                </c:pt>
                <c:pt idx="2">
                  <c:v>0.51700000000000002</c:v>
                </c:pt>
                <c:pt idx="3">
                  <c:v>0.12340000000000002</c:v>
                </c:pt>
                <c:pt idx="4">
                  <c:v>5.0000000000000036E-3</c:v>
                </c:pt>
                <c:pt idx="5">
                  <c:v>4.8899999999999999E-2</c:v>
                </c:pt>
                <c:pt idx="6">
                  <c:v>0.1843000000000001</c:v>
                </c:pt>
              </c:numCache>
            </c:numRef>
          </c:val>
          <c:extLst>
            <c:ext xmlns:c16="http://schemas.microsoft.com/office/drawing/2014/chart" uri="{C3380CC4-5D6E-409C-BE32-E72D297353CC}">
              <c16:uniqueId val="{00000007-2B95-4D81-819F-8851BBC4E8E4}"/>
            </c:ext>
          </c:extLst>
        </c:ser>
        <c:dLbls>
          <c:showLegendKey val="0"/>
          <c:showVal val="0"/>
          <c:showCatName val="0"/>
          <c:showSerName val="0"/>
          <c:showPercent val="0"/>
          <c:showBubbleSize val="0"/>
          <c:showLeaderLines val="1"/>
        </c:dLbls>
      </c:pie3DChart>
    </c:plotArea>
    <c:legend>
      <c:legendPos val="r"/>
      <c:overlay val="0"/>
      <c:txPr>
        <a:bodyPr/>
        <a:lstStyle/>
        <a:p>
          <a:pPr>
            <a:defRPr sz="900">
              <a:solidFill>
                <a:schemeClr val="tx2"/>
              </a:solidFill>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Sheet3!$B$1</c:f>
              <c:strCache>
                <c:ptCount val="1"/>
                <c:pt idx="0">
                  <c:v>отворени</c:v>
                </c:pt>
              </c:strCache>
            </c:strRef>
          </c:tx>
          <c:spPr>
            <a:ln w="38100" cap="rnd">
              <a:solidFill>
                <a:schemeClr val="accent1"/>
              </a:solidFill>
              <a:round/>
            </a:ln>
            <a:effectLst/>
          </c:spPr>
          <c:marker>
            <c:symbol val="none"/>
          </c:marker>
          <c:dLbls>
            <c:dLbl>
              <c:idx val="3"/>
              <c:layout>
                <c:manualLayout>
                  <c:x val="-6.1396072705274191E-3"/>
                  <c:y val="1.06180019036922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DFF-4AC4-94B6-BFFC9381B5FD}"/>
                </c:ext>
              </c:extLst>
            </c:dLbl>
            <c:dLbl>
              <c:idx val="4"/>
              <c:layout>
                <c:manualLayout>
                  <c:x val="-4.4674074495924358E-2"/>
                  <c:y val="-3.94327432087125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DFF-4AC4-94B6-BFFC9381B5FD}"/>
                </c:ext>
              </c:extLst>
            </c:dLbl>
            <c:dLbl>
              <c:idx val="5"/>
              <c:layout>
                <c:manualLayout>
                  <c:x val="-6.7716915674168848E-2"/>
                  <c:y val="-4.181611202358897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DFF-4AC4-94B6-BFFC9381B5FD}"/>
                </c:ext>
              </c:extLst>
            </c:dLbl>
            <c:dLbl>
              <c:idx val="7"/>
              <c:layout>
                <c:manualLayout>
                  <c:x val="5.7171518757486326E-3"/>
                  <c:y val="-2.98992679492068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DFF-4AC4-94B6-BFFC9381B5FD}"/>
                </c:ext>
              </c:extLst>
            </c:dLbl>
            <c:dLbl>
              <c:idx val="8"/>
              <c:layout>
                <c:manualLayout>
                  <c:x val="-5.801292853548496E-2"/>
                  <c:y val="-1.2988421706896557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DFF-4AC4-94B6-BFFC9381B5FD}"/>
                </c:ext>
              </c:extLst>
            </c:dLbl>
            <c:dLbl>
              <c:idx val="9"/>
              <c:layout>
                <c:manualLayout>
                  <c:x val="-5.0602454069062462E-2"/>
                  <c:y val="-3.466600557895969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DFF-4AC4-94B6-BFFC9381B5FD}"/>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Sheet3!$A$2:$A$15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Sheet3!$B$2:$B$15</c:f>
              <c:numCache>
                <c:formatCode>General</c:formatCode>
                <c:ptCount val="14"/>
                <c:pt idx="0">
                  <c:v>177</c:v>
                </c:pt>
                <c:pt idx="1">
                  <c:v>267</c:v>
                </c:pt>
                <c:pt idx="2">
                  <c:v>200</c:v>
                </c:pt>
                <c:pt idx="3">
                  <c:v>148</c:v>
                </c:pt>
                <c:pt idx="4">
                  <c:v>340</c:v>
                </c:pt>
                <c:pt idx="5">
                  <c:v>1053</c:v>
                </c:pt>
                <c:pt idx="6">
                  <c:v>1321</c:v>
                </c:pt>
                <c:pt idx="7">
                  <c:v>981</c:v>
                </c:pt>
                <c:pt idx="8">
                  <c:v>173</c:v>
                </c:pt>
                <c:pt idx="9">
                  <c:v>211</c:v>
                </c:pt>
                <c:pt idx="10">
                  <c:v>560</c:v>
                </c:pt>
                <c:pt idx="11">
                  <c:v>432</c:v>
                </c:pt>
                <c:pt idx="12">
                  <c:v>379</c:v>
                </c:pt>
                <c:pt idx="13">
                  <c:v>387</c:v>
                </c:pt>
              </c:numCache>
            </c:numRef>
          </c:val>
          <c:smooth val="0"/>
          <c:extLst>
            <c:ext xmlns:c16="http://schemas.microsoft.com/office/drawing/2014/chart" uri="{C3380CC4-5D6E-409C-BE32-E72D297353CC}">
              <c16:uniqueId val="{00000006-1DFF-4AC4-94B6-BFFC9381B5FD}"/>
            </c:ext>
          </c:extLst>
        </c:ser>
        <c:ser>
          <c:idx val="1"/>
          <c:order val="1"/>
          <c:tx>
            <c:strRef>
              <c:f>Sheet3!$C$1</c:f>
              <c:strCache>
                <c:ptCount val="1"/>
                <c:pt idx="0">
                  <c:v>закључени</c:v>
                </c:pt>
              </c:strCache>
            </c:strRef>
          </c:tx>
          <c:spPr>
            <a:ln w="38100" cap="rnd">
              <a:solidFill>
                <a:srgbClr val="FF0000"/>
              </a:solidFill>
              <a:round/>
            </a:ln>
            <a:effectLst/>
          </c:spPr>
          <c:marker>
            <c:symbol val="none"/>
          </c:marker>
          <c:dLbls>
            <c:dLbl>
              <c:idx val="0"/>
              <c:layout>
                <c:manualLayout>
                  <c:x val="-1.0445034585326187E-2"/>
                  <c:y val="-5.13495872830946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DFF-4AC4-94B6-BFFC9381B5FD}"/>
                </c:ext>
              </c:extLst>
            </c:dLbl>
            <c:dLbl>
              <c:idx val="2"/>
              <c:layout>
                <c:manualLayout>
                  <c:x val="-2.3924745989941387E-2"/>
                  <c:y val="2.73015836078272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DFF-4AC4-94B6-BFFC9381B5FD}"/>
                </c:ext>
              </c:extLst>
            </c:dLbl>
            <c:dLbl>
              <c:idx val="10"/>
              <c:layout>
                <c:manualLayout>
                  <c:x val="-2.5406840883225968E-2"/>
                  <c:y val="3.68350588673330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DFF-4AC4-94B6-BFFC9381B5FD}"/>
                </c:ext>
              </c:extLst>
            </c:dLbl>
            <c:dLbl>
              <c:idx val="11"/>
              <c:layout>
                <c:manualLayout>
                  <c:x val="-2.9853125563079359E-2"/>
                  <c:y val="4.63685341268387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DFF-4AC4-94B6-BFFC9381B5FD}"/>
                </c:ext>
              </c:extLst>
            </c:dLbl>
            <c:dLbl>
              <c:idx val="12"/>
              <c:layout>
                <c:manualLayout>
                  <c:x val="-3.5781505136217577E-2"/>
                  <c:y val="4.39851653119623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DFF-4AC4-94B6-BFFC9381B5FD}"/>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Sheet3!$A$2:$A$15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Sheet3!$C$2:$C$15</c:f>
              <c:numCache>
                <c:formatCode>General</c:formatCode>
                <c:ptCount val="14"/>
                <c:pt idx="0">
                  <c:v>8</c:v>
                </c:pt>
                <c:pt idx="1">
                  <c:v>106</c:v>
                </c:pt>
                <c:pt idx="2">
                  <c:v>177</c:v>
                </c:pt>
                <c:pt idx="3">
                  <c:v>197</c:v>
                </c:pt>
                <c:pt idx="4">
                  <c:v>165</c:v>
                </c:pt>
                <c:pt idx="5">
                  <c:v>317</c:v>
                </c:pt>
                <c:pt idx="6">
                  <c:v>511</c:v>
                </c:pt>
                <c:pt idx="7">
                  <c:v>641</c:v>
                </c:pt>
                <c:pt idx="8">
                  <c:v>472</c:v>
                </c:pt>
                <c:pt idx="9">
                  <c:v>342</c:v>
                </c:pt>
                <c:pt idx="10">
                  <c:v>383</c:v>
                </c:pt>
                <c:pt idx="11">
                  <c:v>352</c:v>
                </c:pt>
                <c:pt idx="12">
                  <c:v>370</c:v>
                </c:pt>
                <c:pt idx="13">
                  <c:v>261</c:v>
                </c:pt>
              </c:numCache>
            </c:numRef>
          </c:val>
          <c:smooth val="0"/>
          <c:extLst>
            <c:ext xmlns:c16="http://schemas.microsoft.com/office/drawing/2014/chart" uri="{C3380CC4-5D6E-409C-BE32-E72D297353CC}">
              <c16:uniqueId val="{0000000C-1DFF-4AC4-94B6-BFFC9381B5FD}"/>
            </c:ext>
          </c:extLst>
        </c:ser>
        <c:ser>
          <c:idx val="2"/>
          <c:order val="2"/>
          <c:tx>
            <c:strRef>
              <c:f>Sheet3!$D$1</c:f>
              <c:strCache>
                <c:ptCount val="1"/>
                <c:pt idx="0">
                  <c:v>обустављени</c:v>
                </c:pt>
              </c:strCache>
            </c:strRef>
          </c:tx>
          <c:spPr>
            <a:ln w="38100" cap="rnd">
              <a:solidFill>
                <a:srgbClr val="92D050"/>
              </a:solidFill>
              <a:round/>
            </a:ln>
            <a:effectLst/>
          </c:spPr>
          <c:marker>
            <c:symbol val="none"/>
          </c:marker>
          <c:dLbls>
            <c:dLbl>
              <c:idx val="0"/>
              <c:layout>
                <c:manualLayout>
                  <c:x val="1.3268483707225808E-2"/>
                  <c:y val="-1.32156862450718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1DFF-4AC4-94B6-BFFC9381B5FD}"/>
                </c:ext>
              </c:extLst>
            </c:dLbl>
            <c:dLbl>
              <c:idx val="1"/>
              <c:layout>
                <c:manualLayout>
                  <c:x val="-9.774474171403924E-3"/>
                  <c:y val="1.3001370718568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1DFF-4AC4-94B6-BFFC9381B5FD}"/>
                </c:ext>
              </c:extLst>
            </c:dLbl>
            <c:dLbl>
              <c:idx val="2"/>
              <c:layout>
                <c:manualLayout>
                  <c:x val="-2.3113328210964422E-2"/>
                  <c:y val="2.01514771631979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1DFF-4AC4-94B6-BFFC9381B5FD}"/>
                </c:ext>
              </c:extLst>
            </c:dLbl>
            <c:dLbl>
              <c:idx val="3"/>
              <c:layout>
                <c:manualLayout>
                  <c:x val="-2.9041707784102418E-2"/>
                  <c:y val="-2.75158991343304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1DFF-4AC4-94B6-BFFC9381B5FD}"/>
                </c:ext>
              </c:extLst>
            </c:dLbl>
            <c:dLbl>
              <c:idx val="7"/>
              <c:layout>
                <c:manualLayout>
                  <c:x val="-3.726360002950186E-2"/>
                  <c:y val="2.73015836078273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1DFF-4AC4-94B6-BFFC9381B5FD}"/>
                </c:ext>
              </c:extLst>
            </c:dLbl>
            <c:dLbl>
              <c:idx val="8"/>
              <c:layout>
                <c:manualLayout>
                  <c:x val="-3.6452182250525024E-2"/>
                  <c:y val="2.49182147929508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1DFF-4AC4-94B6-BFFC9381B5FD}"/>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Sheet3!$A$2:$A$15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Sheet3!$D$2:$D$15</c:f>
              <c:numCache>
                <c:formatCode>General</c:formatCode>
                <c:ptCount val="14"/>
                <c:pt idx="0">
                  <c:v>9</c:v>
                </c:pt>
                <c:pt idx="1">
                  <c:v>79</c:v>
                </c:pt>
                <c:pt idx="2">
                  <c:v>69</c:v>
                </c:pt>
                <c:pt idx="3">
                  <c:v>30</c:v>
                </c:pt>
                <c:pt idx="4">
                  <c:v>18</c:v>
                </c:pt>
                <c:pt idx="5">
                  <c:v>30</c:v>
                </c:pt>
                <c:pt idx="6">
                  <c:v>72</c:v>
                </c:pt>
                <c:pt idx="7">
                  <c:v>103</c:v>
                </c:pt>
                <c:pt idx="8">
                  <c:v>77</c:v>
                </c:pt>
                <c:pt idx="9">
                  <c:v>42</c:v>
                </c:pt>
                <c:pt idx="10">
                  <c:v>28</c:v>
                </c:pt>
                <c:pt idx="11">
                  <c:v>44</c:v>
                </c:pt>
                <c:pt idx="12">
                  <c:v>34</c:v>
                </c:pt>
                <c:pt idx="13">
                  <c:v>23</c:v>
                </c:pt>
              </c:numCache>
            </c:numRef>
          </c:val>
          <c:smooth val="0"/>
          <c:extLst>
            <c:ext xmlns:c16="http://schemas.microsoft.com/office/drawing/2014/chart" uri="{C3380CC4-5D6E-409C-BE32-E72D297353CC}">
              <c16:uniqueId val="{00000013-1DFF-4AC4-94B6-BFFC9381B5FD}"/>
            </c:ext>
          </c:extLst>
        </c:ser>
        <c:dLbls>
          <c:dLblPos val="t"/>
          <c:showLegendKey val="0"/>
          <c:showVal val="1"/>
          <c:showCatName val="0"/>
          <c:showSerName val="0"/>
          <c:showPercent val="0"/>
          <c:showBubbleSize val="0"/>
        </c:dLbls>
        <c:smooth val="0"/>
        <c:axId val="208801280"/>
        <c:axId val="188110464"/>
      </c:lineChart>
      <c:catAx>
        <c:axId val="208801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88110464"/>
        <c:crosses val="autoZero"/>
        <c:auto val="1"/>
        <c:lblAlgn val="ctr"/>
        <c:lblOffset val="100"/>
        <c:noMultiLvlLbl val="0"/>
      </c:catAx>
      <c:valAx>
        <c:axId val="18811046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08801280"/>
        <c:crosses val="autoZero"/>
        <c:crossBetween val="between"/>
      </c:valAx>
      <c:spPr>
        <a:noFill/>
        <a:ln>
          <a:noFill/>
        </a:ln>
        <a:effectLst/>
      </c:spPr>
    </c:plotArea>
    <c:legend>
      <c:legendPos val="b"/>
      <c:layout>
        <c:manualLayout>
          <c:xMode val="edge"/>
          <c:yMode val="edge"/>
          <c:x val="0.20895507408607261"/>
          <c:y val="0.91954891648675674"/>
          <c:w val="0.65619459649207978"/>
          <c:h val="3.993381366034404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Sheet1!$E$4:$E$4</c:f>
              <c:strCache>
                <c:ptCount val="1"/>
                <c:pt idx="0">
                  <c:v>Просечан рок за плаћање (у данима)</c:v>
                </c:pt>
              </c:strCache>
            </c:strRef>
          </c:tx>
          <c:spPr>
            <a:solidFill>
              <a:schemeClr val="accent2"/>
            </a:solidFill>
            <a:ln w="12700" cap="flat" cmpd="sng" algn="ctr">
              <a:solidFill>
                <a:schemeClr val="dk1"/>
              </a:solidFill>
              <a:prstDash val="solid"/>
              <a:miter lim="800000"/>
            </a:ln>
            <a:effectLst/>
          </c:spPr>
          <c:invertIfNegative val="0"/>
          <c:dPt>
            <c:idx val="9"/>
            <c:invertIfNegative val="0"/>
            <c:bubble3D val="0"/>
            <c:spPr>
              <a:solidFill>
                <a:schemeClr val="tx1"/>
              </a:solidFill>
              <a:ln w="12700" cap="flat" cmpd="sng" algn="ctr">
                <a:solidFill>
                  <a:schemeClr val="dk1"/>
                </a:solidFill>
                <a:prstDash val="solid"/>
                <a:miter lim="800000"/>
              </a:ln>
              <a:effectLst/>
            </c:spPr>
            <c:extLst>
              <c:ext xmlns:c16="http://schemas.microsoft.com/office/drawing/2014/chart" uri="{C3380CC4-5D6E-409C-BE32-E72D297353CC}">
                <c16:uniqueId val="{00000001-A78A-4E8D-96AC-E8F1CD55A8CF}"/>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dk1">
                        <a:lumMod val="75000"/>
                        <a:lumOff val="25000"/>
                      </a:schemeClr>
                    </a:solidFill>
                    <a:latin typeface="Arial Narrow" panose="020B0606020202030204" pitchFamily="34"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Sheet1!$F$3:$U$3</c:f>
              <c:strCache>
                <c:ptCount val="16"/>
                <c:pt idx="0">
                  <c:v>Просек</c:v>
                </c:pt>
                <c:pt idx="1">
                  <c:v>RU</c:v>
                </c:pt>
                <c:pt idx="2">
                  <c:v>PL</c:v>
                </c:pt>
                <c:pt idx="3">
                  <c:v>SK</c:v>
                </c:pt>
                <c:pt idx="4">
                  <c:v>BG</c:v>
                </c:pt>
                <c:pt idx="5">
                  <c:v>RO</c:v>
                </c:pt>
                <c:pt idx="6">
                  <c:v>GR</c:v>
                </c:pt>
                <c:pt idx="7">
                  <c:v>HU</c:v>
                </c:pt>
                <c:pt idx="8">
                  <c:v>HR</c:v>
                </c:pt>
                <c:pt idx="9">
                  <c:v>SRB</c:v>
                </c:pt>
                <c:pt idx="10">
                  <c:v>DE</c:v>
                </c:pt>
                <c:pt idx="11">
                  <c:v>AT</c:v>
                </c:pt>
                <c:pt idx="12">
                  <c:v>BE</c:v>
                </c:pt>
                <c:pt idx="13">
                  <c:v>UK</c:v>
                </c:pt>
                <c:pt idx="14">
                  <c:v>ES</c:v>
                </c:pt>
                <c:pt idx="15">
                  <c:v>FR</c:v>
                </c:pt>
              </c:strCache>
            </c:strRef>
          </c:cat>
          <c:val>
            <c:numRef>
              <c:f>Sheet1!$F$4:$U$4</c:f>
              <c:numCache>
                <c:formatCode>General</c:formatCode>
                <c:ptCount val="16"/>
                <c:pt idx="0">
                  <c:v>40</c:v>
                </c:pt>
                <c:pt idx="1">
                  <c:v>40</c:v>
                </c:pt>
                <c:pt idx="2">
                  <c:v>37</c:v>
                </c:pt>
                <c:pt idx="3">
                  <c:v>42</c:v>
                </c:pt>
                <c:pt idx="4">
                  <c:v>41</c:v>
                </c:pt>
                <c:pt idx="5">
                  <c:v>41</c:v>
                </c:pt>
                <c:pt idx="6">
                  <c:v>53</c:v>
                </c:pt>
                <c:pt idx="7">
                  <c:v>41</c:v>
                </c:pt>
                <c:pt idx="8">
                  <c:v>42</c:v>
                </c:pt>
                <c:pt idx="9">
                  <c:v>46</c:v>
                </c:pt>
                <c:pt idx="10">
                  <c:v>26</c:v>
                </c:pt>
                <c:pt idx="11">
                  <c:v>35</c:v>
                </c:pt>
                <c:pt idx="12">
                  <c:v>39</c:v>
                </c:pt>
                <c:pt idx="13">
                  <c:v>38</c:v>
                </c:pt>
                <c:pt idx="14">
                  <c:v>45</c:v>
                </c:pt>
                <c:pt idx="15">
                  <c:v>38</c:v>
                </c:pt>
              </c:numCache>
            </c:numRef>
          </c:val>
          <c:extLst>
            <c:ext xmlns:c16="http://schemas.microsoft.com/office/drawing/2014/chart" uri="{C3380CC4-5D6E-409C-BE32-E72D297353CC}">
              <c16:uniqueId val="{00000002-A78A-4E8D-96AC-E8F1CD55A8CF}"/>
            </c:ext>
          </c:extLst>
        </c:ser>
        <c:dLbls>
          <c:showLegendKey val="0"/>
          <c:showVal val="0"/>
          <c:showCatName val="0"/>
          <c:showSerName val="0"/>
          <c:showPercent val="0"/>
          <c:showBubbleSize val="0"/>
        </c:dLbls>
        <c:gapWidth val="267"/>
        <c:overlap val="-43"/>
        <c:axId val="208800256"/>
        <c:axId val="188112192"/>
      </c:barChart>
      <c:catAx>
        <c:axId val="208800256"/>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800" b="0" i="0" u="none" strike="noStrike" kern="1200" cap="none" spc="0" normalizeH="0" baseline="0">
                <a:solidFill>
                  <a:schemeClr val="dk1">
                    <a:lumMod val="65000"/>
                    <a:lumOff val="35000"/>
                  </a:schemeClr>
                </a:solidFill>
                <a:latin typeface="Arial Narrow" panose="020B0606020202030204" pitchFamily="34" charset="0"/>
                <a:ea typeface="+mn-ea"/>
                <a:cs typeface="+mn-cs"/>
              </a:defRPr>
            </a:pPr>
            <a:endParaRPr lang="en-US"/>
          </a:p>
        </c:txPr>
        <c:crossAx val="188112192"/>
        <c:crosses val="autoZero"/>
        <c:auto val="1"/>
        <c:lblAlgn val="ctr"/>
        <c:lblOffset val="100"/>
        <c:noMultiLvlLbl val="0"/>
      </c:catAx>
      <c:valAx>
        <c:axId val="18811219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dk1">
                    <a:lumMod val="65000"/>
                    <a:lumOff val="35000"/>
                  </a:schemeClr>
                </a:solidFill>
                <a:latin typeface="Arial Narrow" panose="020B0606020202030204" pitchFamily="34" charset="0"/>
                <a:ea typeface="+mn-ea"/>
                <a:cs typeface="+mn-cs"/>
              </a:defRPr>
            </a:pPr>
            <a:endParaRPr lang="en-US"/>
          </a:p>
        </c:txPr>
        <c:crossAx val="208800256"/>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sz="1000">
          <a:latin typeface="Arial Narrow" panose="020B0606020202030204" pitchFamily="34"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4401197370989778"/>
          <c:y val="8.365823204138316E-2"/>
          <c:w val="0.30539901520574397"/>
          <c:h val="0.89692429223046155"/>
        </c:manualLayout>
      </c:layout>
      <c:pieChart>
        <c:varyColors val="1"/>
        <c:ser>
          <c:idx val="0"/>
          <c:order val="0"/>
          <c:tx>
            <c:strRef>
              <c:f>Sheet1!$AG$14</c:f>
              <c:strCache>
                <c:ptCount val="1"/>
                <c:pt idx="0">
                  <c:v>Дани</c:v>
                </c:pt>
              </c:strCache>
            </c:strRef>
          </c:tx>
          <c:dPt>
            <c:idx val="0"/>
            <c:bubble3D val="0"/>
            <c:spPr>
              <a:solidFill>
                <a:schemeClr val="accent2"/>
              </a:solidFill>
              <a:ln w="12700" cap="flat" cmpd="sng" algn="ctr">
                <a:solidFill>
                  <a:schemeClr val="dk1"/>
                </a:solidFill>
                <a:prstDash val="solid"/>
                <a:miter lim="800000"/>
              </a:ln>
              <a:effectLst/>
            </c:spPr>
            <c:extLst>
              <c:ext xmlns:c16="http://schemas.microsoft.com/office/drawing/2014/chart" uri="{C3380CC4-5D6E-409C-BE32-E72D297353CC}">
                <c16:uniqueId val="{00000001-616C-4F30-88EA-794C8D9F411B}"/>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616C-4F30-88EA-794C8D9F411B}"/>
              </c:ext>
            </c:extLst>
          </c:dPt>
          <c:dPt>
            <c:idx val="2"/>
            <c:bubble3D val="0"/>
            <c:spPr>
              <a:solidFill>
                <a:schemeClr val="bg1">
                  <a:lumMod val="75000"/>
                </a:schemeClr>
              </a:solidFill>
              <a:ln w="12700" cap="flat" cmpd="sng" algn="ctr">
                <a:solidFill>
                  <a:schemeClr val="dk1"/>
                </a:solidFill>
                <a:prstDash val="solid"/>
                <a:miter lim="800000"/>
              </a:ln>
              <a:effectLst/>
            </c:spPr>
            <c:extLst>
              <c:ext xmlns:c16="http://schemas.microsoft.com/office/drawing/2014/chart" uri="{C3380CC4-5D6E-409C-BE32-E72D297353CC}">
                <c16:uniqueId val="{00000005-616C-4F30-88EA-794C8D9F411B}"/>
              </c:ext>
            </c:extLst>
          </c:dPt>
          <c:dPt>
            <c:idx val="3"/>
            <c:bubble3D val="0"/>
            <c:spPr>
              <a:solidFill>
                <a:schemeClr val="accent4">
                  <a:lumMod val="60000"/>
                  <a:lumOff val="40000"/>
                </a:schemeClr>
              </a:solidFill>
              <a:ln w="12700" cap="flat" cmpd="sng" algn="ctr">
                <a:solidFill>
                  <a:schemeClr val="dk1"/>
                </a:solidFill>
                <a:prstDash val="solid"/>
                <a:miter lim="800000"/>
              </a:ln>
              <a:effectLst/>
            </c:spPr>
            <c:extLst>
              <c:ext xmlns:c16="http://schemas.microsoft.com/office/drawing/2014/chart" uri="{C3380CC4-5D6E-409C-BE32-E72D297353CC}">
                <c16:uniqueId val="{00000007-616C-4F30-88EA-794C8D9F411B}"/>
              </c:ext>
            </c:extLst>
          </c:dPt>
          <c:dPt>
            <c:idx val="4"/>
            <c:bubble3D val="0"/>
            <c:spPr>
              <a:solidFill>
                <a:schemeClr val="bg2">
                  <a:lumMod val="50000"/>
                </a:schemeClr>
              </a:solidFill>
              <a:ln w="12700" cap="flat" cmpd="sng" algn="ctr">
                <a:solidFill>
                  <a:schemeClr val="dk1"/>
                </a:solidFill>
                <a:prstDash val="solid"/>
                <a:miter lim="800000"/>
              </a:ln>
              <a:effectLst/>
            </c:spPr>
            <c:extLst>
              <c:ext xmlns:c16="http://schemas.microsoft.com/office/drawing/2014/chart" uri="{C3380CC4-5D6E-409C-BE32-E72D297353CC}">
                <c16:uniqueId val="{00000009-616C-4F30-88EA-794C8D9F411B}"/>
              </c:ext>
            </c:extLst>
          </c:dPt>
          <c:dPt>
            <c:idx val="5"/>
            <c:bubble3D val="0"/>
            <c:spPr>
              <a:solidFill>
                <a:schemeClr val="lt1"/>
              </a:solidFill>
              <a:ln w="12700" cap="flat" cmpd="sng" algn="ctr">
                <a:solidFill>
                  <a:schemeClr val="dk1"/>
                </a:solidFill>
                <a:prstDash val="solid"/>
                <a:miter lim="800000"/>
              </a:ln>
              <a:effectLst/>
            </c:spPr>
            <c:extLst>
              <c:ext xmlns:c16="http://schemas.microsoft.com/office/drawing/2014/chart" uri="{C3380CC4-5D6E-409C-BE32-E72D297353CC}">
                <c16:uniqueId val="{0000000B-616C-4F30-88EA-794C8D9F411B}"/>
              </c:ext>
            </c:extLst>
          </c:dPt>
          <c:dLbls>
            <c:dLbl>
              <c:idx val="1"/>
              <c:delete val="1"/>
              <c:extLst>
                <c:ext xmlns:c15="http://schemas.microsoft.com/office/drawing/2012/chart" uri="{CE6537A1-D6FC-4f65-9D91-7224C49458BB}"/>
                <c:ext xmlns:c16="http://schemas.microsoft.com/office/drawing/2014/chart" uri="{C3380CC4-5D6E-409C-BE32-E72D297353CC}">
                  <c16:uniqueId val="{00000003-616C-4F30-88EA-794C8D9F411B}"/>
                </c:ext>
              </c:extLst>
            </c:dLbl>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Arial Narrow" panose="020B0606020202030204" pitchFamily="34" charset="0"/>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Sheet1!$AF$15:$AF$20</c:f>
              <c:strCache>
                <c:ptCount val="6"/>
                <c:pt idx="0">
                  <c:v>више од 40 дана</c:v>
                </c:pt>
                <c:pt idx="1">
                  <c:v>30-39 дана</c:v>
                </c:pt>
                <c:pt idx="2">
                  <c:v>20-29 дана</c:v>
                </c:pt>
                <c:pt idx="3">
                  <c:v>10-19 дана</c:v>
                </c:pt>
                <c:pt idx="4">
                  <c:v>0-9 дана</c:v>
                </c:pt>
                <c:pt idx="5">
                  <c:v>N/A</c:v>
                </c:pt>
              </c:strCache>
            </c:strRef>
          </c:cat>
          <c:val>
            <c:numRef>
              <c:f>Sheet1!$AG$15:$AG$20</c:f>
              <c:numCache>
                <c:formatCode>General</c:formatCode>
                <c:ptCount val="6"/>
                <c:pt idx="0">
                  <c:v>68</c:v>
                </c:pt>
                <c:pt idx="1">
                  <c:v>0</c:v>
                </c:pt>
                <c:pt idx="2">
                  <c:v>3</c:v>
                </c:pt>
                <c:pt idx="3">
                  <c:v>5</c:v>
                </c:pt>
                <c:pt idx="4">
                  <c:v>4</c:v>
                </c:pt>
                <c:pt idx="5">
                  <c:v>20</c:v>
                </c:pt>
              </c:numCache>
            </c:numRef>
          </c:val>
          <c:extLst>
            <c:ext xmlns:c16="http://schemas.microsoft.com/office/drawing/2014/chart" uri="{C3380CC4-5D6E-409C-BE32-E72D297353CC}">
              <c16:uniqueId val="{0000000C-616C-4F30-88EA-794C8D9F411B}"/>
            </c:ext>
          </c:extLst>
        </c:ser>
        <c:dLbls>
          <c:dLblPos val="in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sz="1200">
          <a:solidFill>
            <a:sysClr val="windowText" lastClr="000000"/>
          </a:solidFill>
          <a:latin typeface="Arial Narrow" panose="020B060602020203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F2A62-F2F3-4281-AFC9-9DCCD091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8148</Words>
  <Characters>46450</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2018-12-27T13:31:00Z</dcterms:created>
  <dcterms:modified xsi:type="dcterms:W3CDTF">2018-12-27T16:27:00Z</dcterms:modified>
</cp:coreProperties>
</file>