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4F0" w:rsidRPr="008D325A" w:rsidRDefault="007104F0" w:rsidP="00897301">
      <w:pPr>
        <w:tabs>
          <w:tab w:val="clear" w:pos="1440"/>
          <w:tab w:val="left" w:pos="900"/>
        </w:tabs>
        <w:jc w:val="center"/>
        <w:rPr>
          <w:rFonts w:ascii="Times New Roman" w:hAnsi="Times New Roman"/>
          <w:b/>
          <w:sz w:val="23"/>
          <w:szCs w:val="23"/>
        </w:rPr>
      </w:pPr>
      <w:r w:rsidRPr="008D325A">
        <w:rPr>
          <w:rFonts w:ascii="Times New Roman" w:hAnsi="Times New Roman"/>
          <w:b/>
          <w:sz w:val="23"/>
          <w:szCs w:val="23"/>
        </w:rPr>
        <w:t>О Б Р А З Л О Ж Е Њ Е</w:t>
      </w:r>
    </w:p>
    <w:p w:rsidR="007104F0" w:rsidRPr="008D325A" w:rsidRDefault="007104F0" w:rsidP="007104F0">
      <w:pPr>
        <w:tabs>
          <w:tab w:val="clear" w:pos="1440"/>
          <w:tab w:val="left" w:pos="900"/>
        </w:tabs>
        <w:rPr>
          <w:rFonts w:ascii="Times New Roman" w:hAnsi="Times New Roman"/>
          <w:b/>
          <w:sz w:val="23"/>
          <w:szCs w:val="23"/>
          <w:highlight w:val="yellow"/>
        </w:rPr>
      </w:pPr>
    </w:p>
    <w:p w:rsidR="00A55878" w:rsidRPr="008D325A" w:rsidRDefault="00A55878" w:rsidP="007104F0">
      <w:pPr>
        <w:tabs>
          <w:tab w:val="clear" w:pos="1440"/>
          <w:tab w:val="left" w:pos="900"/>
        </w:tabs>
        <w:rPr>
          <w:rFonts w:ascii="Times New Roman" w:hAnsi="Times New Roman"/>
          <w:b/>
          <w:sz w:val="23"/>
          <w:szCs w:val="23"/>
          <w:highlight w:val="yellow"/>
        </w:rPr>
      </w:pPr>
    </w:p>
    <w:p w:rsidR="007104F0" w:rsidRPr="008D325A" w:rsidRDefault="006C2F74" w:rsidP="007104F0">
      <w:pPr>
        <w:pStyle w:val="Heading2"/>
        <w:tabs>
          <w:tab w:val="clear" w:pos="1440"/>
          <w:tab w:val="left" w:pos="900"/>
        </w:tabs>
        <w:spacing w:before="0" w:after="0"/>
        <w:jc w:val="both"/>
        <w:rPr>
          <w:rFonts w:ascii="Times New Roman" w:hAnsi="Times New Roman"/>
          <w:sz w:val="23"/>
          <w:szCs w:val="23"/>
        </w:rPr>
      </w:pPr>
      <w:r w:rsidRPr="008D325A">
        <w:rPr>
          <w:rFonts w:ascii="Times New Roman" w:hAnsi="Times New Roman"/>
          <w:sz w:val="23"/>
          <w:szCs w:val="23"/>
        </w:rPr>
        <w:tab/>
      </w:r>
      <w:r w:rsidR="007104F0" w:rsidRPr="008D325A">
        <w:rPr>
          <w:rFonts w:ascii="Times New Roman" w:hAnsi="Times New Roman"/>
          <w:sz w:val="23"/>
          <w:szCs w:val="23"/>
        </w:rPr>
        <w:t>I. УСТАВНИ ОСНОВ</w:t>
      </w:r>
    </w:p>
    <w:p w:rsidR="007104F0" w:rsidRPr="008D325A" w:rsidRDefault="007104F0" w:rsidP="007104F0">
      <w:pPr>
        <w:tabs>
          <w:tab w:val="clear" w:pos="1440"/>
          <w:tab w:val="left" w:pos="900"/>
        </w:tabs>
        <w:rPr>
          <w:rFonts w:ascii="Times New Roman" w:hAnsi="Times New Roman"/>
          <w:sz w:val="23"/>
          <w:szCs w:val="23"/>
          <w:highlight w:val="yellow"/>
        </w:rPr>
      </w:pPr>
    </w:p>
    <w:p w:rsidR="007104F0" w:rsidRPr="008D325A" w:rsidRDefault="00821B52" w:rsidP="00821B52">
      <w:pPr>
        <w:tabs>
          <w:tab w:val="clear" w:pos="1440"/>
          <w:tab w:val="left" w:pos="709"/>
        </w:tabs>
        <w:rPr>
          <w:rFonts w:ascii="Times New Roman" w:hAnsi="Times New Roman"/>
          <w:szCs w:val="24"/>
        </w:rPr>
      </w:pPr>
      <w:r w:rsidRPr="008D325A">
        <w:rPr>
          <w:rFonts w:ascii="Times New Roman" w:hAnsi="Times New Roman"/>
          <w:sz w:val="23"/>
          <w:szCs w:val="23"/>
        </w:rPr>
        <w:tab/>
      </w:r>
      <w:r w:rsidR="007104F0" w:rsidRPr="008D325A">
        <w:rPr>
          <w:rFonts w:ascii="Times New Roman" w:hAnsi="Times New Roman"/>
          <w:szCs w:val="24"/>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rsidR="00632A97" w:rsidRPr="008D325A" w:rsidRDefault="00821B52" w:rsidP="00821B52">
      <w:pPr>
        <w:tabs>
          <w:tab w:val="clear" w:pos="1440"/>
          <w:tab w:val="left" w:pos="709"/>
        </w:tabs>
        <w:rPr>
          <w:rFonts w:ascii="Times New Roman" w:hAnsi="Times New Roman"/>
          <w:szCs w:val="24"/>
        </w:rPr>
      </w:pPr>
      <w:r w:rsidRPr="008D325A">
        <w:rPr>
          <w:rFonts w:ascii="Times New Roman" w:hAnsi="Times New Roman"/>
          <w:szCs w:val="24"/>
        </w:rPr>
        <w:tab/>
      </w:r>
      <w:r w:rsidR="007104F0" w:rsidRPr="008D325A">
        <w:rPr>
          <w:rFonts w:ascii="Times New Roman" w:hAnsi="Times New Roman"/>
          <w:szCs w:val="24"/>
        </w:rPr>
        <w:t>Чланом 99. став 1. тачка 11. Устава Републике Србије утврђено је да Народна скупштина усваја буџет Репу</w:t>
      </w:r>
      <w:r w:rsidR="000008C6" w:rsidRPr="008D325A">
        <w:rPr>
          <w:rFonts w:ascii="Times New Roman" w:hAnsi="Times New Roman"/>
          <w:szCs w:val="24"/>
        </w:rPr>
        <w:t>блике Србије, на предлог Владе.</w:t>
      </w:r>
    </w:p>
    <w:p w:rsidR="00821B52" w:rsidRPr="008D325A" w:rsidRDefault="00821B52" w:rsidP="00821B52">
      <w:pPr>
        <w:tabs>
          <w:tab w:val="clear" w:pos="1440"/>
          <w:tab w:val="left" w:pos="709"/>
        </w:tabs>
        <w:rPr>
          <w:rFonts w:ascii="Times New Roman" w:hAnsi="Times New Roman"/>
          <w:szCs w:val="24"/>
        </w:rPr>
      </w:pPr>
    </w:p>
    <w:p w:rsidR="00821B52" w:rsidRPr="008D325A" w:rsidRDefault="00821B52" w:rsidP="00821B52">
      <w:pPr>
        <w:tabs>
          <w:tab w:val="clear" w:pos="1440"/>
          <w:tab w:val="left" w:pos="720"/>
        </w:tabs>
        <w:rPr>
          <w:rFonts w:ascii="Times New Roman" w:hAnsi="Times New Roman"/>
          <w:szCs w:val="24"/>
        </w:rPr>
      </w:pPr>
    </w:p>
    <w:p w:rsidR="00821B52" w:rsidRPr="008D325A" w:rsidRDefault="00821B52" w:rsidP="00821B52">
      <w:pPr>
        <w:tabs>
          <w:tab w:val="left" w:pos="720"/>
        </w:tabs>
        <w:spacing w:after="120"/>
        <w:ind w:firstLine="720"/>
        <w:contextualSpacing/>
        <w:rPr>
          <w:rFonts w:ascii="Times New Roman" w:hAnsi="Times New Roman"/>
          <w:b/>
          <w:szCs w:val="24"/>
        </w:rPr>
      </w:pPr>
      <w:r w:rsidRPr="008D325A">
        <w:rPr>
          <w:rFonts w:ascii="Times New Roman" w:hAnsi="Times New Roman"/>
          <w:b/>
          <w:szCs w:val="24"/>
        </w:rPr>
        <w:t>II МАКРОЕКОНОМСКЕ ПРЕТПОСТАВКЕ БУЏЕТА РЕПУБЛИКЕ СРБИЈЕ ЗА 2018. ГОДИНУ</w:t>
      </w:r>
    </w:p>
    <w:p w:rsidR="00821B52" w:rsidRPr="008D325A" w:rsidRDefault="00821B52" w:rsidP="00821B52">
      <w:pPr>
        <w:tabs>
          <w:tab w:val="left" w:pos="720"/>
        </w:tabs>
        <w:spacing w:after="120"/>
        <w:ind w:firstLine="720"/>
        <w:contextualSpacing/>
        <w:rPr>
          <w:rFonts w:ascii="Times New Roman" w:hAnsi="Times New Roman"/>
          <w:b/>
          <w:szCs w:val="24"/>
        </w:rPr>
      </w:pPr>
    </w:p>
    <w:p w:rsidR="00821B52" w:rsidRPr="008D325A" w:rsidRDefault="00821B52" w:rsidP="00821B52">
      <w:pPr>
        <w:pStyle w:val="Heading3"/>
        <w:numPr>
          <w:ilvl w:val="0"/>
          <w:numId w:val="17"/>
        </w:numPr>
        <w:spacing w:before="0" w:after="120"/>
        <w:contextualSpacing/>
        <w:rPr>
          <w:rFonts w:ascii="Times New Roman" w:hAnsi="Times New Roman"/>
          <w:sz w:val="24"/>
          <w:szCs w:val="24"/>
        </w:rPr>
      </w:pPr>
      <w:r w:rsidRPr="008D325A">
        <w:rPr>
          <w:rFonts w:ascii="Times New Roman" w:hAnsi="Times New Roman"/>
          <w:sz w:val="24"/>
          <w:szCs w:val="24"/>
        </w:rPr>
        <w:t>Текућа макроекономска кретања</w:t>
      </w:r>
    </w:p>
    <w:p w:rsidR="00821B52" w:rsidRPr="008D325A" w:rsidRDefault="00821B52" w:rsidP="00821B52">
      <w:pPr>
        <w:spacing w:after="120"/>
        <w:ind w:firstLine="720"/>
        <w:contextualSpacing/>
        <w:rPr>
          <w:rFonts w:ascii="Times New Roman" w:hAnsi="Times New Roman"/>
          <w:szCs w:val="24"/>
        </w:rPr>
      </w:pP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szCs w:val="24"/>
        </w:rPr>
        <w:t xml:space="preserve">Достигнуте динамичне стопе привредног раста и уравнотежене јавне финансије, уз успостављену силазну трајекторију јавног дуга и ниску и стабилну инфлацију, чине здраве фундаменте за даља унапређења свих макроекономских токова. У крајњој линији, оваква кретања ће за резултат имати смањење незапослености и подизање животног стандарда становништва. Економска активност током 2018. године бележи снажан раст, који је ношен интензивираном инвестиционом активношћу и повећаном личном потрошњом домаћинстава. Оваква кретања кореспондирају са значајним растом грађевинарства и услужног сектора, посматрано са производне стране БДП. Истовремено, код индустрије је регистровано стабилно повећање креиране бруто додате вредности, док је пољопривредна производња значајно већа од прошлогодишње. Развојни карактер буџета за 2018. годину, у коме је фискални простор приоритетно усмераван у правцу капиталних расхода, резултирао је убрзањем инвестиционих активности државе. Поред тога, фокусирањем реформских мера на уклањање баријера расту, подизањем ефикасности државне администрације, уз стабилне и предвидиве монетарне токове, креиран је привредни амбијент који делује афирматно на приватне инвестиције. Повећање пензија и плата у јавном сектору спроведено је уз строги принцип фискалне одрживости и дозирано je са циљем стимулативног дејства на домаћи производни и услужни сектор. </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szCs w:val="24"/>
        </w:rPr>
        <w:t>Основна ор</w:t>
      </w:r>
      <w:r w:rsidR="008D325A">
        <w:rPr>
          <w:rFonts w:ascii="Times New Roman" w:hAnsi="Times New Roman"/>
          <w:szCs w:val="24"/>
          <w:lang w:val="sr-Cyrl-RS"/>
        </w:rPr>
        <w:t>и</w:t>
      </w:r>
      <w:r w:rsidRPr="008D325A">
        <w:rPr>
          <w:rFonts w:ascii="Times New Roman" w:hAnsi="Times New Roman"/>
          <w:szCs w:val="24"/>
        </w:rPr>
        <w:t>јентација креатора економских мера јесте јачање темеља успостављеног модела раста који почива на повећању инвестиција и извоза. Напори су усмерени на интензивирање реформских процеса, како би се обезбедио континуитет побољшања привредног окружења. Препозната је неопходност проналажења нових извора раста, па су иновације, истраживање и развој, обновљиви извори енергије и еко инвестиције у сталном фокусу приликом дефинисања будућих активности. Такође, у складу са својом редистрибутивном и социјалном функцијом, држава је фокусирана на смањење друштвених неједнакости, обезбеђење инклузивности привредног раста и креирање амбијента социјалне кохезије.</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b/>
          <w:szCs w:val="24"/>
        </w:rPr>
        <w:t>Позитивна привредна кретања забележена у 2017. години, настављена су још динамичнијим темпом током 2018. године</w:t>
      </w:r>
      <w:r w:rsidRPr="008D325A">
        <w:rPr>
          <w:rFonts w:ascii="Times New Roman" w:hAnsi="Times New Roman"/>
          <w:szCs w:val="24"/>
        </w:rPr>
        <w:t xml:space="preserve">. У прва два квартала, према подацима РЗС, остварене су реалне стопе међугодишњег раста БДП од 4,9% и 4,8%, респективно. Иако један део овог убрзања има обрачунски карактер, услед ниске базе претходне године у електро-енергетском сектору, грађевинарству и пољопривреди, треба истаћи да су све компоненте било производне било расходне структуре БДП формирале стабилно растуће путање које су у складу са средњорочним сценаријом. Позитиван допринос расту у првих шест месеци дају сви производни сектори. Последично услед најзначајнијег учешћа у </w:t>
      </w:r>
      <w:r w:rsidRPr="008D325A">
        <w:rPr>
          <w:rFonts w:ascii="Times New Roman" w:hAnsi="Times New Roman"/>
          <w:szCs w:val="24"/>
        </w:rPr>
        <w:lastRenderedPageBreak/>
        <w:t>структури БДП, сектор услуга је доминантан носилац раста. Рапидно повећање грађевинске активности од 25,1% мг обезбеђује раст изнад оног који је првобитном пројекцијом очекиван. Такође, пољопривредна производња бележи двоцифрено повећање од 12,9%, док индустрија креира за 4,0% више бруто додате вредности у односу на исти период прошле године. Посматрано по компонентама употребе, раст је вођен приватном потрошњом која је тангирана мерама фискалне релаксације, растом примања у приватном сектору и подржана повољним условима задуживања. Извор додатног раста у првих шест месеци обезбеђен је убрзањем инвестиција за 13,5%. Обим спољнотрговинске размене приметно је повећан. Извоз је у првој половини године порастао за 8,2%, док је бржи раст увоза за 10,9% последица интензивније набавке репроматеријала и инвестиционе опреме. У трећем кварталу настављена су позитивна кретања из прве половине године. Према флеш процени РЗС раст БДП износио је 3,7% мг. Посматрано са производне стране вођен је услужним сектором уз значајан допринос пољопривреде, док је са расходне стране раст вођен домаћом тражњом. На бази регистрованих кретања, успостављених трендова кључних варијабли и краткорочних макроекономских индикатора првобитна пројекција привредног раста за 2018. годину ревидирана је навише са 3,5% на 4,2%.</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b/>
          <w:szCs w:val="24"/>
        </w:rPr>
        <w:t>Убрзана привредна активност, интензивиран инвестициони циклус, новоотворени и проширени производни капацитети, као и мере активне политике запошљавања и самозапошљавања резултирају побољшањима на тржишту рада која су регистрована и на основу административних извора и кроз Анкету о радној снази</w:t>
      </w:r>
      <w:r w:rsidRPr="008D325A">
        <w:rPr>
          <w:rFonts w:ascii="Times New Roman" w:hAnsi="Times New Roman"/>
          <w:szCs w:val="24"/>
        </w:rPr>
        <w:t>. У трећем кварталу 2018. године регистровани број запослених међугодишње је повећан за 3,3% и износио је преко 2,1 милиона лица, што је 70 хиљада запослених више у односу на исти квартал претходне године. Анкета о радној снази показује међугодишње повећање броја запослених лица у првој половини 2018. године за око 26 хиљада. Стопа запослености у другом кварталу износи 48,6% и највећа је регистрована стопа запослености у периоду за који постоје упоредиви подаци (2014–2018. година). Структура запослених се мења у корист броја формално запослених, што је резултат ефикаснијег деловања инспекцијских служби на сузбијању сиве економије, а огледа се и у већој наплати доприноса од оне која је била планирана израдом буџета за 2018. годину. У првих осам месеци остварен је раст нето зарада од 6,3%, номинално, односно 4,3% реално. Раст зарада у приватном сектору износио је 4,0% и био је подржан повећањем плата у јавном сектору кроз спроведене мере фискалне релаксације. Такође, допринос расту зарада у овом периоду даје и одлука социо-економског савета, којом се минимална цена рада по радном часу са 130 динара, колико је износила у 2017. години, повећала на 143 динара, почев од јануара 2018. године.</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b/>
          <w:szCs w:val="24"/>
        </w:rPr>
        <w:t>Као резултат ниских инфлаторних притисака инфлација се од почетка године налази на ниском и стабилном нивоу, и у септембру је наставила да се креће унутар циљаног коридора НБС</w:t>
      </w:r>
      <w:r w:rsidRPr="008D325A">
        <w:rPr>
          <w:rFonts w:ascii="Times New Roman" w:hAnsi="Times New Roman"/>
          <w:szCs w:val="24"/>
        </w:rPr>
        <w:t>. Међугодишња инфлација у септембру 2018. године износила је 2,1%, што је било опредељено, пре свега, повећањем цена поврћа, нафтних деривата, дувана, дрва за огрев и туристичких аранжмана. Потврда ниских инфлаторних притисака, јесте и кретање базне инфлације, која је у септембру износила 1,1%. Очекује се да ће се инфлацијa и до краја 2018. године кретати у границама дозвољеног одступања од циља НБС.</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b/>
          <w:szCs w:val="24"/>
        </w:rPr>
        <w:t>Раст обима спољнотрговинске размене настављен је и током 2018. године и у првих девет месеци je међугодишње посматрано већи за 2,7 млрд евра</w:t>
      </w:r>
      <w:r w:rsidRPr="008D325A">
        <w:rPr>
          <w:rFonts w:ascii="Times New Roman" w:hAnsi="Times New Roman"/>
          <w:szCs w:val="24"/>
        </w:rPr>
        <w:t xml:space="preserve">. У периоду јануар–септембар извезено је робе (ф.о.б) за 12,1 млрд евра, а увезено робе (ц.и.ф) за 15,9 млрд евра, што је повећање од 7,7% мг и 12,8% мг, респективно. Оваквом динамиком извозно-увозних активности спољнотрговински дефицит је повећан. Међутим, будући да је то повећање највећим делом опредељено већим потребама привреде за репроматеријалом и инвестиционим добрима, очекује се убрзање извоза у наредном периоду што ће резултирати постепеним смањењем дефицита. Раст извоза робе у овом периоду вођен је извозом основних метала и производа од гуме и пластике. Такође, значајан допринос расту извоза дала је аутомобилска, нафтна и машинска индустрија. Ових пет делатности опредељује око две трећине раста извоза у овом периоду и још једна је потврда значаја СДИ за нашу привреду. Расту увоза највише доприносе интермедијарни и капитални производи, односно </w:t>
      </w:r>
      <w:r w:rsidRPr="008D325A">
        <w:rPr>
          <w:rFonts w:ascii="Times New Roman" w:hAnsi="Times New Roman"/>
          <w:szCs w:val="24"/>
        </w:rPr>
        <w:lastRenderedPageBreak/>
        <w:t>посматрано по стандардној међународној трговинској класификацији раст увоза је опредељен појачаним потребама за нафтом, електричним, погонским и индустријским машинама и гвожђем и челиком. Спољнотрговински дефицит у првих девет месеци међугодишње је повећан за 935,6 мил. евра. На раст дефицита с једне стране је утицао интензивирани раст увоза нафте и машина где је дефицит повећан за 400,8 милиона евра, док је с друге стране расту дефицита допринело успоравање извоза пољопривредних производа и електричне опреме.</w:t>
      </w:r>
    </w:p>
    <w:p w:rsidR="00821B52" w:rsidRPr="008D325A" w:rsidRDefault="00821B52" w:rsidP="00821B52">
      <w:pPr>
        <w:ind w:firstLine="709"/>
        <w:rPr>
          <w:rFonts w:ascii="Times New Roman" w:hAnsi="Times New Roman"/>
          <w:szCs w:val="24"/>
        </w:rPr>
      </w:pPr>
      <w:r w:rsidRPr="008D325A">
        <w:rPr>
          <w:rFonts w:ascii="Times New Roman" w:hAnsi="Times New Roman"/>
          <w:b/>
          <w:szCs w:val="24"/>
        </w:rPr>
        <w:t>Платнобилансна кретања карактерише бржи раст увоза од извоза робе и услуга, што је утицало на раст дефицита текућег рачуна у првих осам месеци на ниво који је за 6,9% виши у односу на исти период претходне године, при чему је и даље у потпуности покривен СДИ</w:t>
      </w:r>
      <w:r w:rsidRPr="008D325A">
        <w:rPr>
          <w:rFonts w:ascii="Times New Roman" w:hAnsi="Times New Roman"/>
          <w:szCs w:val="24"/>
        </w:rPr>
        <w:t>. Дефицит текућег рачуна износио је 1.302,9 мил. евра и повећан је за 84,6 мил. евра у поређењу са истим периодом претходне године. Рачун роба бележи повећање дефицита за 29,9%, док рачун услуга бележи раст суфицита за 14,8%. Истовремено, прилив СДИ стабилно расте и обезбеђује више него потпуну покривеност дефицита текућег рачуна. Такође, дисперзијом СДИ обезбеђена је пожељна распрострањеност по секторима који продукују размењива добра. Нето прилив СДИ у првих осам месеци износио је 1,7 млрд евра и међугодишње је повећан за 3,1%. Очекује се да укупан дефицит текућег рачуна у 2018. години износи око 2,2 млрд евра и да ће задржати прошлогодишње учешће у БДП од 5,2%, уз потпуну покривеност СДИ.</w:t>
      </w:r>
    </w:p>
    <w:p w:rsidR="00821B52" w:rsidRPr="008D325A" w:rsidRDefault="00821B52" w:rsidP="00821B52">
      <w:pPr>
        <w:ind w:firstLine="709"/>
        <w:rPr>
          <w:rFonts w:ascii="Times New Roman" w:eastAsia="Calibri" w:hAnsi="Times New Roman"/>
          <w:szCs w:val="24"/>
        </w:rPr>
      </w:pPr>
    </w:p>
    <w:p w:rsidR="00821B52" w:rsidRPr="008D325A" w:rsidRDefault="00821B52" w:rsidP="00821B52">
      <w:pPr>
        <w:pStyle w:val="Heading3"/>
        <w:numPr>
          <w:ilvl w:val="0"/>
          <w:numId w:val="11"/>
        </w:numPr>
        <w:spacing w:before="0" w:after="0"/>
        <w:contextualSpacing/>
        <w:rPr>
          <w:rFonts w:ascii="Times New Roman" w:hAnsi="Times New Roman"/>
          <w:bCs w:val="0"/>
          <w:sz w:val="24"/>
          <w:szCs w:val="24"/>
          <w:lang w:eastAsia="en-US"/>
        </w:rPr>
      </w:pPr>
      <w:r w:rsidRPr="008D325A">
        <w:rPr>
          <w:rFonts w:ascii="Times New Roman" w:hAnsi="Times New Roman"/>
          <w:bCs w:val="0"/>
          <w:sz w:val="24"/>
          <w:szCs w:val="24"/>
          <w:lang w:eastAsia="en-US"/>
        </w:rPr>
        <w:t>Макроекономске пројекције за 2019. годину</w:t>
      </w:r>
    </w:p>
    <w:p w:rsidR="00821B52" w:rsidRPr="008D325A" w:rsidRDefault="00821B52" w:rsidP="00821B52">
      <w:pPr>
        <w:ind w:firstLine="720"/>
        <w:rPr>
          <w:rFonts w:ascii="Times New Roman" w:hAnsi="Times New Roman"/>
          <w:szCs w:val="24"/>
        </w:rPr>
      </w:pP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Економска кретања и изгледи Србије у наредном периоду у великој мери ће зависити од кретања и изгледа у међународном економском окружењу, пре свега, у чланицама евро зоне које су главни партнери Србије у робној размени и инвестицијама. </w:t>
      </w:r>
    </w:p>
    <w:p w:rsidR="00821B52" w:rsidRPr="008D325A" w:rsidRDefault="00821B52" w:rsidP="00821B52">
      <w:pPr>
        <w:ind w:firstLine="720"/>
        <w:rPr>
          <w:rFonts w:ascii="Times New Roman" w:hAnsi="Times New Roman"/>
          <w:szCs w:val="24"/>
        </w:rPr>
      </w:pPr>
    </w:p>
    <w:p w:rsidR="00821B52" w:rsidRPr="008D325A" w:rsidRDefault="00821B52" w:rsidP="00821B52">
      <w:pPr>
        <w:ind w:firstLine="720"/>
        <w:rPr>
          <w:rFonts w:ascii="Times New Roman" w:hAnsi="Times New Roman"/>
          <w:szCs w:val="24"/>
        </w:rPr>
      </w:pPr>
      <w:r w:rsidRPr="008D325A">
        <w:rPr>
          <w:rFonts w:ascii="Times New Roman" w:hAnsi="Times New Roman"/>
          <w:szCs w:val="24"/>
        </w:rPr>
        <w:t>Међународно окружење</w:t>
      </w:r>
    </w:p>
    <w:p w:rsidR="00821B52" w:rsidRPr="008D325A" w:rsidRDefault="00821B52" w:rsidP="00821B52">
      <w:pPr>
        <w:ind w:firstLine="720"/>
        <w:rPr>
          <w:rFonts w:ascii="Times New Roman" w:hAnsi="Times New Roman"/>
          <w:b/>
          <w:bCs/>
          <w:szCs w:val="24"/>
        </w:rPr>
      </w:pPr>
    </w:p>
    <w:p w:rsidR="00821B52" w:rsidRPr="008D325A" w:rsidRDefault="00821B52" w:rsidP="00821B52">
      <w:pPr>
        <w:ind w:firstLine="720"/>
        <w:rPr>
          <w:rFonts w:ascii="Times New Roman" w:eastAsia="Calibri" w:hAnsi="Times New Roman"/>
          <w:szCs w:val="24"/>
        </w:rPr>
      </w:pPr>
      <w:r w:rsidRPr="008D325A">
        <w:rPr>
          <w:rFonts w:ascii="Times New Roman" w:hAnsi="Times New Roman"/>
          <w:b/>
          <w:szCs w:val="24"/>
        </w:rPr>
        <w:t>Према јесењим пројекцијама релевантних међународних институција глобална економска активност ће у 2018. години забележити сличну динамику као и у претходној години</w:t>
      </w:r>
      <w:r w:rsidRPr="008D325A">
        <w:rPr>
          <w:rFonts w:ascii="Times New Roman" w:hAnsi="Times New Roman"/>
          <w:szCs w:val="24"/>
        </w:rPr>
        <w:t>. Иако се првобитно очекивало убрзање раста светске економије, трговинске тензије и с тим у вези предузете мере, геополитичка нестабилност услед нерешених питања у неким од земаља у развоју и раст цена нафте имали су за последицу ревидирање годишњих стопа раста наниже и у развијеним земљама и у земљама у успону. Са друге стране, простор за побољшање изгледа је умањен услед већих трговинских трошкова, споре примене раније предложених реформи, повећаној рестриктивности монетарне политике у неким деловима света и успоравајућег замајца раста. Стагнација глобалног раста од почетка године праћена је растом цена примарних производа, првенствено нафте, метала и житарица, а њихова стабилизација се очекује у средњoрочном периоду. Глобални опоравак у претходном периоду допринео је побољшању тржишта рада кроз раст зарада и запослености, јачању платнобилансних позиција али и проширио простор за изградњу механизама заштите од шокова. Ипак, како су могућности за материјализацију ризика повећане, да би се осигурао снажан раст и глобална експанзија, неопходно је доследно примењивати адекватне политике и спроводити структурне реформе</w:t>
      </w:r>
      <w:r w:rsidRPr="008D325A">
        <w:rPr>
          <w:rFonts w:ascii="Times New Roman" w:eastAsia="Calibri" w:hAnsi="Times New Roman"/>
          <w:szCs w:val="24"/>
        </w:rPr>
        <w:t>.</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Према октобарским пројекцијама ММФ прогнозиран је глобални раст од 3,7% у 2018. години, што је ревизија наниже за 0,2 п.п. у односу на претходна очекивања</w:t>
      </w:r>
      <w:r w:rsidRPr="008D325A">
        <w:rPr>
          <w:rFonts w:ascii="Times New Roman" w:hAnsi="Times New Roman"/>
          <w:szCs w:val="24"/>
        </w:rPr>
        <w:t xml:space="preserve">. Идентична стопа раста светске привреде прогнозирана је и за наредне две године. У развијеним економијама раст ће у средњорочном периоду успорити са 2,4% на 1,7%. Истовремено, очекивања за земље у успону су спуштена (за 0,2 п.п. и 0,4 п.п. у 2018. и 2019. години, респективно) али се и даље пројектује убрзање њихове привредне активности, са 4,7% у 2018. на 4,9% у 2020. години. Раст у САД је изнад потенцијалног, услед повољних финансијских услова и фискалног стимулуса, а очекује се да ће америчка привреда у овом периоду расти по просечној годишњој стопи од 2,4%. Евро зона ће у 2018. години </w:t>
      </w:r>
      <w:r w:rsidRPr="008D325A">
        <w:rPr>
          <w:rFonts w:ascii="Times New Roman" w:hAnsi="Times New Roman"/>
          <w:szCs w:val="24"/>
        </w:rPr>
        <w:lastRenderedPageBreak/>
        <w:t>забележити повећање привредне активности за 2,0%, док се у средњем року очекује даље успоравање раста, изазвано пре свега неповољним трговинским мерама и следствено нижом спољном тражњом.</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Раст инфлације у 2018. години очекује се како у развијеним економијама тако и у земљама у развоју, што је у највећој мери базирано на очекиваном повећању цена примарних производа.</w:t>
      </w:r>
      <w:r w:rsidRPr="008D325A">
        <w:rPr>
          <w:rFonts w:ascii="Times New Roman" w:hAnsi="Times New Roman"/>
          <w:szCs w:val="24"/>
        </w:rPr>
        <w:t xml:space="preserve"> У развијенијим економијама раст цена ће бити умерен и износиће 2,0% у 2018. и 1,9% у 2019. години. Предвиђање је супротно за земље у успону, где ће раст цена са 5,0% у 2018. убрзати на 5,2% 2019. години. Скок цена примарних производа, услед раста цена енергената и житарица, известан је у 2018. години, док се у наредном периоду очекује смањење и стабилизација. Према октобарским пројекцијама ММФ, очекује се да ће цена нафте у 2018. години износити 69,4 $/барел, што је повећање од 31,4% у односу на 2017. годину, након чега се очекује стабилизација и благо смањење цена током 2019. и 2020. године. Тржиште метала је претрпело велике нестабилности услед царинских мера и санкција САД, као и због неизвесности која је креирана заоштреним трговинским политикама. Процењује се да ће раст цене метала у 2018. години износити 5,3%, при чему ће се цена руде гвожђа смањити за 2,1%, уз блажи наставак пада цене у средњем року. Након што је 2017. године прекинут тренд вишегодишњег пада цена житарица, у 2018. години се очекује раст, а потом и убрзање раста у средњорочном периоду.</w:t>
      </w:r>
    </w:p>
    <w:p w:rsidR="00821B52" w:rsidRPr="008D325A" w:rsidRDefault="00821B52" w:rsidP="00821B52">
      <w:pPr>
        <w:ind w:firstLine="720"/>
        <w:rPr>
          <w:rFonts w:ascii="Times New Roman" w:eastAsia="Calibri" w:hAnsi="Times New Roman"/>
          <w:szCs w:val="24"/>
        </w:rPr>
      </w:pPr>
    </w:p>
    <w:p w:rsidR="00821B52" w:rsidRPr="008D325A" w:rsidRDefault="00821B52" w:rsidP="00821B52">
      <w:pPr>
        <w:shd w:val="clear" w:color="auto" w:fill="FFFFFF" w:themeFill="background1"/>
        <w:tabs>
          <w:tab w:val="clear" w:pos="1440"/>
          <w:tab w:val="left" w:pos="720"/>
        </w:tabs>
        <w:spacing w:after="120"/>
        <w:contextualSpacing/>
        <w:rPr>
          <w:rFonts w:ascii="Times New Roman" w:hAnsi="Times New Roman"/>
          <w:b/>
          <w:szCs w:val="24"/>
        </w:rPr>
      </w:pPr>
      <w:r w:rsidRPr="008D325A">
        <w:rPr>
          <w:rFonts w:ascii="Times New Roman" w:hAnsi="Times New Roman"/>
          <w:b/>
          <w:szCs w:val="24"/>
        </w:rPr>
        <w:tab/>
        <w:t>Макроекономски оквир</w:t>
      </w:r>
    </w:p>
    <w:p w:rsidR="00821B52" w:rsidRPr="008D325A" w:rsidRDefault="00821B52" w:rsidP="00821B52">
      <w:pPr>
        <w:shd w:val="clear" w:color="auto" w:fill="FFFFFF" w:themeFill="background1"/>
        <w:spacing w:after="120"/>
        <w:ind w:firstLine="720"/>
        <w:contextualSpacing/>
        <w:rPr>
          <w:rFonts w:ascii="Times New Roman" w:hAnsi="Times New Roman"/>
          <w:b/>
          <w:szCs w:val="24"/>
        </w:rPr>
      </w:pP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Кретања основних макроекономских агрегатa и индикатора за Републику Србију у периоду 2019–2021. година пројектована су на основу актуелних економских показатеља и изгледа за Републику Србију и међународно окружење, као и на основу процене ефеката планираних мера економске политике.</w:t>
      </w:r>
      <w:r w:rsidRPr="008D325A">
        <w:rPr>
          <w:rFonts w:ascii="Times New Roman" w:hAnsi="Times New Roman"/>
          <w:szCs w:val="24"/>
        </w:rPr>
        <w:t xml:space="preserve"> У обзир су узети и успостављена фискална стабилност и трендна кретања реалног сектора, ојачана екстерна позиција земље и растући прилив СДИ. Поред тога, започете реформе и планирана системска унапређења привредног амбијента идентификујемо као изворе могућег додатног раста. У супротном смеру могу деловати потенцијалне неизвесности креиране турбуленцијама на међународном тржишту роба и капитала. Влада остаје посвећена очувању модела привредног раста који се заснива на инвестицијама и извозу, а који је подржан растом приватне потрошње на реалним и здравим изворима. Доследност у очувању фискалне стабилности спречава генерисање неравнотежа и креирање неизвесности. Мере које се предузимају имају за циљ даље растерећење привреде. Сви реформски процеси подржани су интензивном изградњом транспортне и телекомуникационе инфраструктуре. Ефикасност реализације јавних инвестиција је подигнута, а за средњорочни период је планирано значајно повећање капиталних расхода. Дигитална трансформација и изградња дигиталног екосистема остаје стратешка ор</w:t>
      </w:r>
      <w:r w:rsidR="008D325A">
        <w:rPr>
          <w:rFonts w:ascii="Times New Roman" w:hAnsi="Times New Roman"/>
          <w:szCs w:val="24"/>
          <w:lang w:val="sr-Cyrl-RS"/>
        </w:rPr>
        <w:t>и</w:t>
      </w:r>
      <w:r w:rsidRPr="008D325A">
        <w:rPr>
          <w:rFonts w:ascii="Times New Roman" w:hAnsi="Times New Roman"/>
          <w:szCs w:val="24"/>
        </w:rPr>
        <w:t>јентација Владе. Ефикаснији рад државне администрације, скраћивање административних процедура становништву и привреди са фокусом на дигитализацији образовања убрзаће конвергенцију наше привреде ка развијеним земљама.</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За 2019. годину пројектован је реални раст привредне активности од 3,5%. Нешто нижа стопа од овогодишње највећим делом има разлоге у изузетно високо референтној бази пољопривреде која је постављена рекордном производњом у 2018. години. Тиме се од овог сектора очекује благ негативан допринос расту, услед међугодишњег пада који на бази вишегодишњих просека пројектујемо на -6,6%. Остали производни сектори ће у 2019. години остварити повећање креиране БДВ. Услужни сектор ће задржати улогу доминантног носиоца раста са реалном стопом повећања од 3,7%. Укупна индустрија ће убрзати и са растом од 4,7% такође значајно допринети расту. Оваквим кретањима услужног и индустријског сектора биће опредељено око четири петине стопе привредног раста. Убрзање грађевинске активности такође ће дати подршку расту. Очекује се снажније извођење приватних грађевинских радова уз наставак повећања ефикасности реализације јавних пројеката. Посматрано са расходне стране, очекује се наставак позитивног утицаја раста запослености и повољних услова задуживања на приватну потрошњу. Подстакнута и мерама </w:t>
      </w:r>
      <w:r w:rsidRPr="008D325A">
        <w:rPr>
          <w:rFonts w:ascii="Times New Roman" w:hAnsi="Times New Roman"/>
          <w:szCs w:val="24"/>
        </w:rPr>
        <w:lastRenderedPageBreak/>
        <w:t>фискалне релаксације ова компонента ће остварити раст од 3,1% и у складу са својим доминантним учешћем у структури БДП дати најзначајнији допринос расту. Треба имати у виду да је раст потрошње базиран на здравим изворима, нижи је од реалног раста БДП и неће генерисати унутрашње и спољне неравнотеже. У 2019. години инвестиције ће бити веће за 5,6%. Инвестиције ће бити друга по значају компонента у погледу позитивног доприноса расту, што је веома важно са становишта његове дугорочне одрживости. Диверзификација СДИ по индустријским и услужним делатностима, подржана значајно већом производњом сектора пољопривреде у 2018. години, резултираће бржим растом извоза (9,5%) од раста увоза (8,2%). Оваква кретања ће резултирати благо позитивним доприносом нето извоза расту БДП, што ће уз побољшане односе размене довести до смањења дефицита текућег рачуна платног биланса на 5,0% БДП. Министарство финансија задржава конзервативан приступ при пројектовању средњорочних макроекономских кретања, првенствено због турбулентних дешавања на међународном тржишту роба и капитала, као и због волатилне природе кретања пољопривредне производње. Привредни раст и добар фискални резултат, са успостављеном фискалном дисциплином и значајно ојачаним кредибилитетом државе Србије код инвеститора, уз повољније услове задуживања на међународном финансијском тржишту, обезбедиће наставак убрзаног темпа смањења учешћа спољног и јавног дуга у БДП</w:t>
      </w:r>
    </w:p>
    <w:p w:rsidR="00821B52" w:rsidRPr="008D325A" w:rsidRDefault="00821B52" w:rsidP="00821B52">
      <w:pPr>
        <w:ind w:firstLine="720"/>
        <w:rPr>
          <w:rFonts w:ascii="Times New Roman" w:eastAsia="Calibri" w:hAnsi="Times New Roman"/>
          <w:szCs w:val="24"/>
        </w:rPr>
      </w:pPr>
      <w:r w:rsidRPr="008D325A">
        <w:rPr>
          <w:rFonts w:ascii="Times New Roman" w:hAnsi="Times New Roman"/>
          <w:b/>
          <w:szCs w:val="24"/>
        </w:rPr>
        <w:t>У наредном периоду очекује се наставак повољних кретања на тржишту рада која ће се пре свега огледати у снажнијем расту просечних зарада и достизању једноцифрене стопе незапослености.</w:t>
      </w:r>
      <w:r w:rsidRPr="008D325A">
        <w:rPr>
          <w:rFonts w:ascii="Times New Roman" w:hAnsi="Times New Roman"/>
          <w:szCs w:val="24"/>
        </w:rPr>
        <w:t xml:space="preserve"> Интензивираним радом инспекцијских служби, након унапређене радне легислативе и </w:t>
      </w:r>
      <w:r w:rsidR="004A0C74">
        <w:rPr>
          <w:rFonts w:ascii="Times New Roman" w:hAnsi="Times New Roman"/>
          <w:szCs w:val="24"/>
          <w:lang w:val="sr-Cyrl-RS"/>
        </w:rPr>
        <w:t>донетих</w:t>
      </w:r>
      <w:r w:rsidRPr="008D325A">
        <w:rPr>
          <w:rFonts w:ascii="Times New Roman" w:hAnsi="Times New Roman"/>
          <w:szCs w:val="24"/>
        </w:rPr>
        <w:t xml:space="preserve"> мера у правцу пореског растерећења рада, наставиће се смањење броја запослених у сивој зони и њихово превођење у контингент формално запослених. Овим ће услови рада, у погледу права и осигурања радника, бити унапређени, а позитиван ефекат ће се одразити и на приходну страну буџета. На крају средњорочног периода очекује се ефектуирање комплексних реформи образовног система и адекватан одговор на потребе привреде, док ће се активним мерама обука, преквалификација и подршке социјалном предузетништву олакшати доступност радних места социјално рањивим категоријама друштва и тиме додатно обезбедити инклузивност привредног раста. У истом правцу деловаће и ново подизање минималне цене рада, која ће од јануара 2019. године уместо 143 динара по радном часу износити 155,3 динара. Са друге стране, очекује се да ће раст реалних нето зарада у приватном сектору пратити раст продуктивности у привреди и бити бржи него у јавном сектору што ће резултирати смањењем јаза који између њих постоји</w:t>
      </w:r>
      <w:r w:rsidRPr="008D325A">
        <w:rPr>
          <w:rFonts w:ascii="Times New Roman" w:eastAsia="Calibri" w:hAnsi="Times New Roman"/>
          <w:szCs w:val="24"/>
        </w:rPr>
        <w:t>.</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Пројекција инфлације заснована је на очекиваним кретањима у домаћем и међународном окружењу</w:t>
      </w:r>
      <w:r w:rsidRPr="008D325A">
        <w:rPr>
          <w:rFonts w:ascii="Times New Roman" w:hAnsi="Times New Roman"/>
          <w:szCs w:val="24"/>
        </w:rPr>
        <w:t>. Процењује се да ће се инфлација у средњем року кретати у оквиру граница циља НБС (3 ± 1,5%). Према пројекцији НБС инфлација ће до краја 2018. године остати у границама одступања од дефинисаног циља. Оваква кретања биће настављена и у средњорочном периоду. До краја 2019. године извесно је кретање испод централне вредности циља, са приближавањем централној вредности с почетка године услед ефекта ниске референтне базе. Кретање инфлације у средњем року највећим делом ће бити детерминисано растом агрегатне тражње и постепеним слабљењем дезинфлаторних притисака по основу апрецијације динара у претходном периоду.</w:t>
      </w:r>
    </w:p>
    <w:p w:rsidR="00BB1E10" w:rsidRPr="008D325A" w:rsidRDefault="00BB1E10" w:rsidP="00821B52">
      <w:pPr>
        <w:tabs>
          <w:tab w:val="left" w:pos="720"/>
        </w:tabs>
        <w:spacing w:after="200" w:line="276" w:lineRule="auto"/>
        <w:jc w:val="left"/>
        <w:rPr>
          <w:rFonts w:ascii="Times New Roman" w:hAnsi="Times New Roman"/>
          <w:b/>
          <w:szCs w:val="24"/>
        </w:rPr>
      </w:pPr>
    </w:p>
    <w:p w:rsidR="00821B52" w:rsidRPr="008D325A" w:rsidRDefault="00821B52" w:rsidP="00821B52">
      <w:pPr>
        <w:tabs>
          <w:tab w:val="left" w:pos="720"/>
        </w:tabs>
        <w:spacing w:after="200" w:line="276" w:lineRule="auto"/>
        <w:jc w:val="left"/>
        <w:rPr>
          <w:rFonts w:ascii="Times New Roman" w:hAnsi="Times New Roman"/>
          <w:b/>
          <w:szCs w:val="24"/>
        </w:rPr>
      </w:pPr>
      <w:r w:rsidRPr="008D325A">
        <w:rPr>
          <w:rFonts w:ascii="Times New Roman" w:hAnsi="Times New Roman"/>
          <w:b/>
          <w:szCs w:val="24"/>
        </w:rPr>
        <w:t>Основне макроекономске претпоставке</w:t>
      </w:r>
    </w:p>
    <w:p w:rsidR="00821B52" w:rsidRPr="008D325A" w:rsidRDefault="00821B52" w:rsidP="00821B52">
      <w:pPr>
        <w:tabs>
          <w:tab w:val="left" w:pos="720"/>
        </w:tabs>
        <w:ind w:firstLine="720"/>
        <w:rPr>
          <w:rFonts w:ascii="Times New Roman" w:eastAsia="Calibri" w:hAnsi="Times New Roman"/>
          <w:sz w:val="22"/>
          <w:szCs w:val="22"/>
        </w:rPr>
      </w:pPr>
    </w:p>
    <w:tbl>
      <w:tblPr>
        <w:tblStyle w:val="PlainTable513"/>
        <w:tblW w:w="9360" w:type="dxa"/>
        <w:tblLook w:val="04A0" w:firstRow="1" w:lastRow="0" w:firstColumn="1" w:lastColumn="0" w:noHBand="0" w:noVBand="1"/>
      </w:tblPr>
      <w:tblGrid>
        <w:gridCol w:w="6480"/>
        <w:gridCol w:w="1440"/>
        <w:gridCol w:w="1440"/>
      </w:tblGrid>
      <w:tr w:rsidR="00821B52" w:rsidRPr="008D325A" w:rsidTr="002742F3">
        <w:trPr>
          <w:cnfStyle w:val="100000000000" w:firstRow="1" w:lastRow="0" w:firstColumn="0" w:lastColumn="0" w:oddVBand="0" w:evenVBand="0" w:oddHBand="0" w:evenHBand="0" w:firstRowFirstColumn="0" w:firstRowLastColumn="0" w:lastRowFirstColumn="0" w:lastRowLastColumn="0"/>
          <w:trHeight w:val="251"/>
        </w:trPr>
        <w:tc>
          <w:tcPr>
            <w:cnfStyle w:val="001000000100" w:firstRow="0" w:lastRow="0" w:firstColumn="1" w:lastColumn="0" w:oddVBand="0" w:evenVBand="0" w:oddHBand="0" w:evenHBand="0" w:firstRowFirstColumn="1" w:firstRowLastColumn="0" w:lastRowFirstColumn="0" w:lastRowLastColumn="0"/>
            <w:tcW w:w="6480" w:type="dxa"/>
            <w:tcBorders>
              <w:top w:val="nil"/>
              <w:left w:val="nil"/>
              <w:bottom w:val="single" w:sz="4" w:space="0" w:color="auto"/>
              <w:right w:val="single" w:sz="4" w:space="0" w:color="auto"/>
            </w:tcBorders>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bCs/>
                <w:sz w:val="22"/>
                <w:szCs w:val="22"/>
              </w:rPr>
              <w:t>Исказано у процентима осим ако није другачије назначено</w:t>
            </w:r>
          </w:p>
        </w:tc>
        <w:tc>
          <w:tcPr>
            <w:tcW w:w="1440" w:type="dxa"/>
            <w:tcBorders>
              <w:top w:val="nil"/>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sidRPr="008D325A">
              <w:rPr>
                <w:rFonts w:ascii="Times New Roman" w:hAnsi="Times New Roman"/>
                <w:bCs/>
                <w:sz w:val="22"/>
                <w:szCs w:val="22"/>
              </w:rPr>
              <w:t>2018</w:t>
            </w:r>
          </w:p>
        </w:tc>
        <w:tc>
          <w:tcPr>
            <w:tcW w:w="1440" w:type="dxa"/>
            <w:tcBorders>
              <w:top w:val="nil"/>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sidRPr="008D325A">
              <w:rPr>
                <w:rFonts w:ascii="Times New Roman" w:hAnsi="Times New Roman"/>
                <w:bCs/>
                <w:sz w:val="22"/>
                <w:szCs w:val="22"/>
              </w:rPr>
              <w:t>2019</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Стопа реалног раста БДП</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4,2</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3,5</w:t>
            </w:r>
          </w:p>
        </w:tc>
      </w:tr>
      <w:tr w:rsidR="00821B52" w:rsidRPr="008D325A" w:rsidTr="002742F3">
        <w:trPr>
          <w:trHeight w:val="15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БДП у текућим тржишним ценама (у млрд РСД)</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5074</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5424</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rsidR="00821B52" w:rsidRPr="008D325A" w:rsidRDefault="00821B52" w:rsidP="002742F3">
            <w:pPr>
              <w:tabs>
                <w:tab w:val="left" w:pos="720"/>
              </w:tabs>
              <w:jc w:val="left"/>
              <w:rPr>
                <w:rFonts w:ascii="Times New Roman" w:hAnsi="Times New Roman"/>
                <w:b/>
                <w:bCs/>
                <w:sz w:val="22"/>
                <w:szCs w:val="22"/>
              </w:rPr>
            </w:pPr>
            <w:r w:rsidRPr="008D325A">
              <w:rPr>
                <w:rFonts w:ascii="Times New Roman" w:hAnsi="Times New Roman"/>
                <w:b/>
                <w:bCs/>
                <w:sz w:val="22"/>
                <w:szCs w:val="22"/>
              </w:rPr>
              <w:t>Извори раста: процентне промене у сталним ценама</w:t>
            </w:r>
          </w:p>
        </w:tc>
      </w:tr>
      <w:tr w:rsidR="00821B52" w:rsidRPr="008D325A" w:rsidTr="002742F3">
        <w:trPr>
          <w:trHeight w:val="186"/>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Лична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3,0</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3,1</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lastRenderedPageBreak/>
              <w:t>Државна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3,5</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1,9</w:t>
            </w:r>
          </w:p>
        </w:tc>
      </w:tr>
      <w:tr w:rsidR="00821B52" w:rsidRPr="008D325A" w:rsidTr="002742F3">
        <w:trPr>
          <w:trHeight w:val="188"/>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Инвестиције у фиксни капитал</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9,8</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5,6</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Извоз роба и услуга</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9,2</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9,5</w:t>
            </w:r>
          </w:p>
        </w:tc>
      </w:tr>
      <w:tr w:rsidR="00821B52" w:rsidRPr="008D325A" w:rsidTr="002742F3">
        <w:trPr>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Увоз роба и услуга</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9,8</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8,2</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rsidR="00821B52" w:rsidRPr="008D325A" w:rsidRDefault="00821B52" w:rsidP="002742F3">
            <w:pPr>
              <w:tabs>
                <w:tab w:val="left" w:pos="720"/>
              </w:tabs>
              <w:jc w:val="left"/>
              <w:rPr>
                <w:rFonts w:ascii="Times New Roman" w:hAnsi="Times New Roman"/>
                <w:b/>
                <w:bCs/>
                <w:sz w:val="22"/>
                <w:szCs w:val="22"/>
              </w:rPr>
            </w:pPr>
            <w:r w:rsidRPr="008D325A">
              <w:rPr>
                <w:rFonts w:ascii="Times New Roman" w:hAnsi="Times New Roman"/>
                <w:b/>
                <w:bCs/>
                <w:sz w:val="22"/>
                <w:szCs w:val="22"/>
              </w:rPr>
              <w:t>Допринос расту БДП, п.п.</w:t>
            </w:r>
          </w:p>
        </w:tc>
      </w:tr>
      <w:tr w:rsidR="00821B52" w:rsidRPr="008D325A" w:rsidTr="002742F3">
        <w:trPr>
          <w:trHeight w:val="24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Домаћа тражња</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5,2</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3,4</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Инвестициона потрошња</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2,5</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1,1</w:t>
            </w:r>
          </w:p>
        </w:tc>
      </w:tr>
      <w:tr w:rsidR="00821B52" w:rsidRPr="008D325A" w:rsidTr="002742F3">
        <w:trPr>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Лична потрошња</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2,1</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2,1</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Државна потрошња</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0,6</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8D325A">
              <w:rPr>
                <w:rFonts w:ascii="Times New Roman" w:hAnsi="Times New Roman"/>
                <w:sz w:val="22"/>
              </w:rPr>
              <w:t>0,3</w:t>
            </w:r>
          </w:p>
        </w:tc>
      </w:tr>
      <w:tr w:rsidR="00821B52" w:rsidRPr="008D325A" w:rsidTr="002742F3">
        <w:trPr>
          <w:trHeight w:val="26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Нето извоз</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-1,0</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0,1</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rsidR="00821B52" w:rsidRPr="008D325A" w:rsidRDefault="00821B52" w:rsidP="002742F3">
            <w:pPr>
              <w:tabs>
                <w:tab w:val="left" w:pos="720"/>
              </w:tabs>
              <w:jc w:val="left"/>
              <w:rPr>
                <w:rFonts w:ascii="Times New Roman" w:hAnsi="Times New Roman"/>
                <w:b/>
                <w:bCs/>
                <w:sz w:val="22"/>
                <w:szCs w:val="22"/>
              </w:rPr>
            </w:pPr>
            <w:r w:rsidRPr="008D325A">
              <w:rPr>
                <w:rFonts w:ascii="Times New Roman" w:hAnsi="Times New Roman"/>
                <w:b/>
                <w:bCs/>
                <w:sz w:val="22"/>
                <w:szCs w:val="22"/>
              </w:rPr>
              <w:t>Кретање цена</w:t>
            </w:r>
          </w:p>
        </w:tc>
      </w:tr>
      <w:tr w:rsidR="00821B52" w:rsidRPr="008D325A" w:rsidTr="002742F3">
        <w:trPr>
          <w:trHeight w:val="188"/>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Потрошачке цене (годишњи просек)</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2,1</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2,3</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Дефлатор БДП</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2,4</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3,3</w:t>
            </w:r>
          </w:p>
        </w:tc>
      </w:tr>
      <w:tr w:rsidR="00821B52" w:rsidRPr="008D325A" w:rsidTr="002742F3">
        <w:trPr>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rsidR="00821B52" w:rsidRPr="008D325A" w:rsidRDefault="00821B52" w:rsidP="002742F3">
            <w:pPr>
              <w:tabs>
                <w:tab w:val="left" w:pos="720"/>
              </w:tabs>
              <w:jc w:val="left"/>
              <w:rPr>
                <w:rFonts w:ascii="Times New Roman" w:hAnsi="Times New Roman"/>
                <w:b/>
                <w:bCs/>
                <w:sz w:val="22"/>
                <w:szCs w:val="22"/>
              </w:rPr>
            </w:pPr>
            <w:r w:rsidRPr="008D325A">
              <w:rPr>
                <w:rFonts w:ascii="Times New Roman" w:hAnsi="Times New Roman"/>
                <w:b/>
                <w:bCs/>
                <w:sz w:val="22"/>
                <w:szCs w:val="22"/>
              </w:rPr>
              <w:t>Кретања у спољном сектору (%БДП)</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eastAsia="Calibri" w:hAnsi="Times New Roman"/>
                <w:sz w:val="22"/>
                <w:szCs w:val="22"/>
              </w:rPr>
            </w:pPr>
            <w:r w:rsidRPr="008D325A">
              <w:rPr>
                <w:rFonts w:ascii="Times New Roman" w:eastAsia="Calibri" w:hAnsi="Times New Roman"/>
                <w:sz w:val="22"/>
                <w:szCs w:val="22"/>
              </w:rPr>
              <w:t>Спољнотрговински биланс роба</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-11,3</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-10,9</w:t>
            </w:r>
          </w:p>
        </w:tc>
      </w:tr>
      <w:tr w:rsidR="00821B52" w:rsidRPr="008D325A" w:rsidTr="002742F3">
        <w:trPr>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eastAsia="Calibri" w:hAnsi="Times New Roman"/>
                <w:sz w:val="22"/>
                <w:szCs w:val="22"/>
              </w:rPr>
            </w:pPr>
            <w:r w:rsidRPr="008D325A">
              <w:rPr>
                <w:rFonts w:ascii="Times New Roman" w:eastAsia="Calibri" w:hAnsi="Times New Roman"/>
                <w:sz w:val="22"/>
                <w:szCs w:val="22"/>
              </w:rPr>
              <w:t>Спољнотрговински биланс услуга</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2,7</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rPr>
            </w:pPr>
            <w:r w:rsidRPr="008D325A">
              <w:rPr>
                <w:rFonts w:ascii="Times New Roman" w:eastAsia="Calibri" w:hAnsi="Times New Roman"/>
                <w:sz w:val="22"/>
              </w:rPr>
              <w:t>2,8</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rPr>
                <w:rFonts w:ascii="Times New Roman" w:hAnsi="Times New Roman"/>
                <w:sz w:val="22"/>
                <w:szCs w:val="22"/>
              </w:rPr>
            </w:pPr>
            <w:r w:rsidRPr="008D325A">
              <w:rPr>
                <w:rFonts w:ascii="Times New Roman" w:hAnsi="Times New Roman"/>
                <w:sz w:val="22"/>
                <w:szCs w:val="22"/>
              </w:rPr>
              <w:t xml:space="preserve">Салдо текућег рачуна </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iCs/>
                <w:sz w:val="22"/>
              </w:rPr>
            </w:pPr>
            <w:r w:rsidRPr="008D325A">
              <w:rPr>
                <w:rFonts w:ascii="Times New Roman" w:hAnsi="Times New Roman"/>
                <w:iCs/>
                <w:sz w:val="22"/>
              </w:rPr>
              <w:t>-5,2</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iCs/>
                <w:sz w:val="22"/>
              </w:rPr>
            </w:pPr>
            <w:r w:rsidRPr="008D325A">
              <w:rPr>
                <w:rFonts w:ascii="Times New Roman" w:hAnsi="Times New Roman"/>
                <w:iCs/>
                <w:sz w:val="22"/>
              </w:rPr>
              <w:t>-5,0</w:t>
            </w:r>
          </w:p>
        </w:tc>
      </w:tr>
      <w:tr w:rsidR="00821B52" w:rsidRPr="008D325A" w:rsidTr="002742F3">
        <w:trPr>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jc w:val="left"/>
              <w:rPr>
                <w:rFonts w:ascii="Times New Roman" w:hAnsi="Times New Roman"/>
                <w:sz w:val="22"/>
                <w:szCs w:val="22"/>
              </w:rPr>
            </w:pPr>
            <w:r w:rsidRPr="008D325A">
              <w:rPr>
                <w:rFonts w:ascii="Times New Roman" w:hAnsi="Times New Roman"/>
                <w:sz w:val="22"/>
                <w:szCs w:val="22"/>
              </w:rPr>
              <w:t>Директне инвестиције - нето</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6,2</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5,7</w:t>
            </w:r>
          </w:p>
        </w:tc>
      </w:tr>
      <w:tr w:rsidR="00821B52" w:rsidRPr="008D325A" w:rsidTr="002742F3">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jc w:val="left"/>
              <w:rPr>
                <w:rFonts w:ascii="Times New Roman" w:hAnsi="Times New Roman"/>
                <w:b/>
                <w:sz w:val="22"/>
                <w:szCs w:val="22"/>
              </w:rPr>
            </w:pPr>
            <w:r w:rsidRPr="008D325A">
              <w:rPr>
                <w:rFonts w:ascii="Times New Roman" w:hAnsi="Times New Roman"/>
                <w:b/>
                <w:sz w:val="22"/>
                <w:szCs w:val="22"/>
              </w:rPr>
              <w:t>Јавне финансије</w:t>
            </w: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p>
        </w:tc>
        <w:tc>
          <w:tcPr>
            <w:tcW w:w="1440" w:type="dxa"/>
            <w:tcBorders>
              <w:top w:val="single" w:sz="4" w:space="0" w:color="auto"/>
              <w:left w:val="single" w:sz="4" w:space="0" w:color="auto"/>
              <w:bottom w:val="single" w:sz="4" w:space="0" w:color="auto"/>
              <w:right w:val="single" w:sz="4" w:space="0" w:color="auto"/>
            </w:tcBorders>
            <w:noWrap/>
          </w:tcPr>
          <w:p w:rsidR="00821B52" w:rsidRPr="008D325A" w:rsidRDefault="00821B52" w:rsidP="002742F3">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p>
        </w:tc>
      </w:tr>
      <w:tr w:rsidR="00821B52" w:rsidRPr="008D325A" w:rsidTr="002742F3">
        <w:trPr>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left w:val="nil"/>
              <w:bottom w:val="single" w:sz="4" w:space="0" w:color="auto"/>
              <w:right w:val="single" w:sz="4" w:space="0" w:color="auto"/>
            </w:tcBorders>
            <w:noWrap/>
            <w:hideMark/>
          </w:tcPr>
          <w:p w:rsidR="00821B52" w:rsidRPr="008D325A" w:rsidRDefault="00821B52" w:rsidP="002742F3">
            <w:pPr>
              <w:tabs>
                <w:tab w:val="left" w:pos="720"/>
              </w:tabs>
              <w:jc w:val="left"/>
              <w:rPr>
                <w:rFonts w:ascii="Times New Roman" w:hAnsi="Times New Roman"/>
                <w:sz w:val="22"/>
                <w:szCs w:val="22"/>
              </w:rPr>
            </w:pPr>
            <w:r w:rsidRPr="008D325A">
              <w:rPr>
                <w:rFonts w:ascii="Times New Roman" w:hAnsi="Times New Roman"/>
                <w:sz w:val="22"/>
                <w:szCs w:val="22"/>
              </w:rPr>
              <w:t>Фискални резултат опште државе (% БДП)</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0,6</w:t>
            </w:r>
          </w:p>
        </w:tc>
        <w:tc>
          <w:tcPr>
            <w:tcW w:w="1440" w:type="dxa"/>
            <w:tcBorders>
              <w:top w:val="single" w:sz="4" w:space="0" w:color="auto"/>
              <w:left w:val="single" w:sz="4" w:space="0" w:color="auto"/>
              <w:bottom w:val="single" w:sz="4" w:space="0" w:color="auto"/>
              <w:right w:val="single" w:sz="4" w:space="0" w:color="auto"/>
            </w:tcBorders>
            <w:noWrap/>
            <w:hideMark/>
          </w:tcPr>
          <w:p w:rsidR="00821B52" w:rsidRPr="008D325A" w:rsidRDefault="00821B52" w:rsidP="002742F3">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8D325A">
              <w:rPr>
                <w:rFonts w:ascii="Times New Roman" w:hAnsi="Times New Roman"/>
                <w:sz w:val="22"/>
              </w:rPr>
              <w:t>-0,5</w:t>
            </w:r>
          </w:p>
        </w:tc>
      </w:tr>
    </w:tbl>
    <w:p w:rsidR="00821B52" w:rsidRPr="008D325A" w:rsidRDefault="00821B52" w:rsidP="00821B52">
      <w:pPr>
        <w:tabs>
          <w:tab w:val="left" w:pos="720"/>
        </w:tabs>
        <w:ind w:firstLine="720"/>
        <w:rPr>
          <w:rFonts w:ascii="Times New Roman" w:eastAsia="Calibri" w:hAnsi="Times New Roman"/>
          <w:sz w:val="22"/>
          <w:szCs w:val="22"/>
        </w:rPr>
      </w:pPr>
    </w:p>
    <w:p w:rsidR="00821B52" w:rsidRPr="008D325A" w:rsidRDefault="00821B52" w:rsidP="00821B52">
      <w:pPr>
        <w:tabs>
          <w:tab w:val="left" w:pos="720"/>
        </w:tabs>
        <w:spacing w:after="200" w:line="276" w:lineRule="auto"/>
        <w:rPr>
          <w:rFonts w:ascii="Times New Roman" w:eastAsia="Calibri" w:hAnsi="Times New Roman"/>
          <w:szCs w:val="24"/>
        </w:rPr>
      </w:pPr>
      <w:r w:rsidRPr="008D325A">
        <w:rPr>
          <w:rFonts w:ascii="Times New Roman" w:eastAsia="Calibri" w:hAnsi="Times New Roman"/>
          <w:szCs w:val="24"/>
        </w:rPr>
        <w:t>Извор: Министарство финансија</w:t>
      </w:r>
    </w:p>
    <w:p w:rsidR="00821B52" w:rsidRPr="008D325A" w:rsidRDefault="00821B52" w:rsidP="00F73C71">
      <w:pPr>
        <w:tabs>
          <w:tab w:val="left" w:pos="720"/>
        </w:tabs>
        <w:spacing w:after="200" w:line="276" w:lineRule="auto"/>
        <w:jc w:val="left"/>
        <w:rPr>
          <w:rFonts w:ascii="Times New Roman" w:hAnsi="Times New Roman"/>
          <w:b/>
          <w:szCs w:val="24"/>
        </w:rPr>
      </w:pPr>
      <w:r w:rsidRPr="008D325A">
        <w:rPr>
          <w:rFonts w:ascii="Times New Roman" w:hAnsi="Times New Roman"/>
          <w:b/>
          <w:szCs w:val="24"/>
        </w:rPr>
        <w:t>3. Образложење прихода и примања буџета</w:t>
      </w:r>
    </w:p>
    <w:p w:rsidR="00821B52" w:rsidRPr="008D325A" w:rsidRDefault="00821B52" w:rsidP="00821B52">
      <w:pPr>
        <w:tabs>
          <w:tab w:val="left" w:pos="720"/>
        </w:tabs>
        <w:outlineLvl w:val="0"/>
        <w:rPr>
          <w:rFonts w:ascii="Times New Roman" w:hAnsi="Times New Roman"/>
          <w:b/>
          <w:bCs/>
          <w:szCs w:val="24"/>
        </w:rPr>
      </w:pPr>
    </w:p>
    <w:p w:rsidR="00821B52" w:rsidRPr="008D325A" w:rsidRDefault="00821B52" w:rsidP="00F73C71">
      <w:pPr>
        <w:tabs>
          <w:tab w:val="clear" w:pos="1440"/>
          <w:tab w:val="left" w:pos="720"/>
        </w:tabs>
        <w:spacing w:after="120"/>
        <w:ind w:firstLine="709"/>
        <w:rPr>
          <w:rFonts w:ascii="Times New Roman" w:hAnsi="Times New Roman"/>
          <w:szCs w:val="24"/>
        </w:rPr>
      </w:pPr>
      <w:r w:rsidRPr="008D325A">
        <w:rPr>
          <w:rFonts w:ascii="Times New Roman" w:hAnsi="Times New Roman"/>
          <w:szCs w:val="24"/>
        </w:rPr>
        <w:t>Приходи и примања буџета за 2019. годину утврђена су у следећим износима:</w:t>
      </w:r>
    </w:p>
    <w:p w:rsidR="00821B52" w:rsidRPr="008D325A" w:rsidRDefault="00821B52" w:rsidP="00F73C71">
      <w:pPr>
        <w:tabs>
          <w:tab w:val="clear" w:pos="1440"/>
        </w:tabs>
        <w:jc w:val="left"/>
        <w:rPr>
          <w:rFonts w:ascii="Times New Roman" w:hAnsi="Times New Roman"/>
          <w:b/>
          <w:bCs/>
          <w:sz w:val="22"/>
          <w:szCs w:val="22"/>
        </w:rPr>
      </w:pPr>
      <w:r w:rsidRPr="008D325A">
        <w:rPr>
          <w:rFonts w:ascii="Times New Roman" w:hAnsi="Times New Roman"/>
          <w:b/>
          <w:bCs/>
          <w:szCs w:val="24"/>
        </w:rPr>
        <w:t>Приходи и примања буџета Републике Србије за 2019. годину</w:t>
      </w:r>
      <w:r w:rsidRPr="008D325A">
        <w:rPr>
          <w:rFonts w:ascii="Times New Roman" w:hAnsi="Times New Roman"/>
          <w:sz w:val="22"/>
          <w:szCs w:val="22"/>
        </w:rPr>
        <w:fldChar w:fldCharType="begin"/>
      </w:r>
      <w:r w:rsidRPr="008D325A">
        <w:rPr>
          <w:rFonts w:ascii="Times New Roman" w:hAnsi="Times New Roman"/>
          <w:sz w:val="22"/>
          <w:szCs w:val="22"/>
        </w:rPr>
        <w:instrText xml:space="preserve"> LINK Excel.Sheet.12 "C:\\Users\\ognjen.jancic\\Desktop\\Dropbox\\Makro sektor\\Fiskal\\Budzeti obrazlozenja i excel fajlovi\\Budzet 2017 obrazlozenja\\Budzet 2017 prihodi draft.xlsx" "Табела 1!R3C2:R35C4" \a \f 4 \h  \* MERGEFORMAT </w:instrText>
      </w:r>
      <w:r w:rsidRPr="008D325A">
        <w:rPr>
          <w:rFonts w:ascii="Times New Roman" w:hAnsi="Times New Roman"/>
          <w:sz w:val="22"/>
          <w:szCs w:val="22"/>
        </w:rPr>
        <w:fldChar w:fldCharType="separate"/>
      </w:r>
    </w:p>
    <w:tbl>
      <w:tblPr>
        <w:tblW w:w="9576" w:type="dxa"/>
        <w:tblLook w:val="04A0" w:firstRow="1" w:lastRow="0" w:firstColumn="1" w:lastColumn="0" w:noHBand="0" w:noVBand="1"/>
      </w:tblPr>
      <w:tblGrid>
        <w:gridCol w:w="5835"/>
        <w:gridCol w:w="1786"/>
        <w:gridCol w:w="2016"/>
      </w:tblGrid>
      <w:tr w:rsidR="00821B52" w:rsidRPr="008D325A" w:rsidTr="002742F3">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821B52" w:rsidRPr="008D325A" w:rsidRDefault="00821B52" w:rsidP="002742F3"/>
        </w:tc>
        <w:tc>
          <w:tcPr>
            <w:tcW w:w="1786" w:type="dxa"/>
            <w:tcBorders>
              <w:top w:val="single" w:sz="4" w:space="0" w:color="auto"/>
              <w:left w:val="nil"/>
              <w:bottom w:val="single" w:sz="4" w:space="0" w:color="auto"/>
              <w:right w:val="single" w:sz="4" w:space="0" w:color="auto"/>
            </w:tcBorders>
            <w:shd w:val="clear" w:color="auto" w:fill="auto"/>
            <w:hideMark/>
          </w:tcPr>
          <w:p w:rsidR="00821B52" w:rsidRPr="008D325A" w:rsidRDefault="00821B52" w:rsidP="002742F3">
            <w:r w:rsidRPr="008D325A">
              <w:t>Eкономскa класификацијa</w:t>
            </w:r>
          </w:p>
        </w:tc>
        <w:tc>
          <w:tcPr>
            <w:tcW w:w="1955" w:type="dxa"/>
            <w:tcBorders>
              <w:top w:val="single" w:sz="4" w:space="0" w:color="auto"/>
              <w:left w:val="nil"/>
              <w:bottom w:val="single" w:sz="4" w:space="0" w:color="auto"/>
              <w:right w:val="single" w:sz="4" w:space="0" w:color="auto"/>
            </w:tcBorders>
            <w:shd w:val="clear" w:color="auto" w:fill="auto"/>
            <w:noWrap/>
            <w:hideMark/>
          </w:tcPr>
          <w:p w:rsidR="00821B52" w:rsidRPr="008D325A" w:rsidRDefault="00821B52" w:rsidP="002742F3">
            <w:r w:rsidRPr="008D325A">
              <w:t>Износ у динарима</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rPr>
                <w:rFonts w:ascii="Times New Roman" w:hAnsi="Times New Roman"/>
              </w:rPr>
            </w:pPr>
            <w:r w:rsidRPr="008D325A">
              <w:rPr>
                <w:rFonts w:ascii="Times New Roman" w:hAnsi="Times New Roman"/>
              </w:rPr>
              <w:t>1.246.191.337.000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1. Порески приходи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1.059.900.000.000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7111</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61.500.000.000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7112</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108.500.000.000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7141</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539.100.000.000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69.800.000.000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466.400.000.000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hideMark/>
          </w:tcPr>
          <w:p w:rsidR="00821B52" w:rsidRPr="008D325A" w:rsidRDefault="00821B52" w:rsidP="002742F3">
            <w:r w:rsidRPr="008D325A">
              <w:t xml:space="preserve">      - Други порези на добра и услуге</w:t>
            </w:r>
          </w:p>
        </w:tc>
        <w:tc>
          <w:tcPr>
            <w:tcW w:w="1786" w:type="dxa"/>
            <w:tcBorders>
              <w:top w:val="nil"/>
              <w:left w:val="nil"/>
              <w:bottom w:val="single" w:sz="4" w:space="0" w:color="auto"/>
              <w:right w:val="single" w:sz="4" w:space="0" w:color="auto"/>
            </w:tcBorders>
            <w:shd w:val="clear" w:color="auto" w:fill="auto"/>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2.900.000.000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1.4. Акцизе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717</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291.400.000.000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156.000.000.000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rPr>
                <w:rFonts w:ascii="Times New Roman" w:hAnsi="Times New Roman"/>
              </w:rPr>
            </w:pPr>
            <w:r w:rsidRPr="008D325A">
              <w:rPr>
                <w:rFonts w:ascii="Times New Roman" w:hAnsi="Times New Roman"/>
              </w:rPr>
              <w:t>102.100.000.000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Акцизa на електричну енергију</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rPr>
                <w:rFonts w:ascii="Times New Roman" w:hAnsi="Times New Roman"/>
              </w:rPr>
            </w:pPr>
            <w:r w:rsidRPr="008D325A">
              <w:rPr>
                <w:rFonts w:ascii="Times New Roman" w:hAnsi="Times New Roman"/>
              </w:rPr>
              <w:t>17.000.000.000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 xml:space="preserve">     - Остале акцизе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rPr>
                <w:rFonts w:ascii="Times New Roman" w:hAnsi="Times New Roman"/>
              </w:rPr>
            </w:pPr>
            <w:r w:rsidRPr="008D325A">
              <w:rPr>
                <w:rFonts w:ascii="Times New Roman" w:hAnsi="Times New Roman"/>
              </w:rPr>
              <w:t>16.300.000.000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1.5. Царине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715</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rPr>
                <w:rFonts w:ascii="Times New Roman" w:hAnsi="Times New Roman"/>
              </w:rPr>
            </w:pPr>
            <w:r w:rsidRPr="008D325A">
              <w:rPr>
                <w:rFonts w:ascii="Times New Roman" w:hAnsi="Times New Roman"/>
              </w:rPr>
              <w:t>47.100.000.000</w:t>
            </w:r>
          </w:p>
        </w:tc>
      </w:tr>
      <w:tr w:rsidR="00821B52" w:rsidRPr="008D325A" w:rsidTr="002742F3">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1.6. Остали порески приходи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7145</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12.300.000.000</w:t>
            </w:r>
          </w:p>
        </w:tc>
      </w:tr>
      <w:tr w:rsidR="00821B52" w:rsidRPr="008D325A" w:rsidTr="002742F3">
        <w:trPr>
          <w:trHeight w:val="420"/>
        </w:trPr>
        <w:tc>
          <w:tcPr>
            <w:tcW w:w="5835" w:type="dxa"/>
            <w:tcBorders>
              <w:top w:val="nil"/>
              <w:left w:val="single" w:sz="4" w:space="0" w:color="auto"/>
              <w:bottom w:val="nil"/>
              <w:right w:val="single" w:sz="4" w:space="0" w:color="auto"/>
            </w:tcBorders>
            <w:shd w:val="clear" w:color="auto" w:fill="auto"/>
            <w:noWrap/>
            <w:hideMark/>
          </w:tcPr>
          <w:p w:rsidR="00821B52" w:rsidRPr="008D325A" w:rsidRDefault="00821B52" w:rsidP="002742F3">
            <w:r w:rsidRPr="008D325A">
              <w:t>2. Непорески приходи</w:t>
            </w:r>
          </w:p>
        </w:tc>
        <w:tc>
          <w:tcPr>
            <w:tcW w:w="1786" w:type="dxa"/>
            <w:tcBorders>
              <w:top w:val="nil"/>
              <w:left w:val="nil"/>
              <w:bottom w:val="nil"/>
              <w:right w:val="nil"/>
            </w:tcBorders>
            <w:shd w:val="clear" w:color="auto" w:fill="auto"/>
            <w:noWrap/>
            <w:hideMark/>
          </w:tcPr>
          <w:p w:rsidR="00821B52" w:rsidRPr="008D325A" w:rsidRDefault="00821B52" w:rsidP="002742F3"/>
        </w:tc>
        <w:tc>
          <w:tcPr>
            <w:tcW w:w="195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jc w:val="right"/>
            </w:pPr>
            <w:r w:rsidRPr="008D325A">
              <w:t>172.377.057.000</w:t>
            </w:r>
          </w:p>
        </w:tc>
      </w:tr>
      <w:tr w:rsidR="00821B52" w:rsidRPr="008D325A" w:rsidTr="002742F3">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284"/>
            </w:pPr>
            <w:r w:rsidRPr="008D325A">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80.900.000.000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Приходи од имовине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741</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13.600.000.000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Таксе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742</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15.550.000.000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lastRenderedPageBreak/>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742</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24.523.087.000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Новчане казне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743</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7.500.000.000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Oстали редовни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821B52" w:rsidRPr="002F4DF9" w:rsidRDefault="00821B52" w:rsidP="002742F3">
            <w:pPr>
              <w:rPr>
                <w:rFonts w:asciiTheme="minorHAnsi" w:hAnsiTheme="minorHAnsi"/>
                <w:lang w:val="sr-Cyrl-RS"/>
              </w:rPr>
            </w:pPr>
            <w:r w:rsidRPr="008D325A">
              <w:t>714,745</w:t>
            </w:r>
            <w:r w:rsidR="002F4DF9">
              <w:rPr>
                <w:rFonts w:asciiTheme="minorHAnsi" w:hAnsiTheme="minorHAnsi"/>
                <w:lang w:val="sr-Cyrl-RS"/>
              </w:rPr>
              <w:t>,</w:t>
            </w:r>
            <w:r w:rsidR="002F4DF9" w:rsidRPr="002F4DF9">
              <w:rPr>
                <w:rFonts w:ascii="Times New Roman" w:hAnsi="Times New Roman"/>
                <w:lang w:val="sr-Cyrl-RS"/>
              </w:rPr>
              <w:t>73</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16.950.000.000</w:t>
            </w:r>
          </w:p>
        </w:tc>
      </w:tr>
      <w:tr w:rsidR="00821B52" w:rsidRPr="008D325A" w:rsidTr="002742F3">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bookmarkStart w:id="0" w:name="_GoBack" w:colFirst="1" w:colLast="1"/>
            <w:r w:rsidRPr="008D325A">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8</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2.776.913.000</w:t>
            </w:r>
          </w:p>
        </w:tc>
      </w:tr>
      <w:bookmarkEnd w:id="0"/>
      <w:tr w:rsidR="00821B52" w:rsidRPr="008D325A" w:rsidTr="002742F3">
        <w:trPr>
          <w:trHeight w:val="360"/>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284"/>
            </w:pPr>
            <w:r w:rsidRPr="008D325A">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39.500.000.000</w:t>
            </w:r>
          </w:p>
        </w:tc>
      </w:tr>
      <w:tr w:rsidR="00821B52" w:rsidRPr="008D325A" w:rsidTr="002742F3">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Добит јавних агенција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741</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1.600.000.000</w:t>
            </w:r>
          </w:p>
        </w:tc>
      </w:tr>
      <w:tr w:rsidR="00821B52" w:rsidRPr="008D325A" w:rsidTr="002742F3">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741, 745</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15.500.000.000</w:t>
            </w:r>
          </w:p>
        </w:tc>
      </w:tr>
      <w:tr w:rsidR="00821B52" w:rsidRPr="008D325A" w:rsidTr="002742F3">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Остали ванредни приходи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745</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10.000.000.000</w:t>
            </w:r>
          </w:p>
        </w:tc>
      </w:tr>
      <w:tr w:rsidR="00821B52" w:rsidRPr="008D325A" w:rsidTr="002742F3">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xml:space="preserve"> - Приход од смањења зарада у јавном сектору</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745</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12.400.000.000</w:t>
            </w:r>
          </w:p>
        </w:tc>
      </w:tr>
      <w:tr w:rsidR="00821B52" w:rsidRPr="008D325A" w:rsidTr="002742F3">
        <w:trPr>
          <w:trHeight w:val="307"/>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284"/>
            </w:pPr>
            <w:r w:rsidRPr="008D325A">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51.977.057.000</w:t>
            </w:r>
          </w:p>
        </w:tc>
      </w:tr>
      <w:tr w:rsidR="00821B52" w:rsidRPr="008D325A" w:rsidTr="002742F3">
        <w:trPr>
          <w:trHeight w:val="441"/>
        </w:trPr>
        <w:tc>
          <w:tcPr>
            <w:tcW w:w="5835" w:type="dxa"/>
            <w:tcBorders>
              <w:top w:val="nil"/>
              <w:left w:val="single" w:sz="4" w:space="0" w:color="auto"/>
              <w:bottom w:val="single" w:sz="4" w:space="0" w:color="auto"/>
              <w:right w:val="single" w:sz="4" w:space="0" w:color="auto"/>
            </w:tcBorders>
            <w:shd w:val="clear" w:color="auto" w:fill="auto"/>
            <w:hideMark/>
          </w:tcPr>
          <w:p w:rsidR="00821B52" w:rsidRPr="008D325A" w:rsidRDefault="00821B52" w:rsidP="002742F3">
            <w:pPr>
              <w:ind w:firstLine="454"/>
            </w:pPr>
            <w:r w:rsidRPr="008D325A">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733</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24.036.915.000</w:t>
            </w:r>
          </w:p>
        </w:tc>
      </w:tr>
      <w:tr w:rsidR="00821B52" w:rsidRPr="008D325A" w:rsidTr="002742F3">
        <w:trPr>
          <w:trHeight w:val="375"/>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pPr>
              <w:ind w:firstLine="454"/>
            </w:pPr>
            <w:r w:rsidRPr="008D325A">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742</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pPr>
            <w:r w:rsidRPr="008D325A">
              <w:t>27.940.142.000</w:t>
            </w:r>
          </w:p>
        </w:tc>
      </w:tr>
      <w:tr w:rsidR="00821B52" w:rsidRPr="008D325A" w:rsidTr="002742F3">
        <w:trPr>
          <w:trHeight w:val="390"/>
        </w:trPr>
        <w:tc>
          <w:tcPr>
            <w:tcW w:w="5835" w:type="dxa"/>
            <w:tcBorders>
              <w:top w:val="nil"/>
              <w:left w:val="single" w:sz="4" w:space="0" w:color="auto"/>
              <w:bottom w:val="single" w:sz="4" w:space="0" w:color="auto"/>
              <w:right w:val="single" w:sz="4" w:space="0" w:color="auto"/>
            </w:tcBorders>
            <w:shd w:val="clear" w:color="auto" w:fill="auto"/>
            <w:noWrap/>
            <w:hideMark/>
          </w:tcPr>
          <w:p w:rsidR="00821B52" w:rsidRPr="008D325A" w:rsidRDefault="00821B52" w:rsidP="002742F3">
            <w:r w:rsidRPr="008D325A">
              <w:t>3. Донације</w:t>
            </w:r>
          </w:p>
        </w:tc>
        <w:tc>
          <w:tcPr>
            <w:tcW w:w="1786" w:type="dxa"/>
            <w:tcBorders>
              <w:top w:val="nil"/>
              <w:left w:val="nil"/>
              <w:bottom w:val="single" w:sz="4" w:space="0" w:color="auto"/>
              <w:right w:val="single" w:sz="4" w:space="0" w:color="auto"/>
            </w:tcBorders>
            <w:shd w:val="clear" w:color="auto" w:fill="auto"/>
            <w:noWrap/>
            <w:hideMark/>
          </w:tcPr>
          <w:p w:rsidR="00821B52" w:rsidRPr="008D325A" w:rsidRDefault="00821B52" w:rsidP="002742F3">
            <w:r w:rsidRPr="008D325A">
              <w:t>731,732</w:t>
            </w:r>
          </w:p>
        </w:tc>
        <w:tc>
          <w:tcPr>
            <w:tcW w:w="1955" w:type="dxa"/>
            <w:tcBorders>
              <w:top w:val="nil"/>
              <w:left w:val="nil"/>
              <w:bottom w:val="single" w:sz="4" w:space="0" w:color="auto"/>
              <w:right w:val="single" w:sz="4" w:space="0" w:color="auto"/>
            </w:tcBorders>
            <w:shd w:val="clear" w:color="auto" w:fill="auto"/>
            <w:noWrap/>
            <w:hideMark/>
          </w:tcPr>
          <w:p w:rsidR="00821B52" w:rsidRPr="008D325A" w:rsidRDefault="00821B52" w:rsidP="002742F3">
            <w:pPr>
              <w:jc w:val="right"/>
              <w:rPr>
                <w:rFonts w:ascii="Times New Roman" w:hAnsi="Times New Roman"/>
              </w:rPr>
            </w:pPr>
            <w:r w:rsidRPr="008D325A">
              <w:rPr>
                <w:rFonts w:ascii="Times New Roman" w:hAnsi="Times New Roman"/>
              </w:rPr>
              <w:t>13.914.280.000</w:t>
            </w:r>
          </w:p>
        </w:tc>
      </w:tr>
    </w:tbl>
    <w:p w:rsidR="00821B52" w:rsidRPr="008D325A" w:rsidRDefault="00821B52" w:rsidP="00821B52">
      <w:pPr>
        <w:tabs>
          <w:tab w:val="left" w:pos="720"/>
        </w:tabs>
        <w:spacing w:after="120"/>
        <w:ind w:firstLine="720"/>
        <w:rPr>
          <w:rFonts w:ascii="Times New Roman" w:hAnsi="Times New Roman"/>
          <w:sz w:val="22"/>
          <w:szCs w:val="22"/>
        </w:rPr>
      </w:pPr>
      <w:r w:rsidRPr="008D325A">
        <w:rPr>
          <w:rFonts w:ascii="Times New Roman" w:hAnsi="Times New Roman"/>
          <w:sz w:val="22"/>
          <w:szCs w:val="22"/>
        </w:rPr>
        <w:fldChar w:fldCharType="end"/>
      </w:r>
    </w:p>
    <w:p w:rsidR="00821B52" w:rsidRPr="008D325A" w:rsidRDefault="00821B52" w:rsidP="00BB1E10">
      <w:pPr>
        <w:tabs>
          <w:tab w:val="left" w:pos="720"/>
        </w:tabs>
        <w:rPr>
          <w:rFonts w:ascii="Times New Roman" w:hAnsi="Times New Roman"/>
          <w:b/>
          <w:szCs w:val="24"/>
        </w:rPr>
      </w:pPr>
      <w:r w:rsidRPr="008D325A">
        <w:rPr>
          <w:rFonts w:ascii="Times New Roman" w:hAnsi="Times New Roman"/>
          <w:b/>
          <w:szCs w:val="24"/>
        </w:rPr>
        <w:t xml:space="preserve">Буџетом Републике Србије за 2019. годину, превиђени су укупни приходи и примања у износу од 1.246,2 млрд динара, што представља повећање од 2% у односу на износ предвиђен ревидираном проценом за 2018. годину. </w:t>
      </w:r>
    </w:p>
    <w:p w:rsidR="00F73C71" w:rsidRPr="008D325A" w:rsidRDefault="00F73C71" w:rsidP="00BB1E10">
      <w:pPr>
        <w:tabs>
          <w:tab w:val="left" w:pos="720"/>
        </w:tabs>
        <w:rPr>
          <w:rFonts w:ascii="Times New Roman" w:hAnsi="Times New Roman"/>
          <w:b/>
          <w:szCs w:val="24"/>
        </w:rPr>
      </w:pPr>
    </w:p>
    <w:p w:rsidR="00821B52" w:rsidRPr="008D325A" w:rsidRDefault="00821B52" w:rsidP="00F73C71">
      <w:pPr>
        <w:tabs>
          <w:tab w:val="clear" w:pos="1440"/>
          <w:tab w:val="left" w:pos="720"/>
        </w:tabs>
        <w:spacing w:after="120"/>
        <w:ind w:firstLine="709"/>
        <w:rPr>
          <w:rFonts w:ascii="Times New Roman" w:hAnsi="Times New Roman"/>
          <w:szCs w:val="24"/>
        </w:rPr>
      </w:pPr>
      <w:r w:rsidRPr="008D325A">
        <w:rPr>
          <w:rFonts w:ascii="Times New Roman" w:hAnsi="Times New Roman"/>
          <w:szCs w:val="24"/>
        </w:rPr>
        <w:t>Пројекција прихода у 2019. години сачињена је на бази:</w:t>
      </w:r>
    </w:p>
    <w:p w:rsidR="00821B52" w:rsidRPr="008D325A" w:rsidRDefault="00821B52" w:rsidP="00F73C71">
      <w:pPr>
        <w:tabs>
          <w:tab w:val="clear" w:pos="1440"/>
          <w:tab w:val="left" w:pos="720"/>
        </w:tabs>
        <w:spacing w:after="120"/>
        <w:ind w:firstLine="709"/>
        <w:rPr>
          <w:rFonts w:ascii="Times New Roman" w:hAnsi="Times New Roman"/>
          <w:szCs w:val="24"/>
        </w:rPr>
      </w:pPr>
      <w:r w:rsidRPr="008D325A">
        <w:rPr>
          <w:rFonts w:ascii="Times New Roman" w:hAnsi="Times New Roman"/>
          <w:szCs w:val="24"/>
        </w:rPr>
        <w:t>остварених прихода буџета Републике Србије у периоду јануар – септембар 2018. године и очекиваних прихода буџета до краја 2018. године;</w:t>
      </w:r>
    </w:p>
    <w:p w:rsidR="00821B52" w:rsidRPr="008D325A" w:rsidRDefault="00821B52" w:rsidP="00F73C71">
      <w:pPr>
        <w:tabs>
          <w:tab w:val="clear" w:pos="1440"/>
          <w:tab w:val="left" w:pos="720"/>
        </w:tabs>
        <w:spacing w:after="120"/>
        <w:ind w:firstLine="709"/>
        <w:rPr>
          <w:rFonts w:ascii="Times New Roman" w:hAnsi="Times New Roman"/>
          <w:szCs w:val="24"/>
        </w:rPr>
      </w:pPr>
      <w:r w:rsidRPr="008D325A">
        <w:rPr>
          <w:rFonts w:ascii="Times New Roman" w:hAnsi="Times New Roman"/>
          <w:szCs w:val="24"/>
        </w:rPr>
        <w:t>пројекције кретања најважнијих макроекономских показатеља: БДП и његових компоненти, инфлације, девизног курса, кретања спољнотрговинске размене, процене кретања запослености и зарада у 2019. години;</w:t>
      </w:r>
    </w:p>
    <w:p w:rsidR="00821B52" w:rsidRPr="008D325A" w:rsidRDefault="00821B52" w:rsidP="00F73C71">
      <w:pPr>
        <w:tabs>
          <w:tab w:val="clear" w:pos="1440"/>
          <w:tab w:val="left" w:pos="720"/>
        </w:tabs>
        <w:spacing w:after="120"/>
        <w:ind w:firstLine="709"/>
        <w:rPr>
          <w:rFonts w:ascii="Times New Roman" w:hAnsi="Times New Roman"/>
          <w:szCs w:val="24"/>
        </w:rPr>
      </w:pPr>
      <w:r w:rsidRPr="008D325A">
        <w:rPr>
          <w:rFonts w:ascii="Times New Roman" w:hAnsi="Times New Roman"/>
          <w:szCs w:val="24"/>
        </w:rPr>
        <w:t xml:space="preserve">процењених ефеката измена у пореској политици и структурних мера. </w:t>
      </w:r>
    </w:p>
    <w:p w:rsidR="00821B52" w:rsidRPr="008D325A" w:rsidRDefault="00821B52" w:rsidP="00821B52">
      <w:pPr>
        <w:tabs>
          <w:tab w:val="clear" w:pos="1440"/>
        </w:tabs>
        <w:ind w:firstLine="720"/>
        <w:contextualSpacing/>
        <w:rPr>
          <w:rFonts w:ascii="Times New Roman" w:eastAsia="Calibri" w:hAnsi="Times New Roman"/>
          <w:bCs/>
          <w:szCs w:val="24"/>
        </w:rPr>
      </w:pPr>
      <w:r w:rsidRPr="008D325A">
        <w:rPr>
          <w:rFonts w:ascii="Times New Roman" w:hAnsi="Times New Roman"/>
          <w:szCs w:val="24"/>
        </w:rPr>
        <w:t>Планирани порески приходи износе 1.059,9 млрд динара или 85,1%, док непорески приходи износе 172,4 млрд динара или 13,8% укупних прихода буџета Републике Србије. Остатак чине донације у износу од 13,9 млрд динара што чини 1,1% укупних прихода. У односу на процењени износ прихода за 2018. годину, укупни приходи за 2019. годину су већи за 24,7 млрд динара или 2%, при чему су порески приходи повећани за 52,5 млрд динара или за 5,2%, а непорески приходи су нижи за 31,7 млрд динара или за 15,5%. Појединачно, на страни пореских прихода, већина категорија бележи умерени раст. Динамичнији раст бележи приход од царина које прате пројектовани раст увоза у наредној години. Непорески приходи су умањени за остварење дела једнократних прихода и смањење обавезе уплате по основу умањења зарада у делу јавног сектора</w:t>
      </w:r>
      <w:r w:rsidRPr="008D325A">
        <w:rPr>
          <w:rFonts w:ascii="Times New Roman" w:eastAsia="Calibri" w:hAnsi="Times New Roman"/>
          <w:bCs/>
          <w:szCs w:val="24"/>
        </w:rPr>
        <w:t>.</w:t>
      </w:r>
    </w:p>
    <w:p w:rsidR="00821B52" w:rsidRPr="008D325A" w:rsidRDefault="00821B52" w:rsidP="00821B52">
      <w:pPr>
        <w:tabs>
          <w:tab w:val="clear" w:pos="1440"/>
        </w:tabs>
        <w:ind w:firstLine="720"/>
        <w:contextualSpacing/>
        <w:rPr>
          <w:rFonts w:ascii="Times New Roman" w:eastAsia="Calibri" w:hAnsi="Times New Roman"/>
          <w:bCs/>
          <w:szCs w:val="24"/>
        </w:rPr>
      </w:pPr>
    </w:p>
    <w:p w:rsidR="00821B52" w:rsidRPr="008D325A" w:rsidRDefault="00821B52" w:rsidP="004C1B6B">
      <w:pPr>
        <w:tabs>
          <w:tab w:val="clear" w:pos="1440"/>
          <w:tab w:val="right" w:pos="9580"/>
        </w:tabs>
        <w:spacing w:after="200" w:line="276" w:lineRule="auto"/>
        <w:jc w:val="left"/>
        <w:rPr>
          <w:rFonts w:ascii="Times New Roman" w:hAnsi="Times New Roman"/>
          <w:b/>
          <w:szCs w:val="24"/>
        </w:rPr>
      </w:pPr>
      <w:r w:rsidRPr="008D325A">
        <w:rPr>
          <w:rFonts w:ascii="Times New Roman" w:hAnsi="Times New Roman"/>
          <w:b/>
          <w:szCs w:val="24"/>
        </w:rPr>
        <w:t xml:space="preserve">Приходи и примања буџета u 2018. и 2019. години (у млрд динара) </w:t>
      </w:r>
      <w:r w:rsidR="004C1B6B" w:rsidRPr="008D325A">
        <w:rPr>
          <w:rFonts w:ascii="Times New Roman" w:hAnsi="Times New Roman"/>
          <w:b/>
          <w:szCs w:val="24"/>
        </w:rPr>
        <w:tab/>
      </w:r>
    </w:p>
    <w:p w:rsidR="00821B52" w:rsidRPr="008D325A" w:rsidRDefault="00821B52" w:rsidP="00821B52">
      <w:pPr>
        <w:tabs>
          <w:tab w:val="clear" w:pos="1440"/>
        </w:tabs>
        <w:contextualSpacing/>
        <w:rPr>
          <w:rFonts w:ascii="Times New Roman" w:eastAsia="Calibri" w:hAnsi="Times New Roman"/>
          <w:bCs/>
          <w:sz w:val="22"/>
          <w:szCs w:val="22"/>
        </w:rPr>
      </w:pPr>
      <w:r w:rsidRPr="008D325A">
        <w:rPr>
          <w:rFonts w:ascii="Times New Roman" w:hAnsi="Times New Roman"/>
          <w:color w:val="FF0000"/>
          <w:sz w:val="22"/>
          <w:szCs w:val="22"/>
        </w:rPr>
        <w:fldChar w:fldCharType="begin"/>
      </w:r>
      <w:r w:rsidRPr="008D325A">
        <w:rPr>
          <w:rFonts w:ascii="Times New Roman" w:hAnsi="Times New Roman"/>
          <w:color w:val="FF0000"/>
          <w:sz w:val="22"/>
          <w:szCs w:val="22"/>
        </w:rPr>
        <w:instrText xml:space="preserve"> LINK Excel.Sheet.12 "C:\\Users\\ognjen.jancic\\Desktop\\Dropbox\\Makro sektor\\Fiskal\\Budzeti obrazlozenja i excel fajlovi\\Budzet 2017 obrazlozenja\\Budzet 2017 prihodi draft.xlsx" табела!R4C1:R14C6 \a \f 4 \h  \* MERGEFORMAT </w:instrText>
      </w:r>
      <w:r w:rsidRPr="008D325A">
        <w:rPr>
          <w:rFonts w:ascii="Times New Roman" w:hAnsi="Times New Roman"/>
          <w:color w:val="FF0000"/>
          <w:sz w:val="22"/>
          <w:szCs w:val="22"/>
        </w:rPr>
        <w:fldChar w:fldCharType="separate"/>
      </w:r>
    </w:p>
    <w:tbl>
      <w:tblPr>
        <w:tblW w:w="9263" w:type="dxa"/>
        <w:tblInd w:w="108" w:type="dxa"/>
        <w:tblLook w:val="04A0" w:firstRow="1" w:lastRow="0" w:firstColumn="1" w:lastColumn="0" w:noHBand="0" w:noVBand="1"/>
      </w:tblPr>
      <w:tblGrid>
        <w:gridCol w:w="2473"/>
        <w:gridCol w:w="1358"/>
        <w:gridCol w:w="1358"/>
        <w:gridCol w:w="1358"/>
        <w:gridCol w:w="1358"/>
        <w:gridCol w:w="1358"/>
      </w:tblGrid>
      <w:tr w:rsidR="00821B52" w:rsidRPr="008D325A" w:rsidTr="00B055DB">
        <w:trPr>
          <w:trHeight w:val="434"/>
          <w:tblHeader/>
        </w:trPr>
        <w:tc>
          <w:tcPr>
            <w:tcW w:w="2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Приходи буџета</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21B52" w:rsidRPr="008D325A" w:rsidRDefault="00821B52" w:rsidP="002742F3">
            <w:pPr>
              <w:jc w:val="center"/>
              <w:rPr>
                <w:sz w:val="18"/>
                <w:szCs w:val="18"/>
              </w:rPr>
            </w:pPr>
            <w:r w:rsidRPr="008D325A">
              <w:rPr>
                <w:sz w:val="18"/>
                <w:szCs w:val="18"/>
              </w:rPr>
              <w:t>Процена за 2018</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21B52" w:rsidRPr="008D325A" w:rsidRDefault="00821B52" w:rsidP="002742F3">
            <w:pPr>
              <w:jc w:val="center"/>
              <w:rPr>
                <w:sz w:val="18"/>
                <w:szCs w:val="18"/>
              </w:rPr>
            </w:pPr>
            <w:r w:rsidRPr="008D325A">
              <w:rPr>
                <w:sz w:val="18"/>
                <w:szCs w:val="18"/>
              </w:rPr>
              <w:t>Буџет 2019</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21B52" w:rsidRPr="008D325A" w:rsidRDefault="00821B52" w:rsidP="002742F3">
            <w:pPr>
              <w:jc w:val="center"/>
              <w:rPr>
                <w:sz w:val="18"/>
                <w:szCs w:val="18"/>
              </w:rPr>
            </w:pPr>
            <w:r w:rsidRPr="008D325A">
              <w:rPr>
                <w:sz w:val="18"/>
                <w:szCs w:val="18"/>
              </w:rPr>
              <w:t>Индекс номиналног раста/пада</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21B52" w:rsidRPr="008D325A" w:rsidRDefault="00821B52" w:rsidP="002742F3">
            <w:pPr>
              <w:jc w:val="center"/>
              <w:rPr>
                <w:sz w:val="18"/>
                <w:szCs w:val="18"/>
              </w:rPr>
            </w:pPr>
            <w:r w:rsidRPr="008D325A">
              <w:rPr>
                <w:sz w:val="18"/>
                <w:szCs w:val="18"/>
              </w:rPr>
              <w:t>Структура  прихода 2018, у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821B52" w:rsidRPr="008D325A" w:rsidRDefault="00821B52" w:rsidP="002742F3">
            <w:pPr>
              <w:jc w:val="center"/>
              <w:rPr>
                <w:sz w:val="18"/>
                <w:szCs w:val="18"/>
              </w:rPr>
            </w:pPr>
            <w:r w:rsidRPr="008D325A">
              <w:rPr>
                <w:sz w:val="18"/>
                <w:szCs w:val="18"/>
              </w:rPr>
              <w:t>Структура  прихода буџ</w:t>
            </w:r>
            <w:r w:rsidRPr="008D325A">
              <w:rPr>
                <w:sz w:val="20"/>
                <w:szCs w:val="18"/>
              </w:rPr>
              <w:t xml:space="preserve">ет </w:t>
            </w:r>
            <w:r w:rsidRPr="008D325A">
              <w:rPr>
                <w:sz w:val="18"/>
                <w:szCs w:val="18"/>
              </w:rPr>
              <w:t>2019, у %</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Укупно</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1.221,5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rFonts w:asciiTheme="minorHAnsi" w:hAnsiTheme="minorHAnsi"/>
                <w:sz w:val="18"/>
                <w:szCs w:val="18"/>
              </w:rPr>
            </w:pPr>
            <w:r w:rsidRPr="008D325A">
              <w:rPr>
                <w:sz w:val="18"/>
                <w:szCs w:val="18"/>
              </w:rPr>
              <w:t>1.246,2</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102,0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100,0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100,0</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lastRenderedPageBreak/>
              <w:t xml:space="preserve"> Порески приходи</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1.007,4</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1.059,9</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105,2</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82,5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85,1</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Порез на доходак грађана</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58,2</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61,5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105,7</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4,8</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4,9</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Порез на добит правних лица</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104,3</w:t>
            </w:r>
          </w:p>
        </w:tc>
        <w:tc>
          <w:tcPr>
            <w:tcW w:w="1152" w:type="dxa"/>
            <w:tcBorders>
              <w:top w:val="nil"/>
              <w:left w:val="nil"/>
              <w:bottom w:val="single" w:sz="4" w:space="0" w:color="auto"/>
              <w:right w:val="single" w:sz="4" w:space="0" w:color="auto"/>
            </w:tcBorders>
            <w:shd w:val="clear" w:color="auto" w:fill="auto"/>
            <w:noWrap/>
            <w:vAlign w:val="center"/>
            <w:hideMark/>
          </w:tcPr>
          <w:p w:rsidR="004C1B6B" w:rsidRPr="008D325A" w:rsidRDefault="00821B52" w:rsidP="002742F3">
            <w:pPr>
              <w:jc w:val="right"/>
              <w:rPr>
                <w:sz w:val="18"/>
                <w:szCs w:val="18"/>
              </w:rPr>
            </w:pPr>
            <w:r w:rsidRPr="008D325A">
              <w:rPr>
                <w:sz w:val="18"/>
                <w:szCs w:val="18"/>
              </w:rPr>
              <w:t>108,5</w:t>
            </w:r>
          </w:p>
          <w:p w:rsidR="004C1B6B" w:rsidRPr="008D325A" w:rsidRDefault="004C1B6B" w:rsidP="004C1B6B">
            <w:pPr>
              <w:rPr>
                <w:sz w:val="18"/>
                <w:szCs w:val="18"/>
              </w:rPr>
            </w:pPr>
          </w:p>
          <w:p w:rsidR="004C1B6B" w:rsidRPr="008D325A" w:rsidRDefault="004C1B6B" w:rsidP="004C1B6B">
            <w:pPr>
              <w:rPr>
                <w:sz w:val="18"/>
                <w:szCs w:val="18"/>
              </w:rPr>
            </w:pPr>
          </w:p>
          <w:p w:rsidR="004C1B6B" w:rsidRPr="008D325A" w:rsidRDefault="004C1B6B" w:rsidP="004C1B6B">
            <w:pPr>
              <w:rPr>
                <w:sz w:val="18"/>
                <w:szCs w:val="18"/>
              </w:rPr>
            </w:pPr>
          </w:p>
          <w:p w:rsidR="00821B52" w:rsidRPr="008D325A" w:rsidRDefault="00821B52" w:rsidP="004C1B6B">
            <w:pPr>
              <w:rPr>
                <w:sz w:val="18"/>
                <w:szCs w:val="18"/>
              </w:rPr>
            </w:pP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104,0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8,5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8,7</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Порез на додату вредност</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505,0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539,1</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106,8</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41,3</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43,3</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Акцизе</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285,0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291,4</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102,2</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23,3</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23,4</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Царине</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42,9</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47,1</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109,8</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3,5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3,8</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Остали порески приходи</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12,0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12,3</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102,5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Непорески приходи</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204,1</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172,4</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84,5</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16,7</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13,8</w:t>
            </w:r>
          </w:p>
        </w:tc>
      </w:tr>
      <w:tr w:rsidR="00821B52" w:rsidRPr="008D325A" w:rsidTr="002742F3">
        <w:trPr>
          <w:trHeight w:hRule="exact" w:val="434"/>
        </w:trPr>
        <w:tc>
          <w:tcPr>
            <w:tcW w:w="2099" w:type="dxa"/>
            <w:tcBorders>
              <w:top w:val="nil"/>
              <w:left w:val="single" w:sz="4" w:space="0" w:color="auto"/>
              <w:bottom w:val="single" w:sz="4" w:space="0" w:color="auto"/>
              <w:right w:val="single" w:sz="4" w:space="0" w:color="auto"/>
            </w:tcBorders>
            <w:shd w:val="clear" w:color="auto" w:fill="auto"/>
            <w:vAlign w:val="center"/>
            <w:hideMark/>
          </w:tcPr>
          <w:p w:rsidR="00821B52" w:rsidRPr="008D325A" w:rsidRDefault="00821B52" w:rsidP="002742F3">
            <w:pPr>
              <w:jc w:val="left"/>
              <w:rPr>
                <w:sz w:val="18"/>
                <w:szCs w:val="18"/>
              </w:rPr>
            </w:pPr>
            <w:r w:rsidRPr="008D325A">
              <w:rPr>
                <w:sz w:val="18"/>
                <w:szCs w:val="18"/>
              </w:rPr>
              <w:t xml:space="preserve"> Донације</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10,0</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rFonts w:asciiTheme="minorHAnsi" w:hAnsiTheme="minorHAnsi"/>
                <w:sz w:val="18"/>
                <w:szCs w:val="18"/>
              </w:rPr>
            </w:pPr>
            <w:r w:rsidRPr="008D325A">
              <w:rPr>
                <w:sz w:val="18"/>
                <w:szCs w:val="18"/>
              </w:rPr>
              <w:t>13,9</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rFonts w:asciiTheme="minorHAnsi" w:hAnsiTheme="minorHAnsi"/>
                <w:sz w:val="18"/>
                <w:szCs w:val="18"/>
              </w:rPr>
            </w:pPr>
            <w:r w:rsidRPr="008D325A">
              <w:rPr>
                <w:sz w:val="18"/>
                <w:szCs w:val="18"/>
              </w:rPr>
              <w:t>139,1</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0,8</w:t>
            </w:r>
          </w:p>
        </w:tc>
        <w:tc>
          <w:tcPr>
            <w:tcW w:w="1152" w:type="dxa"/>
            <w:tcBorders>
              <w:top w:val="nil"/>
              <w:left w:val="nil"/>
              <w:bottom w:val="single" w:sz="4" w:space="0" w:color="auto"/>
              <w:right w:val="single" w:sz="4" w:space="0" w:color="auto"/>
            </w:tcBorders>
            <w:shd w:val="clear" w:color="auto" w:fill="auto"/>
            <w:noWrap/>
            <w:vAlign w:val="center"/>
            <w:hideMark/>
          </w:tcPr>
          <w:p w:rsidR="00821B52" w:rsidRPr="008D325A" w:rsidRDefault="00821B52" w:rsidP="002742F3">
            <w:pPr>
              <w:jc w:val="right"/>
              <w:rPr>
                <w:sz w:val="18"/>
                <w:szCs w:val="18"/>
              </w:rPr>
            </w:pPr>
            <w:r w:rsidRPr="008D325A">
              <w:rPr>
                <w:sz w:val="18"/>
                <w:szCs w:val="18"/>
              </w:rPr>
              <w:t>1,1</w:t>
            </w:r>
          </w:p>
        </w:tc>
      </w:tr>
    </w:tbl>
    <w:p w:rsidR="00821B52" w:rsidRPr="008D325A" w:rsidRDefault="00821B52" w:rsidP="00821B52">
      <w:pPr>
        <w:tabs>
          <w:tab w:val="clear" w:pos="1440"/>
        </w:tabs>
        <w:ind w:firstLine="720"/>
        <w:contextualSpacing/>
        <w:rPr>
          <w:rFonts w:ascii="Times New Roman" w:hAnsi="Times New Roman"/>
          <w:sz w:val="22"/>
          <w:szCs w:val="22"/>
        </w:rPr>
      </w:pPr>
      <w:r w:rsidRPr="008D325A">
        <w:rPr>
          <w:rFonts w:ascii="Times New Roman" w:hAnsi="Times New Roman"/>
          <w:sz w:val="22"/>
          <w:szCs w:val="22"/>
        </w:rPr>
        <w:fldChar w:fldCharType="end"/>
      </w:r>
    </w:p>
    <w:p w:rsidR="00821B52" w:rsidRPr="008D325A" w:rsidRDefault="00821B52" w:rsidP="00821B52">
      <w:pPr>
        <w:tabs>
          <w:tab w:val="clear" w:pos="1440"/>
        </w:tabs>
        <w:ind w:firstLine="720"/>
        <w:contextualSpacing/>
        <w:rPr>
          <w:rFonts w:ascii="Times New Roman" w:hAnsi="Times New Roman"/>
          <w:szCs w:val="24"/>
        </w:rPr>
      </w:pPr>
      <w:r w:rsidRPr="008D325A">
        <w:rPr>
          <w:rFonts w:ascii="Times New Roman" w:hAnsi="Times New Roman"/>
          <w:b/>
          <w:szCs w:val="24"/>
        </w:rPr>
        <w:t>Почетком 2018. године окончан је трогодишњи стенд-бај аранжман са ММФ, чију окосницу је чинио програм фискалне консолидације. Средином године потписан је и одобрен нови аранжман са овом институцијом, Инструмент за координацију политика, у коме је нагласак на очувању постигнуте макроекономске стабилности, с једне стране, и даље спровођење структурних реформи како би се подстакао економски раст.</w:t>
      </w:r>
      <w:r w:rsidRPr="008D325A">
        <w:rPr>
          <w:rFonts w:ascii="Times New Roman" w:eastAsia="Calibri" w:hAnsi="Times New Roman"/>
          <w:b/>
          <w:bCs/>
          <w:szCs w:val="24"/>
        </w:rPr>
        <w:t xml:space="preserve"> </w:t>
      </w:r>
      <w:r w:rsidRPr="008D325A">
        <w:rPr>
          <w:rFonts w:ascii="Times New Roman" w:hAnsi="Times New Roman"/>
          <w:szCs w:val="24"/>
        </w:rPr>
        <w:t xml:space="preserve">Спровођење програма консолидације дало је одличне резултате. Јавне финансије су стабилизоване, остварено је трајно побољшање резултата од преко 6% БДП. Јавни дуг је од 2016. године на силазној путањи. </w:t>
      </w:r>
    </w:p>
    <w:p w:rsidR="00821B52" w:rsidRPr="008D325A" w:rsidRDefault="00821B52" w:rsidP="00821B52">
      <w:pPr>
        <w:tabs>
          <w:tab w:val="clear" w:pos="1440"/>
        </w:tabs>
        <w:ind w:firstLine="720"/>
        <w:contextualSpacing/>
        <w:rPr>
          <w:rFonts w:ascii="Times New Roman" w:eastAsia="Calibri" w:hAnsi="Times New Roman"/>
          <w:bCs/>
          <w:szCs w:val="24"/>
        </w:rPr>
      </w:pPr>
      <w:r w:rsidRPr="008D325A">
        <w:rPr>
          <w:rFonts w:ascii="Times New Roman" w:hAnsi="Times New Roman"/>
          <w:b/>
          <w:szCs w:val="24"/>
        </w:rPr>
        <w:t>Захваљујући мерама фискалне консолидације створен је фискални простор који ће у 2019. години бити искоришћен за повећање капиталних инвестиција, укидање кризних мера код пензија и плата, повећање најнижих пензија и повећање плата у јавном сектору, те за смањење пореског оптерећења рада</w:t>
      </w:r>
      <w:r w:rsidRPr="008D325A">
        <w:rPr>
          <w:rFonts w:ascii="Times New Roman" w:eastAsia="Calibri" w:hAnsi="Times New Roman"/>
          <w:bCs/>
          <w:szCs w:val="24"/>
        </w:rPr>
        <w:t xml:space="preserve">. </w:t>
      </w:r>
      <w:r w:rsidRPr="008D325A">
        <w:rPr>
          <w:rFonts w:ascii="Times New Roman" w:hAnsi="Times New Roman"/>
          <w:szCs w:val="24"/>
        </w:rPr>
        <w:t>Ове мере и њихове фискалне импликације дизајниране су тако да не угрозе стабилност јавних финансија и темпо смањења јавног дуга, а са друге стране да подигну животни стандард становништва, стимулишу приватну потрошњу и убрзају привредни</w:t>
      </w:r>
      <w:r w:rsidRPr="008D325A">
        <w:rPr>
          <w:rFonts w:ascii="Times New Roman" w:eastAsia="Calibri" w:hAnsi="Times New Roman"/>
          <w:bCs/>
          <w:szCs w:val="24"/>
        </w:rPr>
        <w:t xml:space="preserve"> раст.</w:t>
      </w:r>
    </w:p>
    <w:p w:rsidR="00821B52" w:rsidRPr="008D325A" w:rsidRDefault="00821B52" w:rsidP="00821B52">
      <w:pPr>
        <w:tabs>
          <w:tab w:val="clear" w:pos="1440"/>
          <w:tab w:val="left" w:pos="709"/>
        </w:tabs>
        <w:rPr>
          <w:rFonts w:asciiTheme="majorHAnsi" w:hAnsiTheme="majorHAnsi"/>
          <w:b/>
          <w:szCs w:val="24"/>
        </w:rPr>
      </w:pPr>
    </w:p>
    <w:p w:rsidR="00821B52" w:rsidRPr="008D325A" w:rsidRDefault="00821B52" w:rsidP="00821B52">
      <w:pPr>
        <w:jc w:val="center"/>
        <w:rPr>
          <w:rFonts w:ascii="Times New Roman" w:hAnsi="Times New Roman"/>
          <w:b/>
          <w:i/>
          <w:szCs w:val="24"/>
        </w:rPr>
      </w:pPr>
      <w:r w:rsidRPr="008D325A">
        <w:rPr>
          <w:rFonts w:ascii="Times New Roman" w:hAnsi="Times New Roman"/>
          <w:b/>
          <w:i/>
          <w:szCs w:val="24"/>
        </w:rPr>
        <w:t>Остварени фискални резултати на нивоу опште државе у 2018. години и пројектовани приходи у 2019. години</w:t>
      </w:r>
    </w:p>
    <w:p w:rsidR="00821B52" w:rsidRPr="008D325A" w:rsidRDefault="00821B52" w:rsidP="00821B52">
      <w:pPr>
        <w:tabs>
          <w:tab w:val="clear" w:pos="1440"/>
        </w:tabs>
        <w:spacing w:after="120" w:line="276" w:lineRule="auto"/>
        <w:rPr>
          <w:rFonts w:ascii="Times New Roman" w:hAnsi="Times New Roman"/>
          <w:b/>
          <w:i/>
          <w:szCs w:val="24"/>
        </w:rPr>
      </w:pPr>
    </w:p>
    <w:p w:rsidR="00821B52" w:rsidRPr="008D325A" w:rsidRDefault="00821B52" w:rsidP="00821B52">
      <w:pPr>
        <w:tabs>
          <w:tab w:val="clear" w:pos="1440"/>
        </w:tabs>
        <w:ind w:firstLine="720"/>
        <w:rPr>
          <w:rFonts w:ascii="Times New Roman" w:hAnsi="Times New Roman"/>
          <w:b/>
          <w:szCs w:val="24"/>
        </w:rPr>
      </w:pPr>
      <w:r w:rsidRPr="008D325A">
        <w:rPr>
          <w:rFonts w:ascii="Times New Roman" w:hAnsi="Times New Roman"/>
          <w:b/>
          <w:szCs w:val="24"/>
        </w:rPr>
        <w:t xml:space="preserve">Фискални суфицит опште државе у 2018. години, према најновијим проценама, износиће 0,6% БДП и биће за 1,2% БДП бољи од планираног резултата. Другу годину заредом биће истовремено остварен и укупан и примарни фискални суфицит, који ће износити 2,7% БДП на крају 2018. године. </w:t>
      </w:r>
    </w:p>
    <w:p w:rsidR="00821B52" w:rsidRPr="008D325A" w:rsidRDefault="00821B52" w:rsidP="00821B52">
      <w:pPr>
        <w:tabs>
          <w:tab w:val="clear" w:pos="1440"/>
        </w:tabs>
        <w:ind w:firstLine="720"/>
        <w:contextualSpacing/>
        <w:rPr>
          <w:rFonts w:ascii="Times New Roman" w:hAnsi="Times New Roman"/>
          <w:szCs w:val="24"/>
        </w:rPr>
      </w:pPr>
      <w:r w:rsidRPr="008D325A">
        <w:rPr>
          <w:rFonts w:ascii="Times New Roman" w:hAnsi="Times New Roman"/>
          <w:b/>
          <w:szCs w:val="24"/>
        </w:rPr>
        <w:t>Циљ фискалне политике за 2019. годину је остваривање релативно ниског фискалног дефицита од 0,5% БДП, који омогућава наставак силазне путање дуга, али и коришћење фискалног простора у циљу подршке привредном расту</w:t>
      </w:r>
      <w:r w:rsidRPr="008D325A">
        <w:rPr>
          <w:rFonts w:ascii="Times New Roman" w:eastAsia="Calibri" w:hAnsi="Times New Roman"/>
          <w:b/>
          <w:bCs/>
          <w:szCs w:val="24"/>
        </w:rPr>
        <w:t xml:space="preserve">. </w:t>
      </w:r>
      <w:r w:rsidRPr="008D325A">
        <w:rPr>
          <w:rFonts w:ascii="Times New Roman" w:hAnsi="Times New Roman"/>
          <w:szCs w:val="24"/>
        </w:rPr>
        <w:t>Током 2018. године настављен је позитиван тренд у фискалним кретањима. У периоду јануар-септембар остварен је фискални суфицит од 1,5% БДП и примарни фискални суфицит 4,1% БДП. Дуг опште државе на крају трећег квартала смањен је на 56,6% БДП. Кључни допринос бољем резултату, од првобитно планираног у 2018. години даће приходи, док ће на страни расхода највеће одступање од плана наниже бити забележено на расходима за камате.</w:t>
      </w:r>
    </w:p>
    <w:p w:rsidR="00821B52" w:rsidRDefault="00821B52" w:rsidP="00821B52">
      <w:pPr>
        <w:tabs>
          <w:tab w:val="clear" w:pos="1440"/>
        </w:tabs>
        <w:rPr>
          <w:rFonts w:ascii="Times New Roman" w:eastAsia="MS PGothic" w:hAnsi="Times New Roman"/>
          <w:color w:val="FF0000"/>
          <w:szCs w:val="24"/>
          <w:lang w:eastAsia="ja-JP"/>
        </w:rPr>
      </w:pPr>
    </w:p>
    <w:p w:rsidR="00A66797" w:rsidRDefault="00A66797" w:rsidP="00821B52">
      <w:pPr>
        <w:tabs>
          <w:tab w:val="clear" w:pos="1440"/>
        </w:tabs>
        <w:rPr>
          <w:rFonts w:ascii="Times New Roman" w:eastAsia="MS PGothic" w:hAnsi="Times New Roman"/>
          <w:color w:val="FF0000"/>
          <w:szCs w:val="24"/>
          <w:lang w:eastAsia="ja-JP"/>
        </w:rPr>
      </w:pPr>
    </w:p>
    <w:p w:rsidR="00A66797" w:rsidRPr="008D325A" w:rsidRDefault="00A66797" w:rsidP="00821B52">
      <w:pPr>
        <w:tabs>
          <w:tab w:val="clear" w:pos="1440"/>
        </w:tabs>
        <w:rPr>
          <w:rFonts w:ascii="Times New Roman" w:eastAsia="MS PGothic" w:hAnsi="Times New Roman"/>
          <w:color w:val="FF0000"/>
          <w:szCs w:val="24"/>
          <w:lang w:eastAsia="ja-JP"/>
        </w:rPr>
      </w:pPr>
    </w:p>
    <w:p w:rsidR="00821B52" w:rsidRPr="008D325A" w:rsidRDefault="00821B52" w:rsidP="00821B52">
      <w:pPr>
        <w:tabs>
          <w:tab w:val="clear" w:pos="1440"/>
          <w:tab w:val="left" w:pos="709"/>
        </w:tabs>
        <w:ind w:firstLine="709"/>
        <w:rPr>
          <w:rFonts w:ascii="Times New Roman" w:hAnsi="Times New Roman"/>
          <w:b/>
          <w:szCs w:val="24"/>
        </w:rPr>
      </w:pPr>
      <w:r w:rsidRPr="008D325A">
        <w:rPr>
          <w:rFonts w:ascii="Times New Roman" w:hAnsi="Times New Roman"/>
          <w:b/>
          <w:szCs w:val="24"/>
        </w:rPr>
        <w:lastRenderedPageBreak/>
        <w:t xml:space="preserve">Очекивано остварење прихода до краја 2018. године, код одређених категорија прихода, превазилази износе планиране оригиналним буџетом: </w:t>
      </w:r>
    </w:p>
    <w:p w:rsidR="00821B52" w:rsidRPr="008D325A" w:rsidRDefault="00821B52" w:rsidP="00821B52">
      <w:pPr>
        <w:pStyle w:val="ListParagraph"/>
        <w:numPr>
          <w:ilvl w:val="0"/>
          <w:numId w:val="7"/>
        </w:numPr>
        <w:tabs>
          <w:tab w:val="left" w:pos="709"/>
        </w:tabs>
        <w:spacing w:after="0" w:line="240" w:lineRule="auto"/>
        <w:ind w:left="284" w:firstLine="0"/>
        <w:jc w:val="both"/>
        <w:rPr>
          <w:rFonts w:ascii="Times New Roman" w:hAnsi="Times New Roman"/>
          <w:sz w:val="24"/>
          <w:szCs w:val="24"/>
          <w:lang w:val="sr-Cyrl-CS" w:eastAsia="en-US"/>
        </w:rPr>
      </w:pPr>
      <w:r w:rsidRPr="008D325A">
        <w:rPr>
          <w:rFonts w:ascii="Times New Roman" w:hAnsi="Times New Roman"/>
          <w:sz w:val="24"/>
          <w:szCs w:val="24"/>
          <w:lang w:val="sr-Cyrl-CS" w:eastAsia="en-US"/>
        </w:rPr>
        <w:t xml:space="preserve">Деловање повољног макроекономског окружења кроз вишу стопу реалног раста БДП, позитивно су деловали на наплату јавних прихода. Првобитна пројекција привредног раста за 2018. годину ревидирана је навише са 3,5% мг на 4,2% мг, на основу кретања у првој половини године, успостављених трендова кључних варијабли и краткорочних макроекономских индикатора.  Већи раст запослености и зарада у приватном сектору одразио се на кретање наплате социјалних доприноса и пореза на доходак. </w:t>
      </w:r>
    </w:p>
    <w:p w:rsidR="00821B52" w:rsidRPr="008D325A" w:rsidRDefault="00821B52" w:rsidP="00821B52">
      <w:pPr>
        <w:pStyle w:val="ListParagraph"/>
        <w:numPr>
          <w:ilvl w:val="0"/>
          <w:numId w:val="7"/>
        </w:numPr>
        <w:tabs>
          <w:tab w:val="left" w:pos="709"/>
        </w:tabs>
        <w:spacing w:after="0" w:line="240" w:lineRule="auto"/>
        <w:ind w:left="284" w:firstLine="0"/>
        <w:jc w:val="both"/>
        <w:rPr>
          <w:rFonts w:ascii="Times New Roman" w:hAnsi="Times New Roman"/>
          <w:sz w:val="24"/>
          <w:szCs w:val="24"/>
          <w:lang w:val="sr-Cyrl-CS" w:eastAsia="en-US"/>
        </w:rPr>
      </w:pPr>
      <w:r w:rsidRPr="008D325A">
        <w:rPr>
          <w:rFonts w:ascii="Times New Roman" w:hAnsi="Times New Roman"/>
          <w:sz w:val="24"/>
          <w:szCs w:val="24"/>
          <w:lang w:val="sr-Cyrl-CS" w:eastAsia="en-US"/>
        </w:rPr>
        <w:t xml:space="preserve">Значајно боља наплата пореза на добит. Према подацима Агенције за привредне регистре укупна бруто добит остварена у 2017. години износила је 666,6 млрд динара и већа је у односу на 2016. годину за 24,7%. Динамика уплата током прве половине године, а и уплата по коначном обрачуну пореске обавезе у јуну 2018. године, указала је на то да ће годишњи приход знатно премашити планиране. Наплата пореза на добит премашиће и укупан приход из претходне године. </w:t>
      </w:r>
    </w:p>
    <w:p w:rsidR="00821B52" w:rsidRPr="008D325A" w:rsidRDefault="00821B52" w:rsidP="00821B52">
      <w:pPr>
        <w:pStyle w:val="ListParagraph"/>
        <w:numPr>
          <w:ilvl w:val="0"/>
          <w:numId w:val="7"/>
        </w:numPr>
        <w:tabs>
          <w:tab w:val="left" w:pos="709"/>
        </w:tabs>
        <w:spacing w:after="0" w:line="240" w:lineRule="auto"/>
        <w:ind w:left="284" w:firstLine="0"/>
        <w:jc w:val="both"/>
        <w:rPr>
          <w:rFonts w:ascii="Times New Roman" w:hAnsi="Times New Roman"/>
          <w:sz w:val="24"/>
          <w:szCs w:val="24"/>
          <w:lang w:val="sr-Cyrl-CS" w:eastAsia="en-US"/>
        </w:rPr>
      </w:pPr>
      <w:r w:rsidRPr="008D325A">
        <w:rPr>
          <w:rFonts w:ascii="Times New Roman" w:hAnsi="Times New Roman"/>
          <w:sz w:val="24"/>
          <w:szCs w:val="24"/>
          <w:lang w:val="sr-Cyrl-CS" w:eastAsia="en-US"/>
        </w:rPr>
        <w:t xml:space="preserve">Наставак рада на сузбијању сиве економије, у области наплате ПДВ и пореза на зараде, такође позитивно доприноси кретању прихода, мада је тешко стриктно разграничити ефекте стварног раста потрошње (утицај ценовне еластичности и ефекат привредног раста) од оних који су последица промена у обиму сиве економије. Резултати ефикасније наплате и контроле пореских обвезника су евидентни и очекује се да ће тај тренд бити настављен у наредном периоду, с тим што ефекти борбе против сиве економије нису експлицитно укључени у пројекцију јавних прихода. Повећање степена ПДВ наплате у смислу спровођења независних антиевазионих мера у области пореза на додату вредност дало је резултате и у овом сегменту постоји простор за даља побољшања, кроз јачање и модернизацију пореске администрације. </w:t>
      </w:r>
    </w:p>
    <w:p w:rsidR="00821B52" w:rsidRPr="008D325A" w:rsidRDefault="00821B52" w:rsidP="00821B52">
      <w:pPr>
        <w:pStyle w:val="ListParagraph"/>
        <w:numPr>
          <w:ilvl w:val="0"/>
          <w:numId w:val="7"/>
        </w:numPr>
        <w:tabs>
          <w:tab w:val="left" w:pos="709"/>
        </w:tabs>
        <w:spacing w:after="0" w:line="240" w:lineRule="auto"/>
        <w:ind w:left="284" w:firstLine="0"/>
        <w:jc w:val="both"/>
        <w:rPr>
          <w:rFonts w:ascii="Times New Roman" w:hAnsi="Times New Roman"/>
          <w:sz w:val="24"/>
          <w:szCs w:val="24"/>
          <w:lang w:val="sr-Cyrl-CS" w:eastAsia="en-US"/>
        </w:rPr>
      </w:pPr>
      <w:r w:rsidRPr="008D325A">
        <w:rPr>
          <w:rFonts w:ascii="Times New Roman" w:hAnsi="Times New Roman"/>
          <w:sz w:val="24"/>
          <w:szCs w:val="24"/>
          <w:lang w:val="sr-Cyrl-CS" w:eastAsia="en-US"/>
        </w:rPr>
        <w:t>Знатно је боље остварење ванредних непореских прихода (прихода по основу добити и дивиденди јавних предузећа, емис</w:t>
      </w:r>
      <w:r w:rsidR="008D325A">
        <w:rPr>
          <w:rFonts w:ascii="Times New Roman" w:hAnsi="Times New Roman"/>
          <w:sz w:val="24"/>
          <w:szCs w:val="24"/>
          <w:lang w:val="sr-Cyrl-CS" w:eastAsia="en-US"/>
        </w:rPr>
        <w:t>и</w:t>
      </w:r>
      <w:r w:rsidRPr="008D325A">
        <w:rPr>
          <w:rFonts w:ascii="Times New Roman" w:hAnsi="Times New Roman"/>
          <w:sz w:val="24"/>
          <w:szCs w:val="24"/>
          <w:lang w:val="sr-Cyrl-CS" w:eastAsia="en-US"/>
        </w:rPr>
        <w:t>оне премије итд) у односу на буџет за 2018. годину.</w:t>
      </w:r>
    </w:p>
    <w:p w:rsidR="00821B52" w:rsidRPr="008D325A" w:rsidRDefault="00821B52" w:rsidP="00821B52">
      <w:pPr>
        <w:tabs>
          <w:tab w:val="clear" w:pos="1440"/>
        </w:tabs>
        <w:ind w:firstLine="810"/>
        <w:rPr>
          <w:rFonts w:ascii="Times New Roman" w:hAnsi="Times New Roman"/>
          <w:b/>
          <w:szCs w:val="24"/>
        </w:rPr>
      </w:pPr>
      <w:r w:rsidRPr="008D325A">
        <w:rPr>
          <w:rFonts w:ascii="Times New Roman" w:hAnsi="Times New Roman"/>
          <w:b/>
          <w:szCs w:val="24"/>
        </w:rPr>
        <w:t xml:space="preserve">Повољна макроекономска кретања обезбедиће наставак стабилног раста пореских прихода, а реформом пореске администрације наставиће се борба против сиве економије и пореске евазије. С друге стране, захваљујући мерама фискалне политике у претходном периоду, значајно су смањени издаци за камате и отплате дуга по активираним гаранцијама (непродуктивни расходи) и створен је простор за смањење пореског оптерећења привреде као и повећање других расхода (пензије, плата и капиталних инвестиција) без угрожавања постигнуте фискалне стабилности. </w:t>
      </w:r>
    </w:p>
    <w:p w:rsidR="00821B52" w:rsidRPr="008D325A" w:rsidRDefault="00821B52" w:rsidP="00821B52">
      <w:pPr>
        <w:tabs>
          <w:tab w:val="clear" w:pos="1440"/>
        </w:tabs>
        <w:ind w:firstLine="720"/>
        <w:rPr>
          <w:rFonts w:ascii="Times New Roman" w:hAnsi="Times New Roman"/>
          <w:szCs w:val="24"/>
        </w:rPr>
      </w:pPr>
      <w:r w:rsidRPr="008D325A">
        <w:rPr>
          <w:rFonts w:ascii="Times New Roman" w:hAnsi="Times New Roman"/>
          <w:szCs w:val="24"/>
        </w:rPr>
        <w:t xml:space="preserve">У 2019. години су предвиђене мере фискалне политике на приходној страни: </w:t>
      </w:r>
    </w:p>
    <w:p w:rsidR="00821B52" w:rsidRPr="008D325A" w:rsidRDefault="00821B52" w:rsidP="00821B52">
      <w:pPr>
        <w:numPr>
          <w:ilvl w:val="0"/>
          <w:numId w:val="16"/>
        </w:numPr>
        <w:tabs>
          <w:tab w:val="clear" w:pos="1440"/>
        </w:tabs>
        <w:rPr>
          <w:rFonts w:ascii="Times New Roman" w:hAnsi="Times New Roman"/>
          <w:szCs w:val="24"/>
        </w:rPr>
      </w:pPr>
      <w:r w:rsidRPr="008D325A">
        <w:rPr>
          <w:rFonts w:ascii="Times New Roman" w:hAnsi="Times New Roman"/>
          <w:szCs w:val="24"/>
        </w:rPr>
        <w:t xml:space="preserve">На приходној страни најзначајнија промена тиче се смањења пореског оптерећења зарада (tax wedge) укидањем доприноса за незапослене на терет послодавца. Ефекти: Губитак прихода опште државе у износу од 12 млрд динара, док ће нето ефекат на фискални резултат износити 9 млрд динара, с обзиром да ће маса плата на нивоу опште државе бити мања за 3 млрд динара. </w:t>
      </w:r>
    </w:p>
    <w:p w:rsidR="00821B52" w:rsidRPr="008D325A" w:rsidRDefault="00821B52" w:rsidP="00821B52">
      <w:pPr>
        <w:numPr>
          <w:ilvl w:val="0"/>
          <w:numId w:val="16"/>
        </w:numPr>
        <w:tabs>
          <w:tab w:val="clear" w:pos="1440"/>
        </w:tabs>
        <w:rPr>
          <w:rFonts w:ascii="Times New Roman" w:hAnsi="Times New Roman"/>
          <w:szCs w:val="24"/>
        </w:rPr>
      </w:pPr>
      <w:r w:rsidRPr="008D325A">
        <w:rPr>
          <w:rFonts w:ascii="Times New Roman" w:hAnsi="Times New Roman"/>
          <w:szCs w:val="24"/>
        </w:rPr>
        <w:t>Законом о накнадама требало би да се уреди систем такси и накнада, обезбеђењем законитости и предвидивости. Процењује се да ће негативни ефекат на приходној страни (непорески приходи)  износити до 2 млрд динара.</w:t>
      </w:r>
    </w:p>
    <w:p w:rsidR="00821B52" w:rsidRPr="008D325A" w:rsidRDefault="00821B52" w:rsidP="00821B52">
      <w:pPr>
        <w:pStyle w:val="ListParagraph"/>
        <w:tabs>
          <w:tab w:val="left" w:pos="709"/>
        </w:tabs>
        <w:spacing w:after="0" w:line="240" w:lineRule="auto"/>
        <w:ind w:left="284"/>
        <w:jc w:val="both"/>
        <w:rPr>
          <w:rFonts w:ascii="Times New Roman" w:hAnsi="Times New Roman"/>
          <w:sz w:val="24"/>
          <w:szCs w:val="24"/>
          <w:lang w:val="sr-Cyrl-CS" w:eastAsia="en-US"/>
        </w:rPr>
      </w:pPr>
      <w:r w:rsidRPr="008D325A">
        <w:rPr>
          <w:rFonts w:ascii="Times New Roman" w:hAnsi="Times New Roman"/>
          <w:sz w:val="24"/>
          <w:szCs w:val="24"/>
          <w:lang w:val="sr-Cyrl-CS" w:eastAsia="en-US"/>
        </w:rPr>
        <w:t>У наредном периоду предвиђено је усвајање измена Закона о порезу на добит</w:t>
      </w:r>
      <w:r w:rsidR="004A0C74">
        <w:rPr>
          <w:rFonts w:ascii="Times New Roman" w:hAnsi="Times New Roman"/>
          <w:sz w:val="24"/>
          <w:szCs w:val="24"/>
          <w:lang w:val="sr-Cyrl-CS" w:eastAsia="en-US"/>
        </w:rPr>
        <w:t xml:space="preserve"> правних лица</w:t>
      </w:r>
      <w:r w:rsidRPr="008D325A">
        <w:rPr>
          <w:rFonts w:ascii="Times New Roman" w:hAnsi="Times New Roman"/>
          <w:sz w:val="24"/>
          <w:szCs w:val="24"/>
          <w:lang w:val="sr-Cyrl-CS" w:eastAsia="en-US"/>
        </w:rPr>
        <w:t xml:space="preserve"> којим би се смањиле обавезе пореских обвезника кроз измене начина амортизације. Ефекти ове мере би требало да се виде тек у 2020. години, с обзиром да би се односили на добит из 2019. године.</w:t>
      </w:r>
    </w:p>
    <w:p w:rsidR="00821B52" w:rsidRPr="008D325A" w:rsidRDefault="00821B52" w:rsidP="00821B52">
      <w:pPr>
        <w:tabs>
          <w:tab w:val="left" w:pos="709"/>
        </w:tabs>
        <w:ind w:firstLine="709"/>
        <w:rPr>
          <w:rFonts w:ascii="Times New Roman" w:hAnsi="Times New Roman"/>
          <w:szCs w:val="24"/>
        </w:rPr>
      </w:pPr>
      <w:r w:rsidRPr="008D325A">
        <w:rPr>
          <w:rFonts w:ascii="Times New Roman" w:hAnsi="Times New Roman"/>
          <w:b/>
          <w:szCs w:val="24"/>
        </w:rPr>
        <w:t>Очекује се наставак позитивних трендова код наплате пореских прихода и током наредне буџетске године.</w:t>
      </w:r>
      <w:r w:rsidRPr="008D325A">
        <w:rPr>
          <w:rFonts w:ascii="Times New Roman" w:hAnsi="Times New Roman"/>
          <w:szCs w:val="24"/>
        </w:rPr>
        <w:t xml:space="preserve"> Повољни макроекономски токови наставиће се и у 2019. години. Кретање зарада у јавном сектору и пензија, као и кретање запослености и зарада у приватном сектору, имаће позитиван утицај на већу наплату пореских прихода буџета. Предвиђено смањење оптерећења зарада, кроз смањење дела доприноса за незапосленост, неће утицати на висину прихода буџета Републике. </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b/>
          <w:szCs w:val="24"/>
        </w:rPr>
        <w:lastRenderedPageBreak/>
        <w:t>Порез на доходак</w:t>
      </w:r>
      <w:r w:rsidRPr="008D325A">
        <w:rPr>
          <w:rFonts w:ascii="Times New Roman" w:hAnsi="Times New Roman"/>
          <w:szCs w:val="24"/>
        </w:rPr>
        <w:t xml:space="preserve"> пројектован је у износу од 61,5 млрд динара и расте 5,7% у односу на процењени износ у 2018. години. Учешће пореза на доходак у 2019. години износи 4,9% у укупним буџетским приходима и благо расте у односу на претходну годину. Процена наплате овог пореског облика узима у обзир измену висине минималне зараде, планирано повећање зарада у јавном сектору и наставак позитивних трендова на тржишту рада. Порез на зараде пројектован је у износу од 33,8 млрд динара. У 2019. није предвиђено подизање неопорезивог дела зараде, осим за редовно усклађивање са инфлацијом. </w:t>
      </w:r>
    </w:p>
    <w:p w:rsidR="00821B52" w:rsidRPr="008D325A" w:rsidRDefault="00821B52" w:rsidP="00821B52">
      <w:pPr>
        <w:tabs>
          <w:tab w:val="left" w:pos="720"/>
        </w:tabs>
        <w:ind w:firstLine="720"/>
        <w:rPr>
          <w:rFonts w:ascii="Times New Roman" w:hAnsi="Times New Roman"/>
          <w:szCs w:val="24"/>
        </w:rPr>
      </w:pPr>
      <w:r w:rsidRPr="008D325A">
        <w:rPr>
          <w:rFonts w:ascii="Times New Roman" w:hAnsi="Times New Roman"/>
          <w:szCs w:val="24"/>
        </w:rPr>
        <w:t xml:space="preserve">Други део укупних пореза на доходак чине остали облици као што су порез на дивиденде, порез на приходе од камата, годишњи порез на доходак, а од 2014. године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 али су и под значајним утицајем пословних одлука компанија у вези политике дивиденди и инвестиција. </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Порез на добит</w:t>
      </w:r>
      <w:r w:rsidRPr="008D325A">
        <w:rPr>
          <w:rFonts w:ascii="Times New Roman" w:hAnsi="Times New Roman"/>
          <w:szCs w:val="24"/>
        </w:rPr>
        <w:t xml:space="preserve"> </w:t>
      </w:r>
      <w:r w:rsidRPr="00A66797">
        <w:rPr>
          <w:rFonts w:ascii="Times New Roman" w:hAnsi="Times New Roman"/>
          <w:b/>
          <w:szCs w:val="24"/>
        </w:rPr>
        <w:t>правних лица</w:t>
      </w:r>
      <w:r w:rsidRPr="008D325A">
        <w:rPr>
          <w:rFonts w:ascii="Times New Roman" w:hAnsi="Times New Roman"/>
          <w:szCs w:val="24"/>
        </w:rPr>
        <w:t xml:space="preserve"> пројектован је у износу од 108,5 мрлд млрд. У укупним приходима буџета овај порески облик чини 8,7%. На кретање овог пореског облика утиче и различити третман одређених категорија при изради рачуноводственог и пореског биланса. Како коначни подаци о профитабилности нису познати током израде пројекција за наредну годину, пројекција наплате пореза на добит за 2019. годину је конзервативна и претпоставља умерен раст профитабилности.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Измене пореске политике у домену пореске амортизације основних средстава неће имати ефекте на приходе током 2019. године. </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Порез на додату вредност</w:t>
      </w:r>
      <w:r w:rsidRPr="008D325A">
        <w:rPr>
          <w:rFonts w:ascii="Times New Roman" w:hAnsi="Times New Roman"/>
          <w:szCs w:val="24"/>
        </w:rPr>
        <w:t xml:space="preserve"> пројектован је у висини од 539,1 млрд динара што представља номинално повећање од 6,8% у односу на износ предвиђен актуелном проценом за 2018. годину. Учешће ПДВ у структури укупних прихода, у 2019. години, умерено расте и износи 43,3%. Укупна домаћа компонента ПДВ процењена је у износу 72,7 млрд динара и чини 13,5% укупног ПДВ, док је ПДВ из увоза пројектован у износу од 466,4 млрд динара или 86,5% укупног ПДВ. </w:t>
      </w:r>
    </w:p>
    <w:p w:rsidR="00821B52" w:rsidRPr="008D325A" w:rsidRDefault="00821B52" w:rsidP="00821B52">
      <w:pPr>
        <w:tabs>
          <w:tab w:val="clear" w:pos="1440"/>
          <w:tab w:val="left" w:pos="709"/>
        </w:tabs>
        <w:rPr>
          <w:rFonts w:ascii="Times New Roman" w:hAnsi="Times New Roman"/>
          <w:szCs w:val="24"/>
        </w:rPr>
      </w:pPr>
      <w:r w:rsidRPr="008D325A">
        <w:rPr>
          <w:rFonts w:ascii="Times New Roman" w:hAnsi="Times New Roman"/>
          <w:szCs w:val="24"/>
        </w:rPr>
        <w:tab/>
        <w:t xml:space="preserve">Главна детерминанта кретања ПДВ је домаћа тражња вођена расположивим дохотком становништва. Расположиви доходак зависи од кретања зарада у јавном сектору, пензија, социјалне помоћи, кретања масе зарада у приватном сектору и осталих облика доходака, укључујући и дознаке, као и од нивоа кредитне активности банака. Наплата ПДВ у 2018. биће у нивоу предвиђеним буџетом за 2018. годину. Пројекција ПДВ за 2019. годину заснован је на пројектованом расту масе зарада од око 6% у односу на претходну годину. Бруто наплата ПДВ, са друге стране ће расти по нешто већој стопи од 7,8% због бржег раста других облика дохотка и потрошње као што су: кредитна активност, дознаке, приходи предузетника и паушалних обвезника, туризама, потрошње у транзиту итд. Значајан утицај на кретање нето домаћег ПДВ има ПДВ повраћаји који се из техничког разлога исплаћују са позиције “домаћег ПДВ”. Процењује се да ће укупан ниво повраћаја ПДВ пратити спољнотрговинску активност и да ће расти по нешто споријој стопи него што је то био случај ранијих година.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Резултати ефикасније наплате и контроле пореских обвезника су присутни и очекује се да ће тај тренд бити настављен, с тим што ефекти борбе против сиве економије нису експлицитно укључени у пројекцију наплате ПДВ, услед опрезности. Ризици за остварење пројекције ПДВ у 2019. години се односе на кретање зарада у приватном сектору, општи раст привреде, као и на степен сиве економије, односно ефикасности у њеном даљем смањењу. </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Приходи од акциза</w:t>
      </w:r>
      <w:r w:rsidRPr="008D325A">
        <w:rPr>
          <w:rFonts w:ascii="Times New Roman" w:hAnsi="Times New Roman"/>
          <w:szCs w:val="24"/>
        </w:rPr>
        <w:t xml:space="preserve"> пројектовани су укупном износу од 291,4 млрд динара при чему се на акцизе на нафтне деривате односи 156 млрд динара, акцизе на дуванске производе 102,1 млрд динара, акцизе на кафу и алкохол 16,3 млрд динара, и акцизу на електричну енергију 17 млрд динара. Пројектовани раст прихода од акциза у односу на 2018. годину је 2,2%. Није предвиђена измена акцизне политике и предвиђени раст ових прихода резултат је редовног годишњег усклађивања висине акциза за стопу инфлације у претходној години и предвиђеног кретања цена појединих акцизних производа. Учешће акциза у укупним приходима износи 23,4%.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lastRenderedPageBreak/>
        <w:t xml:space="preserve">За 2019. годину приходи од акциза на дуван пројектовани су у складу са акционим планом повећања и усклађивања акцизног оптерећења. У 2019. години за потребе пројекције прихода од акциза, услед опрезности, предвиђен је „природниˮ пад потрошње дуванских производа од око 3%.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Наплата акциза на нафтне деривате у 2018. години биће у складу са буџетским планом. Претпоставка пројекције прихода од акциза на деривате нафте је непромењена потрошња у односу на текућу годину. У овом случају постоји одређени и позитивни и негативни ризик по питању наплате прихода уколико дође до значајнијих промена на тржишту нафтних деривата. Кретање цена нафте не светском тржишту, индиректно преко цена и обима легалне продаје, може да утиче на ниво прихода од акциза.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Приходи од акциза на алкохолна пића и кафу (остале акцизе) су пројектовани у складу са актуелном структуром и обимом потрошње с тим што су тренутни номинални износи акциза усклађени са очекиваном инфлацијом у 2018. години.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 xml:space="preserve">Током 2015. године уведена је ад валорем акциза од 7,5% на вредносно изражену потрошњу електричне енергије. За 2019. годину приход од ове категорије акциза планиран је у износу од 17 млрд динара узимајући у обзир тренутни годишњи обим потрошње. </w:t>
      </w:r>
    </w:p>
    <w:p w:rsidR="00821B52" w:rsidRPr="008D325A" w:rsidRDefault="00821B52" w:rsidP="00821B52">
      <w:pPr>
        <w:ind w:firstLine="720"/>
        <w:rPr>
          <w:rFonts w:ascii="Times New Roman" w:hAnsi="Times New Roman"/>
          <w:szCs w:val="24"/>
        </w:rPr>
      </w:pPr>
      <w:r w:rsidRPr="008D325A">
        <w:rPr>
          <w:rFonts w:ascii="Times New Roman" w:hAnsi="Times New Roman"/>
          <w:b/>
          <w:szCs w:val="24"/>
        </w:rPr>
        <w:t>Приходи од царина</w:t>
      </w:r>
      <w:r w:rsidRPr="008D325A">
        <w:rPr>
          <w:rFonts w:ascii="Times New Roman" w:hAnsi="Times New Roman"/>
          <w:szCs w:val="24"/>
        </w:rPr>
        <w:t xml:space="preserve"> у 2019. години пројектовани су у износу од 47,1 млрд. Главне детерминанте за пројекцију прихода од царина су кретање увоза, промене у структури увоза и девизни курс. У периоду од 2009. до 2014. године приходи од царина су се номинално смањивали сваке године, услед примене Споразума о стабилизацији и придруживању са ЕУ, Споразума о слободној трговини са ЕФТА и Споразума о слободној трговини са Турском, као и постепеног смањивања и укидања појединих царинских стопа. Од 2015. године, када се навршио прелазни период смањивања царинског оптерећења, бележи се номинални раст прихода од царина, у складу са кретањем нивоа и структуре увоза. Може се претпоставити да је и даље присутна промена у самој структури и пореклу увезене робе са подручја са мањим царинским оптерећењем. Приходи од царина у 2019. години пројектовани су у складу са пројекцијом раста увоза, и чине 3,8% укупних прихода. </w:t>
      </w:r>
    </w:p>
    <w:p w:rsidR="00821B52" w:rsidRPr="008D325A" w:rsidRDefault="00821B52" w:rsidP="00821B52">
      <w:pPr>
        <w:ind w:firstLine="720"/>
        <w:rPr>
          <w:rFonts w:ascii="Times New Roman" w:hAnsi="Times New Roman"/>
          <w:szCs w:val="24"/>
        </w:rPr>
      </w:pPr>
      <w:r w:rsidRPr="008D325A">
        <w:rPr>
          <w:rFonts w:ascii="Times New Roman" w:hAnsi="Times New Roman"/>
          <w:szCs w:val="24"/>
        </w:rPr>
        <w:t>Остали порески приходи пројектовани су износу 12,3 млрд динара што је више за 0,3 млрд динара у односу на процену прихода у 2018. години. Ову групу чине порези на употребу, држање и ношење добара и чине 1,0% укупних прихода. Ниво ових прихода је релативно стабилан и реакције на кретање економске активности код њих нису у већој мери изражене. Ова група пореских прихода много је важнија на нивоу локалне самоуправе (порез на имовину), док на нивоу републичког буџета највећи део овог прихода чини порез на регистрацију возила.</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b/>
          <w:szCs w:val="24"/>
        </w:rPr>
        <w:t>Непорески приходи</w:t>
      </w:r>
      <w:r w:rsidRPr="008D325A">
        <w:rPr>
          <w:rFonts w:ascii="Times New Roman" w:hAnsi="Times New Roman"/>
          <w:szCs w:val="24"/>
        </w:rPr>
        <w:t xml:space="preserve"> процењени су у износу од 172,4 млрд динара, укључујући и приходе индиректних буџетских корисника, што представља смањење од 15,5% у односу на процењени износ за 2018. годину. Учешће ове категорије у укупним приходима, у 2019. години, опада и износи 13,8%. Разлози за мање планиране непореске приходе у односу на 2018. годину су искључење свих прихода који се не сматрају структурним тј. трајним, што се понајвише односи на ванредне категорије непореских прихода. Измене у погледу уплате по основу смањења зарада у делу јавног сектора утицаће на смањења прихода по овом основу. Усвајање нове регул</w:t>
      </w:r>
      <w:r w:rsidR="008D325A">
        <w:rPr>
          <w:rFonts w:ascii="Times New Roman" w:hAnsi="Times New Roman"/>
          <w:szCs w:val="24"/>
          <w:lang w:val="sr-Cyrl-RS"/>
        </w:rPr>
        <w:t>а</w:t>
      </w:r>
      <w:r w:rsidRPr="008D325A">
        <w:rPr>
          <w:rFonts w:ascii="Times New Roman" w:hAnsi="Times New Roman"/>
          <w:szCs w:val="24"/>
        </w:rPr>
        <w:t xml:space="preserve">тиве о накнадама ће такође имати одређени утицај на висину непореских прихода. </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 xml:space="preserve">Непорески приходи су врло хетерогена категорија са различитим кретањима по појединим облицима. Поједини непорески приходи индексирају се са оствареном инфлацијом у претходној години, остали прате промену у вредности основе на које се примењују и услед тога се коригују пројектованом 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Од 2014. значајна </w:t>
      </w:r>
      <w:r w:rsidRPr="008D325A">
        <w:rPr>
          <w:rFonts w:ascii="Times New Roman" w:hAnsi="Times New Roman"/>
          <w:szCs w:val="24"/>
        </w:rPr>
        <w:lastRenderedPageBreak/>
        <w:t xml:space="preserve">ставка ванредних прихода је приход од смањења зарада у јавном сектору који по овом основу уплаћују јавна предузећа и локалне самоуправе. У 2019. години по овом основу пројектује се мањи износ уплата услед измене у висини смањења основице за обрачун зарада у јавним предузећима. </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 xml:space="preserve"> Редовни непорески приходи у 2019. години су, према пројекцији, у нивоу процењеног износа за 2018. годину и износе 80,9 млрд динара. Главни разлог за одсуство раста редовних непореских прихода је предвиђено доношење регулативе о накнадама за коришћење јавних добара, чији је процењени ефекат на висину прихода укључен у пројекцију. При пројекцији за 2019. годину појединачне категорије ове групе прихода индексиране су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 xml:space="preserve">При пројекцији ванредних непореских прихода бележи се значајније смањење процене у односу на очекивани износ у 2018. години. При процени ових прихода (дивиденде и уплата добити јавних предузећа и агенција) полази од њиховог структурног нивоа. За 2019. годину предвиђен је ниво у висини од 17,1 млрд динара. Овај принцип не прејудицира да до већих уплата по том основу неће доћи, нити ограничава могуће уплате од стране субјеката који ту обавезу имају. Из пројекције прихода искључен је део прихода по основу премије по основу поновног отварања емисије хартија од вредности. </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 xml:space="preserve">Средства по основу уштеда од смањења зарада у делу јавног сектора предвиђена су и у 2019. години, али у мањем износу јер су зараде јавних предузећа, на републичком и локалном нивоу, повећане, односно обавеза уплате по основу смањења зарада је преполовљена у односу на 2018. годину. Укупни приходи по овом основу у 2019. години процењују се на 12,4 млрд динара. </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Процењени износ прихода индиректних буџетских корисника (школе, факултети, центри за социјални рад, установе културе итд.) износи 52 млрд динара и нешто је смањен у односу на износ из 2018. године.</w:t>
      </w:r>
    </w:p>
    <w:p w:rsidR="00821B52" w:rsidRPr="008D325A" w:rsidRDefault="00821B52" w:rsidP="00821B52">
      <w:pPr>
        <w:tabs>
          <w:tab w:val="clear" w:pos="1440"/>
          <w:tab w:val="left" w:pos="709"/>
        </w:tabs>
        <w:ind w:firstLine="720"/>
        <w:rPr>
          <w:rFonts w:ascii="Times New Roman" w:hAnsi="Times New Roman"/>
          <w:szCs w:val="24"/>
        </w:rPr>
      </w:pPr>
      <w:r w:rsidRPr="008D325A">
        <w:rPr>
          <w:rFonts w:ascii="Times New Roman" w:hAnsi="Times New Roman"/>
          <w:szCs w:val="24"/>
        </w:rPr>
        <w:t>Очекивани приход по основу донација износи 13,9 млрд динара и у односу на процењен износ за 2018. годину повећан је за 3,9 млрд динара. Учешће овог облика прихода у укупним приходима буџета за 2019. годину износи 1,1%.</w:t>
      </w:r>
    </w:p>
    <w:p w:rsidR="00821B52" w:rsidRPr="008D325A" w:rsidRDefault="00821B52" w:rsidP="00821B52">
      <w:pPr>
        <w:tabs>
          <w:tab w:val="clear" w:pos="1440"/>
          <w:tab w:val="left" w:pos="709"/>
        </w:tabs>
        <w:ind w:firstLine="720"/>
        <w:rPr>
          <w:rFonts w:ascii="Times New Roman" w:hAnsi="Times New Roman"/>
          <w:sz w:val="23"/>
          <w:szCs w:val="23"/>
        </w:rPr>
      </w:pPr>
    </w:p>
    <w:p w:rsidR="00821B52" w:rsidRPr="008D325A" w:rsidRDefault="00821B52" w:rsidP="00CC3030">
      <w:pPr>
        <w:tabs>
          <w:tab w:val="clear" w:pos="1440"/>
          <w:tab w:val="left" w:pos="709"/>
        </w:tabs>
        <w:spacing w:after="120" w:line="276" w:lineRule="auto"/>
        <w:jc w:val="left"/>
        <w:rPr>
          <w:rFonts w:ascii="Times New Roman" w:hAnsi="Times New Roman"/>
          <w:sz w:val="22"/>
          <w:szCs w:val="22"/>
        </w:rPr>
      </w:pPr>
      <w:r w:rsidRPr="008D325A">
        <w:rPr>
          <w:noProof/>
          <w:lang w:val="en-US"/>
        </w:rPr>
        <w:drawing>
          <wp:inline distT="0" distB="0" distL="0" distR="0" wp14:anchorId="37256280" wp14:editId="3040A197">
            <wp:extent cx="5943600" cy="3435985"/>
            <wp:effectExtent l="0" t="0" r="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21B52" w:rsidRPr="008D325A" w:rsidRDefault="00821B52" w:rsidP="00821B52">
      <w:pPr>
        <w:pStyle w:val="ListParagraph"/>
        <w:rPr>
          <w:rFonts w:ascii="Times New Roman" w:hAnsi="Times New Roman"/>
          <w:b/>
          <w:bCs/>
          <w:highlight w:val="yellow"/>
          <w:lang w:val="sr-Cyrl-CS"/>
        </w:rPr>
      </w:pPr>
    </w:p>
    <w:p w:rsidR="00821B52" w:rsidRPr="008D325A" w:rsidRDefault="00821B52" w:rsidP="00821B52">
      <w:pPr>
        <w:pStyle w:val="ListParagraph"/>
        <w:rPr>
          <w:rFonts w:ascii="Times New Roman" w:hAnsi="Times New Roman"/>
          <w:b/>
          <w:bCs/>
          <w:highlight w:val="yellow"/>
          <w:lang w:val="sr-Cyrl-CS"/>
        </w:rPr>
      </w:pPr>
    </w:p>
    <w:p w:rsidR="00821B52" w:rsidRPr="008D325A" w:rsidRDefault="00821B52" w:rsidP="00821B52">
      <w:pPr>
        <w:pStyle w:val="ListParagraph"/>
        <w:rPr>
          <w:rFonts w:ascii="Times New Roman" w:hAnsi="Times New Roman"/>
          <w:b/>
          <w:bCs/>
          <w:highlight w:val="yellow"/>
          <w:lang w:val="sr-Cyrl-CS"/>
        </w:rPr>
      </w:pPr>
    </w:p>
    <w:p w:rsidR="00821B52" w:rsidRPr="008D325A" w:rsidRDefault="00821B52" w:rsidP="00821B52">
      <w:pPr>
        <w:pStyle w:val="ListParagraph"/>
        <w:rPr>
          <w:rFonts w:ascii="Times New Roman" w:hAnsi="Times New Roman"/>
          <w:b/>
          <w:bCs/>
          <w:highlight w:val="yellow"/>
          <w:lang w:val="sr-Cyrl-CS"/>
        </w:rPr>
      </w:pPr>
    </w:p>
    <w:p w:rsidR="00821B52" w:rsidRPr="008D325A" w:rsidRDefault="00821B52" w:rsidP="00821B52">
      <w:pPr>
        <w:pStyle w:val="ListParagraph"/>
        <w:ind w:hanging="720"/>
        <w:rPr>
          <w:rFonts w:ascii="Times New Roman" w:hAnsi="Times New Roman"/>
          <w:b/>
          <w:bCs/>
          <w:highlight w:val="yellow"/>
          <w:lang w:val="sr-Cyrl-CS"/>
        </w:rPr>
      </w:pPr>
      <w:r w:rsidRPr="008D325A">
        <w:rPr>
          <w:noProof/>
          <w:lang w:val="en-US" w:eastAsia="en-US"/>
        </w:rPr>
        <w:drawing>
          <wp:inline distT="0" distB="0" distL="0" distR="0" wp14:anchorId="3A83F692" wp14:editId="73971B46">
            <wp:extent cx="5943600" cy="3406775"/>
            <wp:effectExtent l="0" t="0" r="0" b="317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21B52" w:rsidRPr="008D325A" w:rsidRDefault="00821B52" w:rsidP="00821B52">
      <w:pPr>
        <w:pStyle w:val="ListParagraph"/>
        <w:rPr>
          <w:rFonts w:ascii="Times New Roman" w:hAnsi="Times New Roman"/>
          <w:b/>
          <w:bCs/>
          <w:lang w:val="sr-Cyrl-CS"/>
        </w:rPr>
      </w:pPr>
    </w:p>
    <w:p w:rsidR="00821B52" w:rsidRPr="008D325A" w:rsidRDefault="00821B52" w:rsidP="00821B52">
      <w:pPr>
        <w:rPr>
          <w:rFonts w:ascii="Times New Roman" w:hAnsi="Times New Roman"/>
          <w:b/>
          <w:bCs/>
          <w:highlight w:val="yellow"/>
        </w:rPr>
      </w:pPr>
      <w:r w:rsidRPr="008D325A">
        <w:rPr>
          <w:noProof/>
          <w:lang w:val="en-US"/>
        </w:rPr>
        <w:drawing>
          <wp:inline distT="0" distB="0" distL="0" distR="0" wp14:anchorId="06FE3D47" wp14:editId="62816F2F">
            <wp:extent cx="2906162" cy="363029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D325A">
        <w:rPr>
          <w:noProof/>
          <w:lang w:val="en-US"/>
        </w:rPr>
        <w:drawing>
          <wp:inline distT="0" distB="0" distL="0" distR="0" wp14:anchorId="1A93463A" wp14:editId="1EF9E4FB">
            <wp:extent cx="3000337" cy="353377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21B52" w:rsidRPr="008D325A" w:rsidRDefault="00821B52" w:rsidP="00821B52">
      <w:pPr>
        <w:rPr>
          <w:rFonts w:ascii="Times New Roman" w:hAnsi="Times New Roman"/>
          <w:b/>
          <w:bCs/>
          <w:highlight w:val="yellow"/>
        </w:rPr>
      </w:pPr>
    </w:p>
    <w:p w:rsidR="00821B52" w:rsidRPr="008D325A" w:rsidRDefault="00821B52" w:rsidP="00821B52">
      <w:pPr>
        <w:rPr>
          <w:rFonts w:ascii="Times New Roman" w:hAnsi="Times New Roman"/>
          <w:b/>
          <w:bCs/>
          <w:highlight w:val="yellow"/>
        </w:rPr>
      </w:pPr>
    </w:p>
    <w:p w:rsidR="00821B52" w:rsidRPr="008D325A" w:rsidRDefault="00821B52" w:rsidP="00821B52">
      <w:pPr>
        <w:rPr>
          <w:rFonts w:ascii="Times New Roman" w:hAnsi="Times New Roman"/>
          <w:b/>
          <w:bCs/>
          <w:highlight w:val="yellow"/>
        </w:rPr>
      </w:pPr>
    </w:p>
    <w:p w:rsidR="00A55878" w:rsidRPr="008D325A" w:rsidRDefault="00A55878" w:rsidP="007B7E49">
      <w:pPr>
        <w:tabs>
          <w:tab w:val="left" w:pos="720"/>
        </w:tabs>
        <w:spacing w:after="120"/>
        <w:contextualSpacing/>
        <w:rPr>
          <w:rFonts w:ascii="Times New Roman" w:hAnsi="Times New Roman"/>
          <w:b/>
          <w:sz w:val="23"/>
          <w:szCs w:val="23"/>
          <w:highlight w:val="yellow"/>
        </w:rPr>
      </w:pPr>
    </w:p>
    <w:p w:rsidR="00BC2F37" w:rsidRPr="008D325A" w:rsidRDefault="00BC2F37" w:rsidP="001473E8">
      <w:pPr>
        <w:rPr>
          <w:rFonts w:ascii="Times New Roman" w:hAnsi="Times New Roman"/>
          <w:b/>
          <w:bCs/>
          <w:sz w:val="23"/>
          <w:szCs w:val="23"/>
          <w:highlight w:val="yellow"/>
        </w:rPr>
      </w:pPr>
      <w:r w:rsidRPr="008D325A">
        <w:rPr>
          <w:noProof/>
          <w:sz w:val="23"/>
          <w:szCs w:val="23"/>
          <w:highlight w:val="yellow"/>
          <w:lang w:val="en-US"/>
        </w:rPr>
        <w:lastRenderedPageBreak/>
        <w:drawing>
          <wp:inline distT="0" distB="0" distL="0" distR="0" wp14:anchorId="73D236B7" wp14:editId="6289F9E6">
            <wp:extent cx="5319422" cy="3530379"/>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C2F37" w:rsidRPr="008D325A" w:rsidRDefault="00BC2F37" w:rsidP="001473E8">
      <w:pPr>
        <w:rPr>
          <w:rFonts w:ascii="Times New Roman" w:hAnsi="Times New Roman"/>
          <w:b/>
          <w:bCs/>
          <w:sz w:val="23"/>
          <w:szCs w:val="23"/>
          <w:highlight w:val="yellow"/>
        </w:rPr>
      </w:pPr>
    </w:p>
    <w:p w:rsidR="00ED3C0C" w:rsidRPr="008D325A" w:rsidRDefault="007104F0" w:rsidP="00ED3C0C">
      <w:pPr>
        <w:pStyle w:val="ListParagraph"/>
        <w:numPr>
          <w:ilvl w:val="0"/>
          <w:numId w:val="5"/>
        </w:numPr>
        <w:rPr>
          <w:rFonts w:ascii="Times New Roman" w:hAnsi="Times New Roman"/>
          <w:b/>
          <w:bCs/>
          <w:sz w:val="24"/>
          <w:szCs w:val="24"/>
          <w:lang w:val="sr-Cyrl-CS"/>
        </w:rPr>
      </w:pPr>
      <w:r w:rsidRPr="008D325A">
        <w:rPr>
          <w:rFonts w:ascii="Times New Roman" w:hAnsi="Times New Roman"/>
          <w:b/>
          <w:bCs/>
          <w:sz w:val="24"/>
          <w:szCs w:val="24"/>
          <w:lang w:val="sr-Cyrl-CS"/>
        </w:rPr>
        <w:t>Образложење укупних расхода и издатака буџета</w:t>
      </w:r>
    </w:p>
    <w:p w:rsidR="007104F0" w:rsidRPr="008D325A" w:rsidRDefault="007104F0" w:rsidP="00CC0F16">
      <w:pPr>
        <w:tabs>
          <w:tab w:val="clear" w:pos="1440"/>
          <w:tab w:val="left" w:pos="709"/>
        </w:tabs>
        <w:rPr>
          <w:rFonts w:ascii="Times New Roman" w:hAnsi="Times New Roman"/>
          <w:szCs w:val="24"/>
        </w:rPr>
      </w:pPr>
      <w:r w:rsidRPr="008D325A">
        <w:rPr>
          <w:rFonts w:ascii="Times New Roman" w:hAnsi="Times New Roman"/>
          <w:szCs w:val="24"/>
        </w:rPr>
        <w:tab/>
        <w:t xml:space="preserve">Приликом планирања расхода и издатака за сваког буџетског корисника, пошло се од важеће организационе и функционалне структуре, као и надлежности корисника према Закону о министарствима. </w:t>
      </w:r>
    </w:p>
    <w:p w:rsidR="007104F0" w:rsidRPr="008D325A" w:rsidRDefault="007104F0" w:rsidP="00CC0F16">
      <w:pPr>
        <w:tabs>
          <w:tab w:val="clear" w:pos="1440"/>
          <w:tab w:val="left" w:pos="709"/>
        </w:tabs>
        <w:rPr>
          <w:rFonts w:ascii="Times New Roman" w:hAnsi="Times New Roman"/>
          <w:szCs w:val="24"/>
        </w:rPr>
      </w:pPr>
      <w:r w:rsidRPr="008D325A">
        <w:rPr>
          <w:rFonts w:ascii="Times New Roman" w:hAnsi="Times New Roman"/>
          <w:szCs w:val="24"/>
        </w:rPr>
        <w:tab/>
        <w:t xml:space="preserve">Ограничењима расхода обухваћени су расходи и издаци корисника који се финансирају из буџетских прихода, домаћег и страног пројектног задуживања. </w:t>
      </w:r>
    </w:p>
    <w:p w:rsidR="00D95FBC" w:rsidRPr="008D325A" w:rsidRDefault="007104F0" w:rsidP="00CC0F16">
      <w:pPr>
        <w:tabs>
          <w:tab w:val="clear" w:pos="1440"/>
          <w:tab w:val="left" w:pos="709"/>
        </w:tabs>
        <w:rPr>
          <w:rFonts w:ascii="Times New Roman" w:hAnsi="Times New Roman"/>
          <w:szCs w:val="24"/>
        </w:rPr>
      </w:pPr>
      <w:r w:rsidRPr="008D325A">
        <w:rPr>
          <w:rFonts w:ascii="Times New Roman" w:hAnsi="Times New Roman"/>
          <w:szCs w:val="24"/>
        </w:rPr>
        <w:tab/>
        <w:t>Расходи и издаци приказани по бруто принципу обухватају поред расхода и издатака који се финансирају из општих прихода буџета и оне расходе и издатке које корисници буџетских средстава финансирају из донација, домаћих и међународних кредита, као и прихода које</w:t>
      </w:r>
      <w:r w:rsidR="00540346" w:rsidRPr="008D325A">
        <w:rPr>
          <w:rFonts w:ascii="Times New Roman" w:hAnsi="Times New Roman"/>
          <w:szCs w:val="24"/>
        </w:rPr>
        <w:t xml:space="preserve"> </w:t>
      </w:r>
      <w:r w:rsidRPr="008D325A">
        <w:rPr>
          <w:rFonts w:ascii="Times New Roman" w:hAnsi="Times New Roman"/>
          <w:szCs w:val="24"/>
        </w:rPr>
        <w:t xml:space="preserve"> корисници остваре продајом добара и услуга</w:t>
      </w:r>
      <w:r w:rsidR="00540346" w:rsidRPr="008D325A">
        <w:rPr>
          <w:rFonts w:ascii="Times New Roman" w:hAnsi="Times New Roman"/>
          <w:szCs w:val="24"/>
        </w:rPr>
        <w:t xml:space="preserve"> у складу са Законом о буџетском систему </w:t>
      </w:r>
      <w:r w:rsidR="00A11FD8" w:rsidRPr="008D325A">
        <w:rPr>
          <w:rFonts w:ascii="Times New Roman" w:hAnsi="Times New Roman"/>
          <w:szCs w:val="24"/>
        </w:rPr>
        <w:t>и других извора финансирања.</w:t>
      </w:r>
    </w:p>
    <w:p w:rsidR="00D0499B" w:rsidRPr="008D325A" w:rsidRDefault="00D0499B" w:rsidP="007104F0">
      <w:pPr>
        <w:tabs>
          <w:tab w:val="left" w:pos="720"/>
        </w:tabs>
        <w:rPr>
          <w:rFonts w:ascii="Times New Roman" w:hAnsi="Times New Roman"/>
          <w:b/>
          <w:bCs/>
          <w:szCs w:val="24"/>
          <w:highlight w:val="yellow"/>
        </w:rPr>
      </w:pPr>
    </w:p>
    <w:p w:rsidR="00946294" w:rsidRPr="008D325A" w:rsidRDefault="007104F0" w:rsidP="007E6653">
      <w:pPr>
        <w:shd w:val="clear" w:color="auto" w:fill="FFFFFF" w:themeFill="background1"/>
        <w:tabs>
          <w:tab w:val="left" w:pos="720"/>
        </w:tabs>
        <w:rPr>
          <w:rFonts w:asciiTheme="minorHAnsi" w:hAnsiTheme="minorHAnsi"/>
          <w:szCs w:val="24"/>
        </w:rPr>
      </w:pPr>
      <w:r w:rsidRPr="008D325A">
        <w:rPr>
          <w:rFonts w:ascii="Times New Roman" w:hAnsi="Times New Roman"/>
          <w:b/>
          <w:bCs/>
          <w:szCs w:val="24"/>
        </w:rPr>
        <w:t xml:space="preserve">Табела </w:t>
      </w:r>
      <w:r w:rsidR="00236FF2" w:rsidRPr="008D325A">
        <w:rPr>
          <w:rFonts w:ascii="Times New Roman" w:hAnsi="Times New Roman"/>
          <w:b/>
          <w:bCs/>
          <w:szCs w:val="24"/>
        </w:rPr>
        <w:t>4</w:t>
      </w:r>
      <w:r w:rsidRPr="008D325A">
        <w:rPr>
          <w:rFonts w:ascii="Times New Roman" w:hAnsi="Times New Roman"/>
          <w:b/>
          <w:bCs/>
          <w:szCs w:val="24"/>
        </w:rPr>
        <w:t>:</w:t>
      </w:r>
      <w:r w:rsidRPr="008D325A">
        <w:rPr>
          <w:rFonts w:ascii="Times New Roman" w:hAnsi="Times New Roman"/>
          <w:szCs w:val="24"/>
        </w:rPr>
        <w:t xml:space="preserve"> Расходи и издаци буџета (у млрд динара)</w:t>
      </w:r>
      <w:r w:rsidRPr="008D325A">
        <w:rPr>
          <w:szCs w:val="24"/>
        </w:rPr>
        <w:t xml:space="preserve"> </w:t>
      </w:r>
    </w:p>
    <w:tbl>
      <w:tblPr>
        <w:tblW w:w="5000" w:type="pct"/>
        <w:tblLook w:val="04A0" w:firstRow="1" w:lastRow="0" w:firstColumn="1" w:lastColumn="0" w:noHBand="0" w:noVBand="1"/>
      </w:tblPr>
      <w:tblGrid>
        <w:gridCol w:w="4303"/>
        <w:gridCol w:w="1029"/>
        <w:gridCol w:w="1029"/>
        <w:gridCol w:w="935"/>
        <w:gridCol w:w="1219"/>
        <w:gridCol w:w="1281"/>
      </w:tblGrid>
      <w:tr w:rsidR="00C97A5C" w:rsidRPr="008D325A" w:rsidTr="00995840">
        <w:trPr>
          <w:trHeight w:val="780"/>
        </w:trPr>
        <w:tc>
          <w:tcPr>
            <w:tcW w:w="2197"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Расходи буџета</w:t>
            </w:r>
          </w:p>
        </w:tc>
        <w:tc>
          <w:tcPr>
            <w:tcW w:w="525" w:type="pct"/>
            <w:tcBorders>
              <w:top w:val="single" w:sz="8" w:space="0" w:color="000000"/>
              <w:left w:val="nil"/>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Буџет 2018</w:t>
            </w:r>
          </w:p>
        </w:tc>
        <w:tc>
          <w:tcPr>
            <w:tcW w:w="525" w:type="pct"/>
            <w:tcBorders>
              <w:top w:val="single" w:sz="8" w:space="0" w:color="000000"/>
              <w:left w:val="nil"/>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Буџет 2019</w:t>
            </w:r>
          </w:p>
        </w:tc>
        <w:tc>
          <w:tcPr>
            <w:tcW w:w="477" w:type="pct"/>
            <w:tcBorders>
              <w:top w:val="single" w:sz="8" w:space="0" w:color="000000"/>
              <w:left w:val="nil"/>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 xml:space="preserve">Индекс </w:t>
            </w:r>
          </w:p>
        </w:tc>
        <w:tc>
          <w:tcPr>
            <w:tcW w:w="622" w:type="pct"/>
            <w:tcBorders>
              <w:top w:val="single" w:sz="8" w:space="0" w:color="000000"/>
              <w:left w:val="nil"/>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Структура расхода буџет 2018, у %</w:t>
            </w:r>
          </w:p>
        </w:tc>
        <w:tc>
          <w:tcPr>
            <w:tcW w:w="654" w:type="pct"/>
            <w:tcBorders>
              <w:top w:val="single" w:sz="8" w:space="0" w:color="000000"/>
              <w:left w:val="nil"/>
              <w:bottom w:val="single" w:sz="8" w:space="0" w:color="000000"/>
              <w:right w:val="single" w:sz="8" w:space="0" w:color="000000"/>
            </w:tcBorders>
            <w:shd w:val="clear" w:color="000000" w:fill="C5D9F1"/>
            <w:vAlign w:val="center"/>
            <w:hideMark/>
          </w:tcPr>
          <w:p w:rsidR="00C97A5C" w:rsidRPr="008D325A" w:rsidRDefault="00C97A5C" w:rsidP="00995840">
            <w:pPr>
              <w:jc w:val="center"/>
              <w:rPr>
                <w:rFonts w:ascii="Times New Roman" w:hAnsi="Times New Roman"/>
                <w:b/>
                <w:bCs/>
                <w:color w:val="000000"/>
                <w:sz w:val="20"/>
              </w:rPr>
            </w:pPr>
            <w:r w:rsidRPr="008D325A">
              <w:rPr>
                <w:rFonts w:ascii="Times New Roman" w:hAnsi="Times New Roman"/>
                <w:b/>
                <w:bCs/>
                <w:color w:val="000000"/>
                <w:sz w:val="20"/>
              </w:rPr>
              <w:t>Структура расхода буџет 2019, у %</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b/>
                <w:bCs/>
                <w:color w:val="000000"/>
                <w:sz w:val="20"/>
              </w:rPr>
            </w:pPr>
            <w:r w:rsidRPr="008D325A">
              <w:rPr>
                <w:rFonts w:ascii="Times New Roman" w:hAnsi="Times New Roman"/>
                <w:b/>
                <w:bCs/>
                <w:color w:val="000000"/>
                <w:sz w:val="20"/>
              </w:rPr>
              <w:t>УКУПНИ ИЗДАЦИ</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1.206,85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1.269,09</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1,05</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100,00%</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100,00%</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b/>
                <w:bCs/>
                <w:color w:val="000000"/>
                <w:sz w:val="20"/>
              </w:rPr>
            </w:pPr>
            <w:r w:rsidRPr="008D325A">
              <w:rPr>
                <w:rFonts w:ascii="Times New Roman" w:hAnsi="Times New Roman"/>
                <w:b/>
                <w:bCs/>
                <w:color w:val="000000"/>
                <w:sz w:val="20"/>
              </w:rPr>
              <w:t>Текући расходи</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1.052,02</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1.084,02</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1,03</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87,17%</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85,42%</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 xml:space="preserve">Расходи за запослене </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272,31</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294,44</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1,08</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22,56%</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23,20%</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 xml:space="preserve">Расходи за коришћење услуга и роба </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119,67</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128,02</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1,07</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9,92%</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10,09%</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Расходи по основу отплате камата</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117,82</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103,13</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0,88</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9,76%</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8,13%</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Субвенције</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89,35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100,29</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1,12</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7,40%</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7,90%</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Донације страним владама</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0,01</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0,12</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8,17</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0,00%</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0,01%</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Дотације међународним организацијама</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4,03</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3,97</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0,99</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0,33%</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0,31%</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Трансфери осталим нивоима власти</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79,52</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86,58</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1,09</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6,59%</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6,82%</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 xml:space="preserve">Трансфери организацијама за обавезно социјално осигурање </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222,15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221,95</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1,00</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18,41%</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17,49%</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Социјална заштита из буџета</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114,94</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113,33</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0,99</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9,52%</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8,93%</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lastRenderedPageBreak/>
              <w:t>Остале дотације и трансфери</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4,15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5,03</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1,21</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0,34%</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0,40%</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color w:val="000000"/>
                <w:sz w:val="20"/>
              </w:rPr>
            </w:pPr>
            <w:r w:rsidRPr="008D325A">
              <w:rPr>
                <w:rFonts w:ascii="Times New Roman" w:hAnsi="Times New Roman"/>
                <w:color w:val="000000"/>
                <w:sz w:val="20"/>
              </w:rPr>
              <w:t>Остали текући расходи</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28,07</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color w:val="000000"/>
                <w:sz w:val="20"/>
              </w:rPr>
            </w:pPr>
            <w:r w:rsidRPr="008D325A">
              <w:rPr>
                <w:rFonts w:ascii="Times New Roman" w:hAnsi="Times New Roman"/>
                <w:color w:val="000000"/>
                <w:sz w:val="20"/>
              </w:rPr>
              <w:t>27,15</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0,97</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2,33%</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2,14%</w:t>
            </w:r>
          </w:p>
        </w:tc>
      </w:tr>
      <w:tr w:rsidR="00C97A5C" w:rsidRPr="008D325A" w:rsidTr="00995840">
        <w:trPr>
          <w:trHeight w:val="315"/>
        </w:trPr>
        <w:tc>
          <w:tcPr>
            <w:tcW w:w="2197" w:type="pct"/>
            <w:tcBorders>
              <w:top w:val="nil"/>
              <w:left w:val="single" w:sz="8" w:space="0" w:color="000000"/>
              <w:bottom w:val="single" w:sz="8" w:space="0" w:color="000000"/>
              <w:right w:val="single" w:sz="8" w:space="0" w:color="000000"/>
            </w:tcBorders>
            <w:shd w:val="clear" w:color="auto" w:fill="auto"/>
            <w:noWrap/>
            <w:vAlign w:val="center"/>
            <w:hideMark/>
          </w:tcPr>
          <w:p w:rsidR="00C97A5C" w:rsidRPr="008D325A" w:rsidRDefault="00C97A5C" w:rsidP="00995840">
            <w:pPr>
              <w:rPr>
                <w:rFonts w:ascii="Times New Roman" w:hAnsi="Times New Roman"/>
                <w:b/>
                <w:bCs/>
                <w:color w:val="000000"/>
                <w:sz w:val="20"/>
              </w:rPr>
            </w:pPr>
            <w:r w:rsidRPr="008D325A">
              <w:rPr>
                <w:rFonts w:ascii="Times New Roman" w:hAnsi="Times New Roman"/>
                <w:b/>
                <w:bCs/>
                <w:color w:val="000000"/>
                <w:sz w:val="20"/>
              </w:rPr>
              <w:t>Издаци за нефинансијску имовину</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127,23</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165,52</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1,30</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10,54%</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13,04%</w:t>
            </w:r>
          </w:p>
        </w:tc>
      </w:tr>
      <w:tr w:rsidR="00C97A5C" w:rsidRPr="008D325A" w:rsidTr="00995840">
        <w:trPr>
          <w:trHeight w:val="52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b/>
                <w:color w:val="000000"/>
                <w:sz w:val="20"/>
              </w:rPr>
            </w:pPr>
            <w:r w:rsidRPr="008D325A">
              <w:rPr>
                <w:rFonts w:ascii="Times New Roman" w:hAnsi="Times New Roman"/>
                <w:b/>
                <w:color w:val="000000"/>
                <w:sz w:val="20"/>
              </w:rPr>
              <w:t xml:space="preserve">Издаци за отплату главнице (у циљу спровођења јавних политика)                                           </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color w:val="000000"/>
                <w:sz w:val="20"/>
              </w:rPr>
            </w:pPr>
            <w:r w:rsidRPr="008D325A">
              <w:rPr>
                <w:rFonts w:ascii="Times New Roman" w:hAnsi="Times New Roman"/>
                <w:b/>
                <w:color w:val="000000"/>
                <w:sz w:val="20"/>
              </w:rPr>
              <w:t>20,95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color w:val="000000"/>
                <w:sz w:val="20"/>
              </w:rPr>
            </w:pPr>
            <w:r w:rsidRPr="008D325A">
              <w:rPr>
                <w:rFonts w:ascii="Times New Roman" w:hAnsi="Times New Roman"/>
                <w:b/>
                <w:color w:val="000000"/>
                <w:sz w:val="20"/>
              </w:rPr>
              <w:t>13,00</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0,62</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1,74%</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1,02%</w:t>
            </w:r>
          </w:p>
        </w:tc>
      </w:tr>
      <w:tr w:rsidR="00C97A5C" w:rsidRPr="008D325A" w:rsidTr="00995840">
        <w:trPr>
          <w:trHeight w:val="525"/>
        </w:trPr>
        <w:tc>
          <w:tcPr>
            <w:tcW w:w="2197" w:type="pct"/>
            <w:tcBorders>
              <w:top w:val="nil"/>
              <w:left w:val="single" w:sz="8" w:space="0" w:color="000000"/>
              <w:bottom w:val="single" w:sz="8" w:space="0" w:color="000000"/>
              <w:right w:val="single" w:sz="8" w:space="0" w:color="000000"/>
            </w:tcBorders>
            <w:shd w:val="clear" w:color="auto" w:fill="auto"/>
            <w:vAlign w:val="center"/>
            <w:hideMark/>
          </w:tcPr>
          <w:p w:rsidR="00C97A5C" w:rsidRPr="008D325A" w:rsidRDefault="00C97A5C" w:rsidP="00995840">
            <w:pPr>
              <w:rPr>
                <w:rFonts w:ascii="Times New Roman" w:hAnsi="Times New Roman"/>
                <w:b/>
                <w:color w:val="000000"/>
                <w:sz w:val="20"/>
              </w:rPr>
            </w:pPr>
            <w:r w:rsidRPr="008D325A">
              <w:rPr>
                <w:rFonts w:ascii="Times New Roman" w:hAnsi="Times New Roman"/>
                <w:b/>
                <w:color w:val="000000"/>
                <w:sz w:val="20"/>
              </w:rPr>
              <w:t xml:space="preserve">Издаци за набавку финансијске имовине  (у циљу спровођења јавних политика)                                           </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color w:val="000000"/>
                <w:sz w:val="20"/>
              </w:rPr>
            </w:pPr>
            <w:r w:rsidRPr="008D325A">
              <w:rPr>
                <w:rFonts w:ascii="Times New Roman" w:hAnsi="Times New Roman"/>
                <w:b/>
                <w:color w:val="000000"/>
                <w:sz w:val="20"/>
              </w:rPr>
              <w:t>6,65</w:t>
            </w:r>
          </w:p>
        </w:tc>
        <w:tc>
          <w:tcPr>
            <w:tcW w:w="525"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color w:val="000000"/>
                <w:sz w:val="20"/>
              </w:rPr>
            </w:pPr>
            <w:r w:rsidRPr="008D325A">
              <w:rPr>
                <w:rFonts w:ascii="Times New Roman" w:hAnsi="Times New Roman"/>
                <w:b/>
                <w:color w:val="000000"/>
                <w:sz w:val="20"/>
              </w:rPr>
              <w:t>6,56</w:t>
            </w:r>
          </w:p>
        </w:tc>
        <w:tc>
          <w:tcPr>
            <w:tcW w:w="477"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0,99</w:t>
            </w:r>
          </w:p>
        </w:tc>
        <w:tc>
          <w:tcPr>
            <w:tcW w:w="622"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0,55%</w:t>
            </w:r>
          </w:p>
        </w:tc>
        <w:tc>
          <w:tcPr>
            <w:tcW w:w="654" w:type="pct"/>
            <w:tcBorders>
              <w:top w:val="nil"/>
              <w:left w:val="nil"/>
              <w:bottom w:val="single" w:sz="8" w:space="0" w:color="000000"/>
              <w:right w:val="single" w:sz="8" w:space="0" w:color="000000"/>
            </w:tcBorders>
            <w:shd w:val="clear" w:color="auto" w:fill="auto"/>
            <w:noWrap/>
            <w:vAlign w:val="center"/>
            <w:hideMark/>
          </w:tcPr>
          <w:p w:rsidR="00C97A5C" w:rsidRPr="008D325A" w:rsidRDefault="00C97A5C" w:rsidP="00995840">
            <w:pPr>
              <w:jc w:val="right"/>
              <w:rPr>
                <w:rFonts w:ascii="Times New Roman" w:hAnsi="Times New Roman"/>
                <w:b/>
                <w:bCs/>
                <w:color w:val="000000"/>
                <w:sz w:val="20"/>
              </w:rPr>
            </w:pPr>
            <w:r w:rsidRPr="008D325A">
              <w:rPr>
                <w:rFonts w:ascii="Times New Roman" w:hAnsi="Times New Roman"/>
                <w:b/>
                <w:bCs/>
                <w:color w:val="000000"/>
                <w:sz w:val="20"/>
              </w:rPr>
              <w:t>0,52%</w:t>
            </w:r>
          </w:p>
        </w:tc>
      </w:tr>
    </w:tbl>
    <w:p w:rsidR="00C229FA" w:rsidRPr="008D325A" w:rsidRDefault="00C229FA" w:rsidP="007E6653">
      <w:pPr>
        <w:shd w:val="clear" w:color="auto" w:fill="FFFFFF" w:themeFill="background1"/>
        <w:tabs>
          <w:tab w:val="left" w:pos="720"/>
        </w:tabs>
        <w:rPr>
          <w:rFonts w:asciiTheme="minorHAnsi" w:hAnsiTheme="minorHAnsi"/>
          <w:sz w:val="23"/>
          <w:szCs w:val="23"/>
          <w:highlight w:val="yellow"/>
        </w:rPr>
      </w:pPr>
    </w:p>
    <w:p w:rsidR="00EF3A64" w:rsidRPr="008D325A" w:rsidRDefault="00BB1E10" w:rsidP="00EF3A64">
      <w:pPr>
        <w:keepNext/>
        <w:keepLines/>
        <w:widowControl w:val="0"/>
        <w:tabs>
          <w:tab w:val="left" w:pos="720"/>
          <w:tab w:val="left" w:pos="900"/>
        </w:tabs>
        <w:rPr>
          <w:rFonts w:ascii="Times New Roman" w:hAnsi="Times New Roman"/>
          <w:b/>
          <w:szCs w:val="24"/>
        </w:rPr>
      </w:pPr>
      <w:r w:rsidRPr="008D325A">
        <w:rPr>
          <w:rFonts w:ascii="Times New Roman" w:hAnsi="Times New Roman"/>
          <w:b/>
          <w:sz w:val="23"/>
          <w:szCs w:val="23"/>
        </w:rPr>
        <w:tab/>
      </w:r>
      <w:r w:rsidRPr="008D325A">
        <w:rPr>
          <w:rFonts w:ascii="Times New Roman" w:hAnsi="Times New Roman"/>
          <w:b/>
          <w:sz w:val="23"/>
          <w:szCs w:val="23"/>
        </w:rPr>
        <w:tab/>
      </w:r>
      <w:r w:rsidR="00EF3A64" w:rsidRPr="008D325A">
        <w:rPr>
          <w:rFonts w:ascii="Times New Roman" w:hAnsi="Times New Roman"/>
          <w:b/>
          <w:szCs w:val="24"/>
        </w:rPr>
        <w:t>Расходи за запослене</w:t>
      </w:r>
    </w:p>
    <w:p w:rsidR="00EF3A64" w:rsidRPr="008D325A" w:rsidRDefault="00EF3A64" w:rsidP="00EF3A64">
      <w:pPr>
        <w:tabs>
          <w:tab w:val="left" w:pos="900"/>
        </w:tabs>
        <w:rPr>
          <w:rFonts w:ascii="Times New Roman" w:hAnsi="Times New Roman"/>
          <w:szCs w:val="24"/>
        </w:rPr>
      </w:pPr>
      <w:r w:rsidRPr="008D325A">
        <w:rPr>
          <w:rFonts w:ascii="Times New Roman" w:hAnsi="Times New Roman"/>
          <w:szCs w:val="24"/>
        </w:rPr>
        <w:tab/>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 Законом о привременом уређивању основица за обрачун и исплату плата, односно зарада и других сталних примања код корисника јавних средстава, Законом о буџетском систему и другим посебним законима.</w:t>
      </w:r>
    </w:p>
    <w:p w:rsidR="00EF3A64" w:rsidRPr="008D325A" w:rsidRDefault="00EF3A64" w:rsidP="00EF3A64">
      <w:pPr>
        <w:tabs>
          <w:tab w:val="left" w:pos="900"/>
        </w:tabs>
        <w:rPr>
          <w:rFonts w:ascii="Times New Roman" w:hAnsi="Times New Roman"/>
          <w:szCs w:val="24"/>
        </w:rPr>
      </w:pPr>
      <w:r w:rsidRPr="008D325A">
        <w:rPr>
          <w:rFonts w:ascii="Times New Roman" w:hAnsi="Times New Roman"/>
          <w:szCs w:val="24"/>
        </w:rPr>
        <w:tab/>
        <w:t xml:space="preserve">Закон о платама државних службеника и намештеника се не односи на плате изабраних лица у Народној скупштини (народни посланици) и Влади, већ се на њих примењују одредбе Закона о платама у државним органима и јавним службама. </w:t>
      </w:r>
    </w:p>
    <w:p w:rsidR="00EF3A64" w:rsidRPr="008D325A" w:rsidRDefault="00EF3A64" w:rsidP="00EF3A64">
      <w:pPr>
        <w:tabs>
          <w:tab w:val="left" w:pos="900"/>
        </w:tabs>
        <w:rPr>
          <w:rFonts w:ascii="Times New Roman" w:hAnsi="Times New Roman"/>
          <w:szCs w:val="24"/>
        </w:rPr>
      </w:pPr>
      <w:r w:rsidRPr="008D325A">
        <w:rPr>
          <w:rFonts w:ascii="Times New Roman" w:hAnsi="Times New Roman"/>
          <w:szCs w:val="24"/>
        </w:rPr>
        <w:tab/>
        <w:t>На обрачун и исплату плата запослених у Министарству унутрашњих послова, Безбедносно</w:t>
      </w:r>
      <w:r w:rsidR="004A0C74">
        <w:rPr>
          <w:rFonts w:ascii="Times New Roman" w:hAnsi="Times New Roman"/>
          <w:szCs w:val="24"/>
          <w:lang w:val="sr-Cyrl-RS"/>
        </w:rPr>
        <w:t>-</w:t>
      </w:r>
      <w:r w:rsidRPr="008D325A">
        <w:rPr>
          <w:rFonts w:ascii="Times New Roman" w:hAnsi="Times New Roman"/>
          <w:szCs w:val="24"/>
        </w:rPr>
        <w:t xml:space="preserve">информативној агенцији, Министарству одбране, као и за носиоце правосудних функција (судије и тужиоци) примењују се одредбе посебних закона. </w:t>
      </w:r>
    </w:p>
    <w:p w:rsidR="00EF3A64" w:rsidRPr="008D325A" w:rsidRDefault="00EF3A64" w:rsidP="00EF3A64">
      <w:pPr>
        <w:tabs>
          <w:tab w:val="left" w:pos="900"/>
        </w:tabs>
        <w:rPr>
          <w:rFonts w:ascii="Times New Roman" w:hAnsi="Times New Roman"/>
          <w:szCs w:val="24"/>
        </w:rPr>
      </w:pPr>
      <w:r w:rsidRPr="008D325A">
        <w:rPr>
          <w:rFonts w:ascii="Times New Roman" w:hAnsi="Times New Roman"/>
          <w:szCs w:val="24"/>
        </w:rPr>
        <w:tab/>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је регулисан њихов рад.</w:t>
      </w:r>
    </w:p>
    <w:p w:rsidR="00EF3A64" w:rsidRPr="008D325A" w:rsidRDefault="00EF3A64" w:rsidP="00EF3A64">
      <w:pPr>
        <w:tabs>
          <w:tab w:val="left" w:pos="900"/>
        </w:tabs>
        <w:ind w:firstLine="851"/>
        <w:rPr>
          <w:rFonts w:ascii="Times New Roman" w:hAnsi="Times New Roman"/>
          <w:szCs w:val="24"/>
        </w:rPr>
      </w:pPr>
      <w:r w:rsidRPr="008D325A">
        <w:rPr>
          <w:rFonts w:ascii="Times New Roman" w:hAnsi="Times New Roman"/>
          <w:szCs w:val="24"/>
        </w:rPr>
        <w:t>У 2019. години основица за обрачун и исплату плата судија исплаћиваће се: 70% из извора 01 – Општи приходи и примања буџета, а 30% из прихода остварених по основу наплате судских такси које припадају правосудним органима.</w:t>
      </w:r>
    </w:p>
    <w:p w:rsidR="00EF3A64" w:rsidRPr="008D325A" w:rsidRDefault="00EF3A64" w:rsidP="00EF3A64">
      <w:pPr>
        <w:tabs>
          <w:tab w:val="left" w:pos="900"/>
        </w:tabs>
        <w:ind w:firstLine="851"/>
        <w:rPr>
          <w:rFonts w:ascii="Times New Roman" w:hAnsi="Times New Roman"/>
          <w:szCs w:val="24"/>
        </w:rPr>
      </w:pPr>
      <w:r w:rsidRPr="008D325A">
        <w:rPr>
          <w:rFonts w:ascii="Times New Roman" w:hAnsi="Times New Roman"/>
          <w:szCs w:val="24"/>
        </w:rPr>
        <w:t>Маса плата, односно зарада, планирана је у складу са Законом о буџетском систему, односно забраном запошљавања, као и на основу основица које су утврђене у складу са Законом о привременом уређивању основица за обрачун и исплату плата, односно зарада и других сталних примања код корисника јавних средстава.</w:t>
      </w:r>
    </w:p>
    <w:p w:rsidR="00EF3A64" w:rsidRPr="008D325A" w:rsidRDefault="00EF3A64" w:rsidP="00EF3A64">
      <w:pPr>
        <w:tabs>
          <w:tab w:val="left" w:pos="900"/>
        </w:tabs>
        <w:spacing w:before="120" w:after="120"/>
        <w:rPr>
          <w:rFonts w:ascii="Times New Roman" w:hAnsi="Times New Roman"/>
          <w:szCs w:val="24"/>
        </w:rPr>
      </w:pPr>
      <w:r w:rsidRPr="008D325A">
        <w:rPr>
          <w:rFonts w:ascii="Times New Roman" w:hAnsi="Times New Roman"/>
          <w:szCs w:val="24"/>
        </w:rPr>
        <w:tab/>
        <w:t>Средства за плате су планирана између осталог и на основу следећих параметара:</w:t>
      </w:r>
    </w:p>
    <w:p w:rsidR="00EF3A64" w:rsidRPr="008D325A" w:rsidRDefault="00EF3A64" w:rsidP="00EF3A64">
      <w:pPr>
        <w:pStyle w:val="ListParagraph"/>
        <w:numPr>
          <w:ilvl w:val="0"/>
          <w:numId w:val="12"/>
        </w:numPr>
        <w:tabs>
          <w:tab w:val="left" w:pos="900"/>
        </w:tabs>
        <w:spacing w:before="120" w:after="120"/>
        <w:ind w:hanging="11"/>
        <w:rPr>
          <w:rFonts w:ascii="Times New Roman" w:hAnsi="Times New Roman"/>
          <w:sz w:val="24"/>
          <w:szCs w:val="24"/>
          <w:lang w:val="sr-Cyrl-CS"/>
        </w:rPr>
      </w:pPr>
      <w:r w:rsidRPr="008D325A">
        <w:rPr>
          <w:rFonts w:ascii="Times New Roman" w:hAnsi="Times New Roman"/>
          <w:sz w:val="24"/>
          <w:szCs w:val="24"/>
          <w:lang w:val="sr-Cyrl-CS"/>
        </w:rPr>
        <w:t>постојећег броја запослених;</w:t>
      </w:r>
    </w:p>
    <w:p w:rsidR="00EF3A64" w:rsidRPr="008D325A" w:rsidRDefault="00EF3A64" w:rsidP="00EF3A64">
      <w:pPr>
        <w:pStyle w:val="ListParagraph"/>
        <w:numPr>
          <w:ilvl w:val="0"/>
          <w:numId w:val="12"/>
        </w:numPr>
        <w:tabs>
          <w:tab w:val="left" w:pos="900"/>
        </w:tabs>
        <w:spacing w:before="120" w:after="120"/>
        <w:ind w:hanging="11"/>
        <w:rPr>
          <w:rFonts w:ascii="Times New Roman" w:hAnsi="Times New Roman"/>
          <w:sz w:val="24"/>
          <w:szCs w:val="24"/>
          <w:lang w:val="sr-Cyrl-CS"/>
        </w:rPr>
      </w:pPr>
      <w:r w:rsidRPr="008D325A">
        <w:rPr>
          <w:rFonts w:ascii="Times New Roman" w:hAnsi="Times New Roman"/>
          <w:sz w:val="24"/>
          <w:szCs w:val="24"/>
          <w:lang w:val="sr-Cyrl-CS"/>
        </w:rPr>
        <w:t>увећања плата у одговарајућем проценту;</w:t>
      </w:r>
    </w:p>
    <w:p w:rsidR="00EF3A64" w:rsidRPr="008D325A" w:rsidRDefault="00EF3A64" w:rsidP="00EF3A64">
      <w:pPr>
        <w:pStyle w:val="ListParagraph"/>
        <w:numPr>
          <w:ilvl w:val="0"/>
          <w:numId w:val="12"/>
        </w:numPr>
        <w:tabs>
          <w:tab w:val="left" w:pos="900"/>
        </w:tabs>
        <w:spacing w:before="120" w:after="120"/>
        <w:ind w:hanging="11"/>
        <w:rPr>
          <w:rFonts w:ascii="Times New Roman" w:hAnsi="Times New Roman"/>
          <w:sz w:val="24"/>
          <w:szCs w:val="24"/>
          <w:lang w:val="sr-Cyrl-CS"/>
        </w:rPr>
      </w:pPr>
      <w:r w:rsidRPr="008D325A">
        <w:rPr>
          <w:rFonts w:ascii="Times New Roman" w:hAnsi="Times New Roman"/>
          <w:sz w:val="24"/>
          <w:szCs w:val="24"/>
          <w:lang w:val="sr-Cyrl-CS"/>
        </w:rPr>
        <w:t>умањења доприноса за осигурање од незапослености на терет послодавца.</w:t>
      </w:r>
    </w:p>
    <w:p w:rsidR="00EF3A64" w:rsidRPr="008D325A" w:rsidRDefault="00EF3A64" w:rsidP="00EF3A64">
      <w:pPr>
        <w:pStyle w:val="Default"/>
        <w:tabs>
          <w:tab w:val="left" w:pos="709"/>
          <w:tab w:val="left" w:pos="900"/>
        </w:tabs>
        <w:spacing w:before="120" w:after="120"/>
        <w:ind w:firstLine="426"/>
        <w:rPr>
          <w:rFonts w:ascii="Times New Roman" w:hAnsi="Times New Roman" w:cs="Times New Roman"/>
          <w:lang w:val="sr-Cyrl-CS"/>
        </w:rPr>
      </w:pPr>
      <w:r w:rsidRPr="008D325A">
        <w:rPr>
          <w:rFonts w:ascii="Times New Roman" w:hAnsi="Times New Roman" w:cs="Times New Roman"/>
          <w:color w:val="FF0000"/>
          <w:lang w:val="sr-Cyrl-CS"/>
        </w:rPr>
        <w:tab/>
        <w:t xml:space="preserve">   </w:t>
      </w:r>
      <w:r w:rsidRPr="008D325A">
        <w:rPr>
          <w:rFonts w:ascii="Times New Roman" w:hAnsi="Times New Roman" w:cs="Times New Roman"/>
          <w:lang w:val="sr-Cyrl-CS"/>
        </w:rPr>
        <w:t xml:space="preserve">У 2019. години планира се увећање плата: </w:t>
      </w:r>
    </w:p>
    <w:p w:rsidR="00EF3A64" w:rsidRPr="008D325A" w:rsidRDefault="00EF3A64" w:rsidP="00BB1E10">
      <w:pPr>
        <w:pStyle w:val="Default"/>
        <w:tabs>
          <w:tab w:val="left" w:pos="900"/>
        </w:tabs>
        <w:ind w:left="706"/>
        <w:rPr>
          <w:rFonts w:ascii="Times New Roman" w:hAnsi="Times New Roman" w:cs="Times New Roman"/>
          <w:lang w:val="sr-Cyrl-CS"/>
        </w:rPr>
      </w:pPr>
      <w:r w:rsidRPr="008D325A">
        <w:rPr>
          <w:rFonts w:ascii="Times New Roman" w:hAnsi="Times New Roman" w:cs="Times New Roman"/>
          <w:b/>
          <w:bCs/>
          <w:lang w:val="sr-Cyrl-CS"/>
        </w:rPr>
        <w:t xml:space="preserve">1. за 9% код следећих буџетских корисника: </w:t>
      </w:r>
    </w:p>
    <w:p w:rsidR="00EF3A64" w:rsidRPr="008D325A" w:rsidRDefault="00EF3A64" w:rsidP="00EF3A64">
      <w:pPr>
        <w:pStyle w:val="Default"/>
        <w:tabs>
          <w:tab w:val="left" w:pos="900"/>
        </w:tabs>
        <w:spacing w:before="120" w:after="120"/>
        <w:ind w:firstLine="709"/>
        <w:jc w:val="both"/>
        <w:rPr>
          <w:rFonts w:ascii="Times New Roman" w:hAnsi="Times New Roman" w:cs="Times New Roman"/>
          <w:strike/>
          <w:lang w:val="sr-Cyrl-CS"/>
        </w:rPr>
      </w:pPr>
      <w:r w:rsidRPr="008D325A">
        <w:rPr>
          <w:rFonts w:ascii="Times New Roman" w:hAnsi="Times New Roman" w:cs="Times New Roman"/>
          <w:lang w:val="sr-Cyrl-CS"/>
        </w:rPr>
        <w:t>- Министарства унутрашњих послова</w:t>
      </w:r>
      <w:r w:rsidR="001C0CCD" w:rsidRPr="008D325A">
        <w:rPr>
          <w:rFonts w:ascii="Times New Roman" w:hAnsi="Times New Roman" w:cs="Times New Roman"/>
          <w:lang w:val="sr-Cyrl-CS"/>
        </w:rPr>
        <w:t xml:space="preserve"> (осим за државне службенике и намештенике)</w:t>
      </w:r>
      <w:r w:rsidRPr="008D325A">
        <w:rPr>
          <w:rFonts w:ascii="Times New Roman" w:hAnsi="Times New Roman" w:cs="Times New Roman"/>
          <w:lang w:val="sr-Cyrl-CS"/>
        </w:rPr>
        <w:t>, Безбедносно-информативне агенције и Министарства одбране;</w:t>
      </w:r>
    </w:p>
    <w:p w:rsidR="00EF3A64" w:rsidRPr="008D325A" w:rsidRDefault="00EF3A64" w:rsidP="00EF3A64">
      <w:pPr>
        <w:pStyle w:val="Default"/>
        <w:spacing w:before="120" w:after="120"/>
        <w:ind w:left="709"/>
        <w:jc w:val="both"/>
        <w:rPr>
          <w:rFonts w:ascii="Times New Roman" w:hAnsi="Times New Roman" w:cs="Times New Roman"/>
          <w:lang w:val="sr-Cyrl-CS"/>
        </w:rPr>
      </w:pPr>
      <w:r w:rsidRPr="008D325A">
        <w:rPr>
          <w:rFonts w:ascii="Times New Roman" w:hAnsi="Times New Roman" w:cs="Times New Roman"/>
          <w:lang w:val="sr-Cyrl-CS"/>
        </w:rPr>
        <w:t xml:space="preserve">-  у установама основног и средњег образовања и ученичког и студентског стандарда; </w:t>
      </w:r>
    </w:p>
    <w:p w:rsidR="00EF3A64" w:rsidRPr="008D325A" w:rsidRDefault="00EF3A64" w:rsidP="00EF3A64">
      <w:pPr>
        <w:pStyle w:val="ListParagraph"/>
        <w:rPr>
          <w:rFonts w:ascii="Times New Roman" w:hAnsi="Times New Roman"/>
          <w:sz w:val="24"/>
          <w:szCs w:val="24"/>
          <w:lang w:val="sr-Cyrl-CS"/>
        </w:rPr>
      </w:pPr>
      <w:r w:rsidRPr="008D325A">
        <w:rPr>
          <w:rFonts w:ascii="Times New Roman" w:hAnsi="Times New Roman"/>
          <w:sz w:val="24"/>
          <w:szCs w:val="24"/>
          <w:lang w:val="sr-Cyrl-CS"/>
        </w:rPr>
        <w:t>-  код високошколских установа, као и истраживачима (осим истраживача у научно – истраживачкој установи који право на повећање плата остварују у високошколској установи) и помоћном особљу у научно - истраживачкој делатности.</w:t>
      </w:r>
    </w:p>
    <w:p w:rsidR="00EF3A64" w:rsidRPr="008D325A" w:rsidRDefault="00EF3A64" w:rsidP="00EF3A64">
      <w:pPr>
        <w:pStyle w:val="ListParagraph"/>
        <w:rPr>
          <w:rFonts w:ascii="Times New Roman" w:hAnsi="Times New Roman"/>
          <w:sz w:val="24"/>
          <w:szCs w:val="24"/>
          <w:lang w:val="sr-Cyrl-CS"/>
        </w:rPr>
      </w:pPr>
      <w:r w:rsidRPr="008D325A">
        <w:rPr>
          <w:rFonts w:ascii="Times New Roman" w:hAnsi="Times New Roman"/>
          <w:sz w:val="24"/>
          <w:szCs w:val="24"/>
          <w:lang w:val="sr-Cyrl-CS"/>
        </w:rPr>
        <w:t>-  у установама социјалне заштите.</w:t>
      </w:r>
    </w:p>
    <w:p w:rsidR="00EF3A64" w:rsidRPr="008D325A" w:rsidRDefault="00EF3A64" w:rsidP="00EF3A64">
      <w:pPr>
        <w:pStyle w:val="Default"/>
        <w:tabs>
          <w:tab w:val="left" w:pos="900"/>
        </w:tabs>
        <w:spacing w:before="120" w:after="120"/>
        <w:ind w:left="426" w:firstLine="283"/>
        <w:rPr>
          <w:rFonts w:ascii="Times New Roman" w:hAnsi="Times New Roman" w:cs="Times New Roman"/>
          <w:b/>
          <w:bCs/>
          <w:lang w:val="sr-Cyrl-CS"/>
        </w:rPr>
      </w:pPr>
      <w:r w:rsidRPr="008D325A">
        <w:rPr>
          <w:rFonts w:ascii="Times New Roman" w:hAnsi="Times New Roman" w:cs="Times New Roman"/>
          <w:b/>
          <w:bCs/>
          <w:lang w:val="sr-Cyrl-CS"/>
        </w:rPr>
        <w:t>2. за 8,5% код следећих буџетских корисника:</w:t>
      </w:r>
    </w:p>
    <w:p w:rsidR="00EF3A64" w:rsidRPr="008D325A" w:rsidRDefault="00EF3A64" w:rsidP="00EF3A64">
      <w:pPr>
        <w:pStyle w:val="Default"/>
        <w:tabs>
          <w:tab w:val="left" w:pos="900"/>
        </w:tabs>
        <w:spacing w:before="120" w:after="120"/>
        <w:ind w:left="426" w:firstLine="283"/>
        <w:rPr>
          <w:rFonts w:ascii="Times New Roman" w:hAnsi="Times New Roman" w:cs="Times New Roman"/>
          <w:bCs/>
          <w:lang w:val="sr-Cyrl-CS"/>
        </w:rPr>
      </w:pPr>
      <w:r w:rsidRPr="008D325A">
        <w:rPr>
          <w:rFonts w:ascii="Times New Roman" w:hAnsi="Times New Roman" w:cs="Times New Roman"/>
          <w:b/>
          <w:bCs/>
          <w:lang w:val="sr-Cyrl-CS"/>
        </w:rPr>
        <w:t xml:space="preserve">-   </w:t>
      </w:r>
      <w:r w:rsidRPr="008D325A">
        <w:rPr>
          <w:rFonts w:ascii="Times New Roman" w:hAnsi="Times New Roman" w:cs="Times New Roman"/>
          <w:bCs/>
          <w:lang w:val="sr-Cyrl-CS"/>
        </w:rPr>
        <w:t>Пореска управа и Управа царина.</w:t>
      </w:r>
    </w:p>
    <w:p w:rsidR="00EF3A64" w:rsidRPr="008D325A" w:rsidRDefault="00EF3A64" w:rsidP="00EF3A64">
      <w:pPr>
        <w:pStyle w:val="Default"/>
        <w:tabs>
          <w:tab w:val="left" w:pos="900"/>
        </w:tabs>
        <w:spacing w:before="120" w:after="120"/>
        <w:ind w:left="426" w:firstLine="283"/>
        <w:rPr>
          <w:rFonts w:ascii="Times New Roman" w:hAnsi="Times New Roman" w:cs="Times New Roman"/>
          <w:b/>
          <w:bCs/>
          <w:highlight w:val="cyan"/>
          <w:lang w:val="sr-Cyrl-CS"/>
        </w:rPr>
      </w:pPr>
      <w:r w:rsidRPr="008D325A">
        <w:rPr>
          <w:rFonts w:ascii="Times New Roman" w:hAnsi="Times New Roman" w:cs="Times New Roman"/>
          <w:b/>
          <w:bCs/>
          <w:lang w:val="sr-Cyrl-CS"/>
        </w:rPr>
        <w:t xml:space="preserve">3. за 7% </w:t>
      </w:r>
      <w:r w:rsidR="00FC6E34" w:rsidRPr="008D325A">
        <w:rPr>
          <w:rFonts w:ascii="Times New Roman" w:hAnsi="Times New Roman" w:cs="Times New Roman"/>
          <w:b/>
          <w:bCs/>
          <w:lang w:val="sr-Cyrl-CS"/>
        </w:rPr>
        <w:t>код осталих буџетских корисника.</w:t>
      </w:r>
    </w:p>
    <w:p w:rsidR="00EF3A64" w:rsidRPr="008D325A" w:rsidRDefault="00EF3A64" w:rsidP="00EF3A64">
      <w:pPr>
        <w:tabs>
          <w:tab w:val="clear" w:pos="1440"/>
          <w:tab w:val="left" w:pos="720"/>
          <w:tab w:val="left" w:pos="900"/>
        </w:tabs>
        <w:spacing w:after="200"/>
        <w:ind w:firstLine="851"/>
        <w:rPr>
          <w:rFonts w:ascii="Times New Roman" w:hAnsi="Times New Roman"/>
          <w:szCs w:val="24"/>
        </w:rPr>
      </w:pPr>
      <w:r w:rsidRPr="008D325A">
        <w:rPr>
          <w:rFonts w:ascii="Times New Roman" w:eastAsia="Calibri" w:hAnsi="Times New Roman"/>
          <w:szCs w:val="24"/>
        </w:rPr>
        <w:lastRenderedPageBreak/>
        <w:t xml:space="preserve">Такође, у 2019. години планирано </w:t>
      </w:r>
      <w:r w:rsidR="00906B4B" w:rsidRPr="008D325A">
        <w:rPr>
          <w:rFonts w:ascii="Times New Roman" w:eastAsia="Calibri" w:hAnsi="Times New Roman"/>
          <w:szCs w:val="24"/>
        </w:rPr>
        <w:t xml:space="preserve">је увећање плата запосленима у </w:t>
      </w:r>
      <w:r w:rsidRPr="008D325A">
        <w:rPr>
          <w:rFonts w:ascii="Times New Roman" w:eastAsia="Calibri" w:hAnsi="Times New Roman"/>
          <w:szCs w:val="24"/>
        </w:rPr>
        <w:t>здравственим установама</w:t>
      </w:r>
      <w:r w:rsidR="001E57EF" w:rsidRPr="008D325A">
        <w:rPr>
          <w:rFonts w:ascii="Times New Roman" w:hAnsi="Times New Roman"/>
          <w:szCs w:val="24"/>
        </w:rPr>
        <w:t xml:space="preserve"> </w:t>
      </w:r>
      <w:r w:rsidR="001E57EF" w:rsidRPr="008D325A">
        <w:rPr>
          <w:rFonts w:ascii="Times New Roman" w:eastAsia="Calibri" w:hAnsi="Times New Roman"/>
          <w:szCs w:val="24"/>
        </w:rPr>
        <w:t>осим војноз</w:t>
      </w:r>
      <w:r w:rsidR="008D325A">
        <w:rPr>
          <w:rFonts w:ascii="Times New Roman" w:eastAsia="Calibri" w:hAnsi="Times New Roman"/>
          <w:szCs w:val="24"/>
          <w:lang w:val="sr-Cyrl-RS"/>
        </w:rPr>
        <w:t>д</w:t>
      </w:r>
      <w:r w:rsidR="001E57EF" w:rsidRPr="008D325A">
        <w:rPr>
          <w:rFonts w:ascii="Times New Roman" w:eastAsia="Calibri" w:hAnsi="Times New Roman"/>
          <w:szCs w:val="24"/>
        </w:rPr>
        <w:t>равствених установа</w:t>
      </w:r>
      <w:r w:rsidRPr="008D325A">
        <w:rPr>
          <w:rFonts w:ascii="Times New Roman" w:eastAsia="Calibri" w:hAnsi="Times New Roman"/>
          <w:szCs w:val="24"/>
        </w:rPr>
        <w:t xml:space="preserve"> на следећи начин:</w:t>
      </w:r>
    </w:p>
    <w:p w:rsidR="00EF3A64" w:rsidRPr="008D325A" w:rsidRDefault="00EF3A64" w:rsidP="00EF3A64">
      <w:pPr>
        <w:numPr>
          <w:ilvl w:val="0"/>
          <w:numId w:val="13"/>
        </w:numPr>
        <w:tabs>
          <w:tab w:val="clear" w:pos="1440"/>
          <w:tab w:val="left" w:pos="900"/>
          <w:tab w:val="left" w:pos="993"/>
        </w:tabs>
        <w:spacing w:after="120" w:line="276" w:lineRule="auto"/>
        <w:ind w:hanging="11"/>
        <w:contextualSpacing/>
        <w:rPr>
          <w:rFonts w:ascii="Times New Roman" w:eastAsia="Calibri" w:hAnsi="Times New Roman"/>
          <w:szCs w:val="24"/>
        </w:rPr>
      </w:pPr>
      <w:r w:rsidRPr="008D325A">
        <w:rPr>
          <w:rFonts w:ascii="Times New Roman" w:eastAsia="Calibri" w:hAnsi="Times New Roman"/>
          <w:szCs w:val="24"/>
        </w:rPr>
        <w:t>доктор медицине и стоматолог - 10%,</w:t>
      </w:r>
    </w:p>
    <w:p w:rsidR="00EF3A64" w:rsidRPr="008D325A" w:rsidRDefault="00EF3A64" w:rsidP="00EF3A64">
      <w:pPr>
        <w:numPr>
          <w:ilvl w:val="0"/>
          <w:numId w:val="13"/>
        </w:numPr>
        <w:tabs>
          <w:tab w:val="clear" w:pos="1440"/>
          <w:tab w:val="left" w:pos="900"/>
          <w:tab w:val="left" w:pos="993"/>
        </w:tabs>
        <w:spacing w:after="120" w:line="276" w:lineRule="auto"/>
        <w:ind w:hanging="11"/>
        <w:contextualSpacing/>
        <w:rPr>
          <w:rFonts w:ascii="Times New Roman" w:eastAsia="Calibri" w:hAnsi="Times New Roman"/>
          <w:szCs w:val="24"/>
        </w:rPr>
      </w:pPr>
      <w:r w:rsidRPr="008D325A">
        <w:rPr>
          <w:rFonts w:ascii="Times New Roman" w:eastAsia="Calibri" w:hAnsi="Times New Roman"/>
          <w:szCs w:val="24"/>
        </w:rPr>
        <w:t>доктор специјалиста -10%,</w:t>
      </w:r>
    </w:p>
    <w:p w:rsidR="00EF3A64" w:rsidRPr="008D325A" w:rsidRDefault="00EF3A64" w:rsidP="00EF3A64">
      <w:pPr>
        <w:numPr>
          <w:ilvl w:val="0"/>
          <w:numId w:val="13"/>
        </w:numPr>
        <w:tabs>
          <w:tab w:val="clear" w:pos="1440"/>
          <w:tab w:val="left" w:pos="900"/>
          <w:tab w:val="left" w:pos="993"/>
        </w:tabs>
        <w:spacing w:after="120" w:line="276" w:lineRule="auto"/>
        <w:ind w:hanging="11"/>
        <w:contextualSpacing/>
        <w:rPr>
          <w:rFonts w:ascii="Times New Roman" w:eastAsia="Calibri" w:hAnsi="Times New Roman"/>
          <w:szCs w:val="24"/>
        </w:rPr>
      </w:pPr>
      <w:r w:rsidRPr="008D325A">
        <w:rPr>
          <w:rFonts w:ascii="Times New Roman" w:eastAsia="Calibri" w:hAnsi="Times New Roman"/>
          <w:szCs w:val="24"/>
        </w:rPr>
        <w:t>медицински техничар и стоматолошки техничар (виша школа)- 12%,</w:t>
      </w:r>
    </w:p>
    <w:p w:rsidR="00EF3A64" w:rsidRPr="008D325A" w:rsidRDefault="00EF3A64" w:rsidP="00EF3A64">
      <w:pPr>
        <w:numPr>
          <w:ilvl w:val="0"/>
          <w:numId w:val="13"/>
        </w:numPr>
        <w:tabs>
          <w:tab w:val="clear" w:pos="1440"/>
          <w:tab w:val="left" w:pos="900"/>
          <w:tab w:val="left" w:pos="993"/>
        </w:tabs>
        <w:spacing w:after="120" w:line="276" w:lineRule="auto"/>
        <w:ind w:hanging="11"/>
        <w:contextualSpacing/>
        <w:rPr>
          <w:rFonts w:ascii="Times New Roman" w:eastAsia="Calibri" w:hAnsi="Times New Roman"/>
          <w:szCs w:val="24"/>
        </w:rPr>
      </w:pPr>
      <w:r w:rsidRPr="008D325A">
        <w:rPr>
          <w:rFonts w:ascii="Times New Roman" w:eastAsia="Calibri" w:hAnsi="Times New Roman"/>
          <w:szCs w:val="24"/>
        </w:rPr>
        <w:t>медицински техничар (средња школа) -12%,</w:t>
      </w:r>
    </w:p>
    <w:p w:rsidR="00EF3A64" w:rsidRPr="008D325A" w:rsidRDefault="00EF3A64" w:rsidP="00EF3A64">
      <w:pPr>
        <w:numPr>
          <w:ilvl w:val="0"/>
          <w:numId w:val="13"/>
        </w:numPr>
        <w:tabs>
          <w:tab w:val="clear" w:pos="1440"/>
          <w:tab w:val="left" w:pos="900"/>
          <w:tab w:val="left" w:pos="993"/>
        </w:tabs>
        <w:spacing w:after="120" w:line="276" w:lineRule="auto"/>
        <w:ind w:hanging="11"/>
        <w:contextualSpacing/>
        <w:rPr>
          <w:rFonts w:ascii="Times New Roman" w:eastAsia="Calibri" w:hAnsi="Times New Roman"/>
          <w:szCs w:val="24"/>
        </w:rPr>
      </w:pPr>
      <w:r w:rsidRPr="008D325A">
        <w:rPr>
          <w:rFonts w:ascii="Times New Roman" w:eastAsia="Calibri" w:hAnsi="Times New Roman"/>
          <w:szCs w:val="24"/>
        </w:rPr>
        <w:t>остали - 7%.</w:t>
      </w:r>
    </w:p>
    <w:p w:rsidR="00EF3A64" w:rsidRPr="008D325A" w:rsidRDefault="00EF3A64" w:rsidP="00EF3A64">
      <w:pPr>
        <w:tabs>
          <w:tab w:val="left" w:pos="900"/>
          <w:tab w:val="center" w:pos="1134"/>
        </w:tabs>
        <w:rPr>
          <w:rFonts w:ascii="Times New Roman" w:hAnsi="Times New Roman"/>
          <w:szCs w:val="24"/>
        </w:rPr>
      </w:pPr>
      <w:r w:rsidRPr="008D325A">
        <w:rPr>
          <w:rFonts w:ascii="Times New Roman" w:hAnsi="Times New Roman"/>
          <w:szCs w:val="24"/>
        </w:rPr>
        <w:tab/>
        <w:t>Као и у претходним годинама, и у буџетској 2019. години, неће се вршити обрачун и исплата поклона у новцу, божићних, годишњих и других врста награда и бонуса, као и других примања из члана 120. став 1. тачка 4. Закона о раду („Службени гласник РС”, бр. 24/05, 61/05, 54/09, 32/13, 75/14 и 13/17-УС), предвиђених посебним и појединачним колективним уговорима, и другим актима, за директне и индиректне кориснике буџетских средстава буџета Републике Србије, локалне власти и кориснике средстава организација за обавезно социјално осигурање, осим јубиларних награда за запослене.</w:t>
      </w:r>
    </w:p>
    <w:p w:rsidR="00EF3A64" w:rsidRPr="008D325A" w:rsidRDefault="00EF3A64" w:rsidP="00EF3A64">
      <w:pPr>
        <w:tabs>
          <w:tab w:val="left" w:pos="900"/>
          <w:tab w:val="center" w:pos="1134"/>
        </w:tabs>
        <w:rPr>
          <w:rFonts w:ascii="Times New Roman" w:hAnsi="Times New Roman"/>
          <w:szCs w:val="24"/>
        </w:rPr>
      </w:pPr>
      <w:r w:rsidRPr="008D325A">
        <w:rPr>
          <w:rFonts w:ascii="Times New Roman" w:hAnsi="Times New Roman"/>
          <w:szCs w:val="24"/>
        </w:rPr>
        <w:tab/>
        <w:t>У 2019. години не могу се исплаћивати запосленима код корисника буџетских средстава награде и бонуси који према међународним критеријумима представљају нестандардне, односно нетранспарентне облике награда и бонуса.</w:t>
      </w:r>
    </w:p>
    <w:p w:rsidR="00EF3A64" w:rsidRPr="008D325A" w:rsidRDefault="00EF3A64" w:rsidP="00633B47">
      <w:pPr>
        <w:ind w:right="-90"/>
        <w:rPr>
          <w:rStyle w:val="CharCharChar5"/>
          <w:rFonts w:ascii="Times New Roman" w:hAnsi="Times New Roman"/>
          <w:b/>
          <w:szCs w:val="24"/>
        </w:rPr>
      </w:pPr>
    </w:p>
    <w:p w:rsidR="00633B47" w:rsidRPr="008D325A" w:rsidRDefault="00BB1E10" w:rsidP="00BB1E10">
      <w:pPr>
        <w:tabs>
          <w:tab w:val="clear" w:pos="1440"/>
          <w:tab w:val="left" w:pos="720"/>
        </w:tabs>
        <w:ind w:right="-90"/>
        <w:rPr>
          <w:rStyle w:val="CharCharChar5"/>
          <w:rFonts w:ascii="Times New Roman" w:hAnsi="Times New Roman"/>
          <w:szCs w:val="24"/>
        </w:rPr>
      </w:pPr>
      <w:r w:rsidRPr="008D325A">
        <w:rPr>
          <w:rFonts w:asciiTheme="minorHAnsi" w:hAnsiTheme="minorHAnsi"/>
          <w:b/>
          <w:szCs w:val="24"/>
        </w:rPr>
        <w:tab/>
      </w:r>
      <w:r w:rsidR="00633B47" w:rsidRPr="008D325A">
        <w:rPr>
          <w:rFonts w:ascii="Times New Roman" w:hAnsi="Times New Roman"/>
          <w:b/>
          <w:szCs w:val="24"/>
        </w:rPr>
        <w:t>Трансфери осталим нивоима власти планирани</w:t>
      </w:r>
      <w:r w:rsidR="00633B47" w:rsidRPr="008D325A">
        <w:rPr>
          <w:rStyle w:val="CharCharChar5"/>
          <w:rFonts w:ascii="Times New Roman" w:hAnsi="Times New Roman"/>
          <w:szCs w:val="24"/>
        </w:rPr>
        <w:t xml:space="preserve"> су у укупном износу од </w:t>
      </w:r>
      <w:r w:rsidR="00377A4C" w:rsidRPr="008D325A">
        <w:rPr>
          <w:rStyle w:val="CharCharChar5"/>
          <w:rFonts w:ascii="Times New Roman" w:hAnsi="Times New Roman"/>
          <w:szCs w:val="24"/>
        </w:rPr>
        <w:t>86,6</w:t>
      </w:r>
      <w:r w:rsidR="00633B47" w:rsidRPr="008D325A">
        <w:rPr>
          <w:rStyle w:val="CharCharChar5"/>
          <w:rFonts w:ascii="Times New Roman" w:hAnsi="Times New Roman"/>
          <w:szCs w:val="24"/>
        </w:rPr>
        <w:t xml:space="preserve"> млрд. динара.</w:t>
      </w:r>
    </w:p>
    <w:p w:rsidR="00633B47" w:rsidRPr="008D325A" w:rsidRDefault="00633B47" w:rsidP="00633B47">
      <w:pPr>
        <w:tabs>
          <w:tab w:val="left" w:pos="720"/>
        </w:tabs>
        <w:rPr>
          <w:rFonts w:ascii="Times New Roman" w:hAnsi="Times New Roman"/>
          <w:szCs w:val="24"/>
        </w:rPr>
      </w:pPr>
      <w:r w:rsidRPr="008D325A">
        <w:rPr>
          <w:rStyle w:val="CharCharChar5"/>
          <w:rFonts w:ascii="Times New Roman" w:hAnsi="Times New Roman"/>
          <w:szCs w:val="24"/>
        </w:rPr>
        <w:tab/>
      </w:r>
      <w:r w:rsidRPr="008D325A">
        <w:rPr>
          <w:rFonts w:ascii="Times New Roman" w:hAnsi="Times New Roman"/>
          <w:b/>
          <w:szCs w:val="24"/>
        </w:rPr>
        <w:t>Трансфери Аутономној покрајини Војводини</w:t>
      </w:r>
      <w:r w:rsidRPr="008D325A">
        <w:rPr>
          <w:rFonts w:ascii="Times New Roman" w:hAnsi="Times New Roman"/>
          <w:szCs w:val="24"/>
        </w:rPr>
        <w:t xml:space="preserve"> - 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територији Аутономне покрајине Војводине, из дела прихода од пореза на добит предузећа, у висини од 42,7% износа оствареног на територији Аутономне покрајине Војводине и трансферима из буџета Републике Србије, и то:</w:t>
      </w:r>
    </w:p>
    <w:p w:rsidR="00633B47" w:rsidRPr="008D325A" w:rsidRDefault="00633B47" w:rsidP="00633B47">
      <w:pPr>
        <w:tabs>
          <w:tab w:val="left" w:pos="720"/>
        </w:tabs>
        <w:rPr>
          <w:rFonts w:ascii="Times New Roman" w:hAnsi="Times New Roman"/>
          <w:szCs w:val="24"/>
        </w:rPr>
      </w:pPr>
      <w:r w:rsidRPr="008D325A">
        <w:rPr>
          <w:rFonts w:ascii="Times New Roman" w:hAnsi="Times New Roman"/>
          <w:szCs w:val="24"/>
        </w:rPr>
        <w:tab/>
        <w:t xml:space="preserve">- трансфери за поверене послове у складу са законом којим се утврђују надлежности Аутономне покрајине Војводине; </w:t>
      </w:r>
    </w:p>
    <w:p w:rsidR="00633B47" w:rsidRPr="008D325A" w:rsidRDefault="00633B47" w:rsidP="00633B47">
      <w:pPr>
        <w:tabs>
          <w:tab w:val="left" w:pos="720"/>
        </w:tabs>
        <w:rPr>
          <w:rFonts w:ascii="Times New Roman" w:hAnsi="Times New Roman"/>
          <w:szCs w:val="24"/>
        </w:rPr>
      </w:pPr>
      <w:r w:rsidRPr="008D325A">
        <w:rPr>
          <w:rFonts w:ascii="Times New Roman" w:hAnsi="Times New Roman"/>
          <w:szCs w:val="24"/>
        </w:rPr>
        <w:tab/>
        <w:t>- наменски трансфери за финансирање расхода за запослене у образовању на територији Аутономне покрајине Војводине у складу са овим законом;</w:t>
      </w:r>
    </w:p>
    <w:p w:rsidR="00633B47" w:rsidRPr="008D325A" w:rsidRDefault="00633B47" w:rsidP="00633B47">
      <w:pPr>
        <w:tabs>
          <w:tab w:val="left" w:pos="720"/>
        </w:tabs>
        <w:rPr>
          <w:rFonts w:ascii="Times New Roman" w:hAnsi="Times New Roman"/>
          <w:szCs w:val="24"/>
        </w:rPr>
      </w:pPr>
      <w:r w:rsidRPr="008D325A">
        <w:rPr>
          <w:rFonts w:ascii="Times New Roman" w:hAnsi="Times New Roman"/>
          <w:szCs w:val="24"/>
        </w:rPr>
        <w:t xml:space="preserve">          </w:t>
      </w:r>
      <w:r w:rsidRPr="008D325A">
        <w:rPr>
          <w:rFonts w:ascii="Times New Roman" w:hAnsi="Times New Roman"/>
          <w:szCs w:val="24"/>
        </w:rPr>
        <w:tab/>
        <w:t xml:space="preserve"> -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rsidR="00633B47" w:rsidRPr="008D325A" w:rsidRDefault="00633B47" w:rsidP="00633B47">
      <w:pPr>
        <w:tabs>
          <w:tab w:val="left" w:pos="720"/>
        </w:tabs>
        <w:rPr>
          <w:rFonts w:ascii="Times New Roman" w:hAnsi="Times New Roman"/>
          <w:szCs w:val="24"/>
        </w:rPr>
      </w:pPr>
      <w:r w:rsidRPr="008D325A">
        <w:rPr>
          <w:rFonts w:ascii="Times New Roman" w:hAnsi="Times New Roman"/>
          <w:szCs w:val="24"/>
        </w:rPr>
        <w:tab/>
        <w:t>- наменски капитални трансфери за пројекте које утврди Влада.</w:t>
      </w:r>
      <w:r w:rsidRPr="008D325A">
        <w:rPr>
          <w:rFonts w:ascii="Times New Roman" w:hAnsi="Times New Roman"/>
          <w:szCs w:val="24"/>
        </w:rPr>
        <w:tab/>
      </w:r>
      <w:r w:rsidRPr="008D325A">
        <w:rPr>
          <w:rFonts w:ascii="Times New Roman" w:hAnsi="Times New Roman"/>
          <w:szCs w:val="24"/>
        </w:rPr>
        <w:tab/>
      </w:r>
      <w:r w:rsidRPr="008D325A">
        <w:rPr>
          <w:rFonts w:ascii="Times New Roman" w:hAnsi="Times New Roman"/>
          <w:szCs w:val="24"/>
        </w:rPr>
        <w:tab/>
      </w:r>
    </w:p>
    <w:p w:rsidR="00F01FA7" w:rsidRPr="008D325A" w:rsidRDefault="00633B47" w:rsidP="00633B47">
      <w:pPr>
        <w:tabs>
          <w:tab w:val="left" w:pos="720"/>
        </w:tabs>
        <w:rPr>
          <w:rFonts w:ascii="Times New Roman" w:hAnsi="Times New Roman"/>
          <w:szCs w:val="24"/>
        </w:rPr>
      </w:pPr>
      <w:r w:rsidRPr="008D325A">
        <w:rPr>
          <w:rFonts w:ascii="Times New Roman" w:hAnsi="Times New Roman"/>
          <w:szCs w:val="24"/>
        </w:rPr>
        <w:tab/>
        <w:t>У наредној табели су приказана 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са територије АП Војводине и др.), као и средства намењена за капиталне издаткe:</w:t>
      </w:r>
    </w:p>
    <w:tbl>
      <w:tblPr>
        <w:tblW w:w="5240" w:type="pct"/>
        <w:tblLayout w:type="fixed"/>
        <w:tblLook w:val="04A0" w:firstRow="1" w:lastRow="0" w:firstColumn="1" w:lastColumn="0" w:noHBand="0" w:noVBand="1"/>
      </w:tblPr>
      <w:tblGrid>
        <w:gridCol w:w="547"/>
        <w:gridCol w:w="2487"/>
        <w:gridCol w:w="1197"/>
        <w:gridCol w:w="2856"/>
        <w:gridCol w:w="829"/>
        <w:gridCol w:w="550"/>
        <w:gridCol w:w="1792"/>
        <w:gridCol w:w="8"/>
      </w:tblGrid>
      <w:tr w:rsidR="00C24AA9" w:rsidRPr="008D325A" w:rsidTr="00AD3A4E">
        <w:trPr>
          <w:gridAfter w:val="1"/>
          <w:wAfter w:w="4" w:type="pct"/>
          <w:trHeight w:val="255"/>
          <w:tblHeader/>
        </w:trPr>
        <w:tc>
          <w:tcPr>
            <w:tcW w:w="266"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p>
        </w:tc>
        <w:tc>
          <w:tcPr>
            <w:tcW w:w="1211"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p>
        </w:tc>
        <w:tc>
          <w:tcPr>
            <w:tcW w:w="583"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p>
        </w:tc>
        <w:tc>
          <w:tcPr>
            <w:tcW w:w="1391"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p>
        </w:tc>
        <w:tc>
          <w:tcPr>
            <w:tcW w:w="404"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p>
        </w:tc>
        <w:tc>
          <w:tcPr>
            <w:tcW w:w="268"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p>
        </w:tc>
        <w:tc>
          <w:tcPr>
            <w:tcW w:w="873" w:type="pct"/>
            <w:tcBorders>
              <w:top w:val="nil"/>
              <w:left w:val="nil"/>
              <w:bottom w:val="nil"/>
              <w:right w:val="nil"/>
            </w:tcBorders>
            <w:shd w:val="clear" w:color="auto" w:fill="auto"/>
            <w:noWrap/>
            <w:vAlign w:val="center"/>
            <w:hideMark/>
          </w:tcPr>
          <w:p w:rsidR="00B856FE" w:rsidRPr="008D325A" w:rsidRDefault="00B856FE" w:rsidP="005F1392">
            <w:pPr>
              <w:tabs>
                <w:tab w:val="clear" w:pos="1440"/>
              </w:tabs>
              <w:jc w:val="right"/>
              <w:rPr>
                <w:rFonts w:ascii="Times New Roman" w:hAnsi="Times New Roman"/>
                <w:color w:val="000000"/>
                <w:szCs w:val="24"/>
              </w:rPr>
            </w:pPr>
            <w:r w:rsidRPr="008D325A">
              <w:rPr>
                <w:rFonts w:ascii="Times New Roman" w:hAnsi="Times New Roman"/>
                <w:color w:val="000000"/>
                <w:szCs w:val="24"/>
              </w:rPr>
              <w:t>у динарима</w:t>
            </w:r>
          </w:p>
        </w:tc>
      </w:tr>
      <w:tr w:rsidR="00C24AA9" w:rsidRPr="008D325A" w:rsidTr="00AD3A4E">
        <w:trPr>
          <w:gridAfter w:val="1"/>
          <w:wAfter w:w="4" w:type="pct"/>
          <w:trHeight w:val="510"/>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856FE" w:rsidRPr="008D325A" w:rsidRDefault="00B856FE" w:rsidP="00B856FE">
            <w:pPr>
              <w:tabs>
                <w:tab w:val="clear" w:pos="1440"/>
              </w:tabs>
              <w:ind w:right="-128"/>
              <w:jc w:val="center"/>
              <w:rPr>
                <w:rFonts w:ascii="Times New Roman" w:hAnsi="Times New Roman"/>
                <w:color w:val="000000"/>
                <w:szCs w:val="24"/>
              </w:rPr>
            </w:pPr>
            <w:r w:rsidRPr="008D325A">
              <w:rPr>
                <w:rFonts w:ascii="Times New Roman" w:hAnsi="Times New Roman"/>
                <w:color w:val="000000"/>
                <w:sz w:val="22"/>
                <w:szCs w:val="22"/>
              </w:rPr>
              <w:t>Ред. бро</w:t>
            </w:r>
            <w:r w:rsidRPr="008D325A">
              <w:rPr>
                <w:rFonts w:ascii="Times New Roman" w:hAnsi="Times New Roman"/>
                <w:color w:val="000000"/>
                <w:szCs w:val="24"/>
              </w:rPr>
              <w:t>ј</w:t>
            </w:r>
          </w:p>
        </w:tc>
        <w:tc>
          <w:tcPr>
            <w:tcW w:w="1211"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Огран/организација</w:t>
            </w:r>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 w:val="20"/>
              </w:rPr>
            </w:pPr>
            <w:r w:rsidRPr="008D325A">
              <w:rPr>
                <w:rFonts w:ascii="Times New Roman" w:hAnsi="Times New Roman"/>
                <w:color w:val="000000"/>
                <w:sz w:val="20"/>
              </w:rPr>
              <w:t>Функција</w:t>
            </w:r>
          </w:p>
        </w:tc>
        <w:tc>
          <w:tcPr>
            <w:tcW w:w="1391"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 w:val="20"/>
              </w:rPr>
            </w:pPr>
            <w:r w:rsidRPr="008D325A">
              <w:rPr>
                <w:rFonts w:ascii="Times New Roman" w:hAnsi="Times New Roman"/>
                <w:color w:val="000000"/>
                <w:sz w:val="20"/>
              </w:rPr>
              <w:t>Законски основ</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 w:val="20"/>
              </w:rPr>
            </w:pPr>
            <w:r w:rsidRPr="008D325A">
              <w:rPr>
                <w:rFonts w:ascii="Times New Roman" w:hAnsi="Times New Roman"/>
                <w:color w:val="000000"/>
                <w:sz w:val="20"/>
              </w:rPr>
              <w:t>Конто</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 w:val="20"/>
              </w:rPr>
            </w:pPr>
            <w:r w:rsidRPr="008D325A">
              <w:rPr>
                <w:rFonts w:ascii="Times New Roman" w:hAnsi="Times New Roman"/>
                <w:color w:val="000000"/>
                <w:sz w:val="20"/>
              </w:rPr>
              <w:t xml:space="preserve">Извор </w:t>
            </w:r>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color w:val="000000"/>
                <w:sz w:val="20"/>
              </w:rPr>
            </w:pPr>
            <w:r w:rsidRPr="008D325A">
              <w:rPr>
                <w:rFonts w:ascii="Times New Roman" w:hAnsi="Times New Roman"/>
                <w:color w:val="000000"/>
                <w:sz w:val="20"/>
              </w:rPr>
              <w:t>2019. год.</w:t>
            </w:r>
          </w:p>
        </w:tc>
      </w:tr>
      <w:tr w:rsidR="00AD3A4E" w:rsidRPr="008D325A" w:rsidTr="00AD3A4E">
        <w:trPr>
          <w:trHeight w:val="465"/>
        </w:trPr>
        <w:tc>
          <w:tcPr>
            <w:tcW w:w="3451" w:type="pct"/>
            <w:gridSpan w:val="4"/>
            <w:tcBorders>
              <w:top w:val="single" w:sz="4" w:space="0" w:color="auto"/>
              <w:left w:val="single" w:sz="4" w:space="0" w:color="auto"/>
              <w:bottom w:val="single" w:sz="4" w:space="0" w:color="auto"/>
              <w:right w:val="nil"/>
            </w:tcBorders>
            <w:shd w:val="clear" w:color="000000" w:fill="BFBFBF"/>
            <w:vAlign w:val="center"/>
            <w:hideMark/>
          </w:tcPr>
          <w:p w:rsidR="00B856FE" w:rsidRPr="008D325A" w:rsidRDefault="00B856FE" w:rsidP="00B856FE">
            <w:pPr>
              <w:tabs>
                <w:tab w:val="clear" w:pos="1440"/>
                <w:tab w:val="left" w:pos="358"/>
                <w:tab w:val="left" w:pos="468"/>
              </w:tabs>
              <w:jc w:val="left"/>
              <w:rPr>
                <w:rFonts w:ascii="Arial" w:hAnsi="Arial" w:cs="Arial"/>
                <w:b/>
                <w:bCs/>
                <w:color w:val="000000"/>
                <w:szCs w:val="24"/>
              </w:rPr>
            </w:pPr>
            <w:r w:rsidRPr="008D325A">
              <w:rPr>
                <w:rFonts w:ascii="Arial" w:hAnsi="Arial" w:cs="Arial"/>
                <w:b/>
                <w:bCs/>
                <w:color w:val="000000"/>
                <w:szCs w:val="24"/>
              </w:rPr>
              <w:t>ТРАНСФЕРИ ИЗ БУЏЕТА РЕПУБЛИКЕ</w:t>
            </w:r>
          </w:p>
        </w:tc>
        <w:tc>
          <w:tcPr>
            <w:tcW w:w="404" w:type="pct"/>
            <w:tcBorders>
              <w:top w:val="nil"/>
              <w:left w:val="nil"/>
              <w:bottom w:val="single" w:sz="4" w:space="0" w:color="auto"/>
              <w:right w:val="nil"/>
            </w:tcBorders>
            <w:shd w:val="clear" w:color="000000" w:fill="BFBFBF"/>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 </w:t>
            </w:r>
          </w:p>
        </w:tc>
        <w:tc>
          <w:tcPr>
            <w:tcW w:w="268" w:type="pct"/>
            <w:tcBorders>
              <w:top w:val="nil"/>
              <w:left w:val="nil"/>
              <w:bottom w:val="single" w:sz="4" w:space="0" w:color="auto"/>
              <w:right w:val="nil"/>
            </w:tcBorders>
            <w:shd w:val="clear" w:color="000000" w:fill="BFBFBF"/>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 </w:t>
            </w:r>
          </w:p>
        </w:tc>
        <w:tc>
          <w:tcPr>
            <w:tcW w:w="876" w:type="pct"/>
            <w:gridSpan w:val="2"/>
            <w:tcBorders>
              <w:top w:val="nil"/>
              <w:left w:val="nil"/>
              <w:bottom w:val="single" w:sz="4" w:space="0" w:color="auto"/>
              <w:right w:val="single" w:sz="4" w:space="0" w:color="auto"/>
            </w:tcBorders>
            <w:shd w:val="clear" w:color="000000" w:fill="BFBFBF"/>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 </w:t>
            </w:r>
          </w:p>
        </w:tc>
      </w:tr>
      <w:tr w:rsidR="00C24AA9" w:rsidRPr="008D325A" w:rsidTr="00AD3A4E">
        <w:trPr>
          <w:gridAfter w:val="1"/>
          <w:wAfter w:w="4" w:type="pct"/>
          <w:trHeight w:val="76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финансија</w:t>
            </w:r>
          </w:p>
        </w:tc>
        <w:tc>
          <w:tcPr>
            <w:tcW w:w="58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180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финансирању локалне самоуправе (ненаменски трансфер ЈЛС са територије AПВ)</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7.705.553.738</w:t>
            </w:r>
          </w:p>
        </w:tc>
      </w:tr>
      <w:tr w:rsidR="00C24AA9" w:rsidRPr="008D325A" w:rsidTr="00AD3A4E">
        <w:trPr>
          <w:gridAfter w:val="1"/>
          <w:wAfter w:w="4" w:type="pct"/>
          <w:trHeight w:val="60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грађевинарства, саобраћаја и инфраструктуре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450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утврђивању надлежности АП Војводина</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15.000.000</w:t>
            </w:r>
          </w:p>
        </w:tc>
      </w:tr>
      <w:tr w:rsidR="00C24AA9" w:rsidRPr="008D325A" w:rsidTr="00AD3A4E">
        <w:trPr>
          <w:gridAfter w:val="1"/>
          <w:wAfter w:w="4" w:type="pct"/>
          <w:trHeight w:val="60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lastRenderedPageBreak/>
              <w:t>3</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450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Изградња Жежељeвог моста</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300.000.000</w:t>
            </w:r>
          </w:p>
        </w:tc>
      </w:tr>
      <w:tr w:rsidR="00C24AA9" w:rsidRPr="008D325A" w:rsidTr="00AD3A4E">
        <w:trPr>
          <w:gridAfter w:val="1"/>
          <w:wAfter w:w="4" w:type="pct"/>
          <w:trHeight w:val="231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културе и информисања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820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4A0C74">
            <w:pPr>
              <w:tabs>
                <w:tab w:val="clear" w:pos="1440"/>
              </w:tabs>
              <w:jc w:val="left"/>
              <w:rPr>
                <w:rFonts w:ascii="Times New Roman" w:hAnsi="Times New Roman"/>
                <w:szCs w:val="24"/>
              </w:rPr>
            </w:pPr>
            <w:r w:rsidRPr="008D325A">
              <w:rPr>
                <w:rFonts w:ascii="Times New Roman" w:hAnsi="Times New Roman"/>
                <w:szCs w:val="24"/>
              </w:rPr>
              <w:t>Закон о министарствима (</w:t>
            </w:r>
            <w:r w:rsidR="004A0C74">
              <w:rPr>
                <w:rFonts w:ascii="Times New Roman" w:hAnsi="Times New Roman"/>
                <w:szCs w:val="24"/>
                <w:lang w:val="sr-Cyrl-RS"/>
              </w:rPr>
              <w:t>„</w:t>
            </w:r>
            <w:r w:rsidRPr="008D325A">
              <w:rPr>
                <w:rFonts w:ascii="Times New Roman" w:hAnsi="Times New Roman"/>
                <w:szCs w:val="24"/>
              </w:rPr>
              <w:t>Сл</w:t>
            </w:r>
            <w:r w:rsidR="004A0C74">
              <w:rPr>
                <w:rFonts w:ascii="Times New Roman" w:hAnsi="Times New Roman"/>
                <w:szCs w:val="24"/>
                <w:lang w:val="sr-Cyrl-RS"/>
              </w:rPr>
              <w:t>ужбени</w:t>
            </w:r>
            <w:r w:rsidRPr="008D325A">
              <w:rPr>
                <w:rFonts w:ascii="Times New Roman" w:hAnsi="Times New Roman"/>
                <w:szCs w:val="24"/>
              </w:rPr>
              <w:t xml:space="preserve"> гласник РС</w:t>
            </w:r>
            <w:r w:rsidR="004A0C74">
              <w:rPr>
                <w:rFonts w:ascii="Times New Roman" w:hAnsi="Times New Roman"/>
                <w:szCs w:val="24"/>
                <w:lang w:val="sr-Cyrl-RS"/>
              </w:rPr>
              <w:t>”</w:t>
            </w:r>
            <w:r w:rsidRPr="008D325A">
              <w:rPr>
                <w:rFonts w:ascii="Times New Roman" w:hAnsi="Times New Roman"/>
                <w:szCs w:val="24"/>
              </w:rPr>
              <w:t>, бр. 44/14, 14/15, 54/15, 96/15 - др. закон и 62/27),  Закон о јавном информисању и медијима (</w:t>
            </w:r>
            <w:r w:rsidR="004A0C74">
              <w:rPr>
                <w:rFonts w:ascii="Times New Roman" w:hAnsi="Times New Roman"/>
                <w:szCs w:val="24"/>
                <w:lang w:val="sr-Cyrl-RS"/>
              </w:rPr>
              <w:t>„</w:t>
            </w:r>
            <w:r w:rsidR="004A0C74">
              <w:rPr>
                <w:rFonts w:ascii="Times New Roman" w:hAnsi="Times New Roman"/>
                <w:szCs w:val="24"/>
              </w:rPr>
              <w:t xml:space="preserve">Службени </w:t>
            </w:r>
            <w:r w:rsidRPr="008D325A">
              <w:rPr>
                <w:rFonts w:ascii="Times New Roman" w:hAnsi="Times New Roman"/>
                <w:szCs w:val="24"/>
              </w:rPr>
              <w:t xml:space="preserve"> гласник РС</w:t>
            </w:r>
            <w:r w:rsidR="004A0C74">
              <w:rPr>
                <w:rFonts w:ascii="Times New Roman" w:hAnsi="Times New Roman"/>
                <w:szCs w:val="24"/>
                <w:lang w:val="sr-Cyrl-RS"/>
              </w:rPr>
              <w:t>”</w:t>
            </w:r>
            <w:r w:rsidRPr="008D325A">
              <w:rPr>
                <w:rFonts w:ascii="Times New Roman" w:hAnsi="Times New Roman"/>
                <w:szCs w:val="24"/>
              </w:rPr>
              <w:t>, бр. 83/14, 58/15 и 12/16 - аутентично тумачење), Закон о јавним медијским сервисима  (</w:t>
            </w:r>
            <w:r w:rsidR="004A0C74">
              <w:rPr>
                <w:rFonts w:ascii="Times New Roman" w:hAnsi="Times New Roman"/>
                <w:szCs w:val="24"/>
                <w:lang w:val="sr-Cyrl-RS"/>
              </w:rPr>
              <w:t>„</w:t>
            </w:r>
            <w:r w:rsidRPr="008D325A">
              <w:rPr>
                <w:rFonts w:ascii="Times New Roman" w:hAnsi="Times New Roman"/>
                <w:szCs w:val="24"/>
              </w:rPr>
              <w:t>Сл</w:t>
            </w:r>
            <w:r w:rsidR="004A0C74">
              <w:rPr>
                <w:rFonts w:ascii="Times New Roman" w:hAnsi="Times New Roman"/>
                <w:szCs w:val="24"/>
                <w:lang w:val="sr-Cyrl-RS"/>
              </w:rPr>
              <w:t>ужбени</w:t>
            </w:r>
            <w:r w:rsidRPr="008D325A">
              <w:rPr>
                <w:rFonts w:ascii="Times New Roman" w:hAnsi="Times New Roman"/>
                <w:szCs w:val="24"/>
              </w:rPr>
              <w:t xml:space="preserve"> гласник РС</w:t>
            </w:r>
            <w:r w:rsidR="004A0C74">
              <w:rPr>
                <w:rFonts w:ascii="Times New Roman" w:hAnsi="Times New Roman"/>
                <w:szCs w:val="24"/>
                <w:lang w:val="sr-Cyrl-RS"/>
              </w:rPr>
              <w:t>”</w:t>
            </w:r>
            <w:r w:rsidRPr="008D325A">
              <w:rPr>
                <w:rFonts w:ascii="Times New Roman" w:hAnsi="Times New Roman"/>
                <w:szCs w:val="24"/>
              </w:rPr>
              <w:t>, бр. 83/14, 103/15 и 108/16)</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10</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1.458.400.000</w:t>
            </w:r>
          </w:p>
        </w:tc>
      </w:tr>
      <w:tr w:rsidR="00C24AA9" w:rsidRPr="008D325A" w:rsidTr="00AD3A4E">
        <w:trPr>
          <w:gridAfter w:val="1"/>
          <w:wAfter w:w="4" w:type="pct"/>
          <w:trHeight w:val="148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5</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Закључак </w:t>
            </w:r>
            <w:r w:rsidR="004A0C74">
              <w:rPr>
                <w:rFonts w:ascii="Times New Roman" w:hAnsi="Times New Roman"/>
                <w:szCs w:val="24"/>
                <w:lang w:val="sr-Cyrl-RS"/>
              </w:rPr>
              <w:t xml:space="preserve">Владе </w:t>
            </w:r>
            <w:r w:rsidRPr="008D325A">
              <w:rPr>
                <w:rFonts w:ascii="Times New Roman" w:hAnsi="Times New Roman"/>
                <w:szCs w:val="24"/>
              </w:rPr>
              <w:t xml:space="preserve">05 Број: 69-12771/2016 </w:t>
            </w:r>
            <w:r w:rsidR="004A0C74">
              <w:rPr>
                <w:rFonts w:ascii="Times New Roman" w:hAnsi="Times New Roman"/>
                <w:szCs w:val="24"/>
                <w:lang w:val="sr-Cyrl-RS"/>
              </w:rPr>
              <w:t xml:space="preserve">од 29. децембра 2016. године </w:t>
            </w:r>
            <w:r w:rsidRPr="008D325A">
              <w:rPr>
                <w:rFonts w:ascii="Times New Roman" w:hAnsi="Times New Roman"/>
                <w:szCs w:val="24"/>
              </w:rPr>
              <w:t>о проглашењу пројекта под називом Нови Сад 2021 – Европска престоница културе културним пројектом од националног значаја за Републику Србију</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338.833.000</w:t>
            </w:r>
          </w:p>
        </w:tc>
      </w:tr>
      <w:tr w:rsidR="00C24AA9" w:rsidRPr="008D325A" w:rsidTr="00AD3A4E">
        <w:trPr>
          <w:gridAfter w:val="1"/>
          <w:wAfter w:w="4" w:type="pct"/>
          <w:trHeight w:val="201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6</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4A0C74">
            <w:pPr>
              <w:tabs>
                <w:tab w:val="clear" w:pos="1440"/>
              </w:tabs>
              <w:jc w:val="left"/>
              <w:rPr>
                <w:rFonts w:ascii="Times New Roman" w:hAnsi="Times New Roman"/>
                <w:szCs w:val="24"/>
              </w:rPr>
            </w:pPr>
            <w:r w:rsidRPr="008D325A">
              <w:rPr>
                <w:rFonts w:ascii="Times New Roman" w:hAnsi="Times New Roman"/>
                <w:szCs w:val="24"/>
              </w:rPr>
              <w:t>Споразум између савезне Републике Југославије и Владе Републике Хрватске о сарадњи у области културе и просвете (</w:t>
            </w:r>
            <w:r w:rsidR="004A0C74">
              <w:rPr>
                <w:rFonts w:ascii="Times New Roman" w:hAnsi="Times New Roman"/>
                <w:szCs w:val="24"/>
                <w:lang w:val="sr-Cyrl-RS"/>
              </w:rPr>
              <w:t>„</w:t>
            </w:r>
            <w:r w:rsidRPr="008D325A">
              <w:rPr>
                <w:rFonts w:ascii="Times New Roman" w:hAnsi="Times New Roman"/>
                <w:szCs w:val="24"/>
              </w:rPr>
              <w:t>Сл</w:t>
            </w:r>
            <w:r w:rsidR="004A0C74">
              <w:rPr>
                <w:rFonts w:ascii="Times New Roman" w:hAnsi="Times New Roman"/>
                <w:szCs w:val="24"/>
                <w:lang w:val="sr-Cyrl-RS"/>
              </w:rPr>
              <w:t xml:space="preserve">ужбени </w:t>
            </w:r>
            <w:r w:rsidRPr="008D325A">
              <w:rPr>
                <w:rFonts w:ascii="Times New Roman" w:hAnsi="Times New Roman"/>
                <w:szCs w:val="24"/>
              </w:rPr>
              <w:t>лист СРЈ-</w:t>
            </w:r>
            <w:r w:rsidR="004A0C74" w:rsidRPr="008D325A">
              <w:rPr>
                <w:rFonts w:ascii="Times New Roman" w:hAnsi="Times New Roman"/>
                <w:szCs w:val="24"/>
              </w:rPr>
              <w:t xml:space="preserve">Међународни </w:t>
            </w:r>
            <w:r w:rsidRPr="008D325A">
              <w:rPr>
                <w:rFonts w:ascii="Times New Roman" w:hAnsi="Times New Roman"/>
                <w:szCs w:val="24"/>
              </w:rPr>
              <w:t>уговори</w:t>
            </w:r>
            <w:r w:rsidR="004A0C74">
              <w:rPr>
                <w:rFonts w:ascii="Times New Roman" w:hAnsi="Times New Roman"/>
                <w:szCs w:val="24"/>
                <w:lang w:val="sr-Cyrl-RS"/>
              </w:rPr>
              <w:t>”</w:t>
            </w:r>
            <w:r w:rsidRPr="008D325A">
              <w:rPr>
                <w:rFonts w:ascii="Times New Roman" w:hAnsi="Times New Roman"/>
                <w:szCs w:val="24"/>
              </w:rPr>
              <w:t>, број 12/02) и Протокол о повраћају културних добара из Републике Србије у Републику Хрватску број: 06-00-208/2010-03 од 21.</w:t>
            </w:r>
            <w:r w:rsidR="004A0C74">
              <w:rPr>
                <w:rFonts w:ascii="Times New Roman" w:hAnsi="Times New Roman"/>
                <w:szCs w:val="24"/>
                <w:lang w:val="sr-Cyrl-RS"/>
              </w:rPr>
              <w:t xml:space="preserve"> марта </w:t>
            </w:r>
            <w:r w:rsidRPr="008D325A">
              <w:rPr>
                <w:rFonts w:ascii="Times New Roman" w:hAnsi="Times New Roman"/>
                <w:szCs w:val="24"/>
              </w:rPr>
              <w:t>2012. године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2.000.000</w:t>
            </w:r>
          </w:p>
        </w:tc>
      </w:tr>
      <w:tr w:rsidR="00C24AA9" w:rsidRPr="008D325A" w:rsidTr="00AD3A4E">
        <w:trPr>
          <w:gridAfter w:val="1"/>
          <w:wAfter w:w="4" w:type="pct"/>
          <w:trHeight w:val="103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7</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култури, Закон о културним добрима, Закон о Матици српској</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100.000.000</w:t>
            </w:r>
          </w:p>
        </w:tc>
      </w:tr>
      <w:tr w:rsidR="00C24AA9" w:rsidRPr="008D325A" w:rsidTr="00AD3A4E">
        <w:trPr>
          <w:gridAfter w:val="1"/>
          <w:wAfter w:w="4" w:type="pct"/>
          <w:trHeight w:val="103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8</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Нови Сад - Омладинска престоница Европе 2019 - ОПЕНС 2019</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40.275.000</w:t>
            </w:r>
          </w:p>
        </w:tc>
      </w:tr>
      <w:tr w:rsidR="00C24AA9" w:rsidRPr="008D325A" w:rsidTr="00AD3A4E">
        <w:trPr>
          <w:gridAfter w:val="1"/>
          <w:wAfter w:w="4" w:type="pct"/>
          <w:trHeight w:val="103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lastRenderedPageBreak/>
              <w:t>9</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Наставак реализације пројекта адаптације, реконструкције и доградње зграде Народног позоришта у Суботици</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330.000.000</w:t>
            </w:r>
          </w:p>
        </w:tc>
      </w:tr>
      <w:tr w:rsidR="00C24AA9" w:rsidRPr="008D325A" w:rsidTr="00AD3A4E">
        <w:trPr>
          <w:gridAfter w:val="1"/>
          <w:wAfter w:w="4" w:type="pct"/>
          <w:trHeight w:val="75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10</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просвете, науке и технолошког развоја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основама система образовања и васпитања (основно образовање-плате)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18.484.509.000</w:t>
            </w:r>
          </w:p>
        </w:tc>
      </w:tr>
      <w:tr w:rsidR="00C24AA9" w:rsidRPr="008D325A" w:rsidTr="00AD3A4E">
        <w:trPr>
          <w:gridAfter w:val="1"/>
          <w:wAfter w:w="4" w:type="pct"/>
          <w:trHeight w:val="76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11</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основама система образовања и васпитања (припремни предшколски програм)</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570.652.000</w:t>
            </w:r>
          </w:p>
        </w:tc>
      </w:tr>
      <w:tr w:rsidR="00C24AA9" w:rsidRPr="008D325A" w:rsidTr="00AD3A4E">
        <w:trPr>
          <w:gridAfter w:val="1"/>
          <w:wAfter w:w="4" w:type="pct"/>
          <w:trHeight w:val="51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12</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920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основама система образовања и васпитања  (средње образовање-плате)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7.954.534.000</w:t>
            </w:r>
          </w:p>
        </w:tc>
      </w:tr>
      <w:tr w:rsidR="00C24AA9" w:rsidRPr="008D325A" w:rsidTr="00AD3A4E">
        <w:trPr>
          <w:gridAfter w:val="1"/>
          <w:wAfter w:w="4" w:type="pct"/>
          <w:trHeight w:val="60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13</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960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ученичком и студенском стандарду  (ученички стандард)</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267.356.000</w:t>
            </w:r>
          </w:p>
        </w:tc>
      </w:tr>
      <w:tr w:rsidR="00C24AA9" w:rsidRPr="008D325A" w:rsidTr="00AD3A4E">
        <w:trPr>
          <w:gridAfter w:val="1"/>
          <w:wAfter w:w="4" w:type="pct"/>
          <w:trHeight w:val="61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14</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960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ученичком и студентском стандарду (студентски стандард)</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336.907.000</w:t>
            </w:r>
          </w:p>
        </w:tc>
      </w:tr>
      <w:tr w:rsidR="00C24AA9" w:rsidRPr="008D325A" w:rsidTr="00AD3A4E">
        <w:trPr>
          <w:gridAfter w:val="1"/>
          <w:wAfter w:w="4" w:type="pct"/>
          <w:trHeight w:val="72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15</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940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високом образовању (високо образовање)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6.356.125.000</w:t>
            </w:r>
          </w:p>
        </w:tc>
      </w:tr>
      <w:tr w:rsidR="00C24AA9" w:rsidRPr="008D325A" w:rsidTr="00AD3A4E">
        <w:trPr>
          <w:gridAfter w:val="1"/>
          <w:wAfter w:w="4" w:type="pct"/>
          <w:trHeight w:val="72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16</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Отпремнине за одлазак у пензију запослених у основним школама</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69.000.000</w:t>
            </w:r>
          </w:p>
        </w:tc>
      </w:tr>
      <w:tr w:rsidR="00C24AA9" w:rsidRPr="008D325A" w:rsidTr="00AD3A4E">
        <w:trPr>
          <w:gridAfter w:val="1"/>
          <w:wAfter w:w="4" w:type="pct"/>
          <w:trHeight w:val="72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17</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920</w:t>
            </w:r>
          </w:p>
        </w:tc>
        <w:tc>
          <w:tcPr>
            <w:tcW w:w="1391" w:type="pct"/>
            <w:tcBorders>
              <w:top w:val="nil"/>
              <w:left w:val="nil"/>
              <w:bottom w:val="single" w:sz="4" w:space="0" w:color="auto"/>
              <w:right w:val="single" w:sz="4" w:space="0" w:color="auto"/>
            </w:tcBorders>
            <w:shd w:val="clear" w:color="000000" w:fill="FFFFFF"/>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Отпремнине за одлазак у пензију запослених у средњим школама</w:t>
            </w:r>
          </w:p>
        </w:tc>
        <w:tc>
          <w:tcPr>
            <w:tcW w:w="404" w:type="pct"/>
            <w:tcBorders>
              <w:top w:val="nil"/>
              <w:left w:val="nil"/>
              <w:bottom w:val="single" w:sz="4" w:space="0" w:color="auto"/>
              <w:right w:val="single" w:sz="4" w:space="0" w:color="auto"/>
            </w:tcBorders>
            <w:shd w:val="clear" w:color="000000" w:fill="FFFFFF"/>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000000" w:fill="FFFFFF"/>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000000" w:fill="FFFFFF"/>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40.000.000</w:t>
            </w:r>
          </w:p>
        </w:tc>
      </w:tr>
      <w:tr w:rsidR="00C24AA9" w:rsidRPr="008D325A" w:rsidTr="00AD3A4E">
        <w:trPr>
          <w:gridAfter w:val="1"/>
          <w:wAfter w:w="4" w:type="pct"/>
          <w:trHeight w:val="70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18</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трговине, туризма и телекомуникација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Закон о утврђивању надлежности АПВ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2.310.000</w:t>
            </w:r>
          </w:p>
        </w:tc>
      </w:tr>
      <w:tr w:rsidR="00C24AA9" w:rsidRPr="008D325A" w:rsidTr="00AD3A4E">
        <w:trPr>
          <w:gridAfter w:val="1"/>
          <w:wAfter w:w="4" w:type="pct"/>
          <w:trHeight w:val="70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19</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460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електронским комуникацијама</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900.000</w:t>
            </w:r>
          </w:p>
        </w:tc>
      </w:tr>
      <w:tr w:rsidR="00C24AA9" w:rsidRPr="008D325A" w:rsidTr="00AD3A4E">
        <w:trPr>
          <w:gridAfter w:val="1"/>
          <w:wAfter w:w="4" w:type="pct"/>
          <w:trHeight w:val="102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20</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8D325A">
            <w:pPr>
              <w:tabs>
                <w:tab w:val="clear" w:pos="1440"/>
              </w:tabs>
              <w:jc w:val="left"/>
              <w:rPr>
                <w:rFonts w:ascii="Times New Roman" w:hAnsi="Times New Roman"/>
                <w:szCs w:val="24"/>
              </w:rPr>
            </w:pPr>
            <w:r w:rsidRPr="008D325A">
              <w:rPr>
                <w:rFonts w:ascii="Times New Roman" w:hAnsi="Times New Roman"/>
                <w:szCs w:val="24"/>
              </w:rPr>
              <w:t>Комес</w:t>
            </w:r>
            <w:r w:rsidR="008D325A">
              <w:rPr>
                <w:rFonts w:ascii="Times New Roman" w:hAnsi="Times New Roman"/>
                <w:szCs w:val="24"/>
                <w:lang w:val="sr-Cyrl-RS"/>
              </w:rPr>
              <w:t>а</w:t>
            </w:r>
            <w:r w:rsidRPr="008D325A">
              <w:rPr>
                <w:rFonts w:ascii="Times New Roman" w:hAnsi="Times New Roman"/>
                <w:szCs w:val="24"/>
              </w:rPr>
              <w:t>ријат за избеглице и миграције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070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Закон о избеглицама, Закон о управљању миграцијама, Национална стратегија за решавање питања избеглица и ИРЛ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150.000.000</w:t>
            </w:r>
          </w:p>
        </w:tc>
      </w:tr>
      <w:tr w:rsidR="00C24AA9" w:rsidRPr="008D325A" w:rsidTr="00AD3A4E">
        <w:trPr>
          <w:gridAfter w:val="1"/>
          <w:wAfter w:w="4" w:type="pct"/>
          <w:trHeight w:val="96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21</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за рад, запошљавање, борачка и социјална питања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070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социјалној заштити</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16.541.000</w:t>
            </w:r>
          </w:p>
        </w:tc>
      </w:tr>
      <w:tr w:rsidR="00C24AA9" w:rsidRPr="008D325A" w:rsidTr="00AD3A4E">
        <w:trPr>
          <w:gridAfter w:val="1"/>
          <w:wAfter w:w="4" w:type="pct"/>
          <w:trHeight w:val="127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lastRenderedPageBreak/>
              <w:t>22</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w:t>
            </w:r>
            <w:r w:rsidR="008D325A">
              <w:rPr>
                <w:rFonts w:ascii="Times New Roman" w:hAnsi="Times New Roman"/>
                <w:szCs w:val="24"/>
                <w:lang w:val="sr-Cyrl-RS"/>
              </w:rPr>
              <w:t>и</w:t>
            </w:r>
            <w:r w:rsidRPr="008D325A">
              <w:rPr>
                <w:rFonts w:ascii="Times New Roman" w:hAnsi="Times New Roman"/>
                <w:szCs w:val="24"/>
              </w:rPr>
              <w:t>старство пољопривреде, шумарства и водопривреде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420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Споразум чији је предмет оперативно преузимање поверених надлежности сходно Закону о утврђивању надлежности Аутономне Покрајине Војводине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20.000.000</w:t>
            </w:r>
          </w:p>
        </w:tc>
      </w:tr>
      <w:tr w:rsidR="00C24AA9" w:rsidRPr="008D325A" w:rsidTr="00AD3A4E">
        <w:trPr>
          <w:gridAfter w:val="1"/>
          <w:wAfter w:w="4" w:type="pct"/>
          <w:trHeight w:val="96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23</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Министaрство заштите животне средине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560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управљању отпадом</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463</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20.432.000</w:t>
            </w:r>
          </w:p>
        </w:tc>
      </w:tr>
      <w:tr w:rsidR="00C24AA9" w:rsidRPr="008D325A" w:rsidTr="00AD3A4E">
        <w:trPr>
          <w:gridAfter w:val="1"/>
          <w:wAfter w:w="4" w:type="pct"/>
          <w:trHeight w:val="70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b/>
                <w:bCs/>
                <w:szCs w:val="24"/>
              </w:rPr>
            </w:pPr>
            <w:r w:rsidRPr="008D325A">
              <w:rPr>
                <w:rFonts w:ascii="Times New Roman" w:hAnsi="Times New Roman"/>
                <w:b/>
                <w:bCs/>
                <w:szCs w:val="24"/>
              </w:rPr>
              <w:t>I</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b/>
                <w:bCs/>
                <w:szCs w:val="24"/>
              </w:rPr>
            </w:pPr>
            <w:r w:rsidRPr="008D325A">
              <w:rPr>
                <w:rFonts w:ascii="Times New Roman" w:hAnsi="Times New Roman"/>
                <w:b/>
                <w:bCs/>
                <w:szCs w:val="24"/>
              </w:rPr>
              <w:t>СВЕГА (од 1 до 23)</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 </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b/>
                <w:bCs/>
                <w:szCs w:val="24"/>
              </w:rPr>
            </w:pPr>
            <w:r w:rsidRPr="008D325A">
              <w:rPr>
                <w:rFonts w:ascii="Times New Roman" w:hAnsi="Times New Roman"/>
                <w:b/>
                <w:bCs/>
                <w:szCs w:val="24"/>
              </w:rPr>
              <w:t>44.579.327.738</w:t>
            </w:r>
          </w:p>
        </w:tc>
      </w:tr>
      <w:tr w:rsidR="00AD3A4E" w:rsidRPr="008D325A" w:rsidTr="00AD3A4E">
        <w:trPr>
          <w:trHeight w:val="465"/>
        </w:trPr>
        <w:tc>
          <w:tcPr>
            <w:tcW w:w="3451" w:type="pct"/>
            <w:gridSpan w:val="4"/>
            <w:tcBorders>
              <w:top w:val="single" w:sz="4" w:space="0" w:color="auto"/>
              <w:left w:val="single" w:sz="4" w:space="0" w:color="auto"/>
              <w:bottom w:val="single" w:sz="4" w:space="0" w:color="auto"/>
              <w:right w:val="nil"/>
            </w:tcBorders>
            <w:shd w:val="clear" w:color="000000" w:fill="A6A6A6"/>
            <w:vAlign w:val="center"/>
            <w:hideMark/>
          </w:tcPr>
          <w:p w:rsidR="00B856FE" w:rsidRPr="008D325A" w:rsidRDefault="00B856FE" w:rsidP="005F1392">
            <w:pPr>
              <w:tabs>
                <w:tab w:val="clear" w:pos="1440"/>
              </w:tabs>
              <w:jc w:val="left"/>
              <w:rPr>
                <w:rFonts w:ascii="Arial" w:hAnsi="Arial" w:cs="Arial"/>
                <w:b/>
                <w:bCs/>
                <w:szCs w:val="24"/>
              </w:rPr>
            </w:pPr>
            <w:r w:rsidRPr="008D325A">
              <w:rPr>
                <w:rFonts w:ascii="Arial" w:hAnsi="Arial" w:cs="Arial"/>
                <w:b/>
                <w:bCs/>
                <w:szCs w:val="24"/>
              </w:rPr>
              <w:t>СРЕДСТВА БУЏЕТА РС КОЈА СЕ УСМЕРАВАЈУ НА ТЕРИТОРИЈУ АПВ</w:t>
            </w:r>
          </w:p>
        </w:tc>
        <w:tc>
          <w:tcPr>
            <w:tcW w:w="404" w:type="pct"/>
            <w:tcBorders>
              <w:top w:val="nil"/>
              <w:left w:val="nil"/>
              <w:bottom w:val="single" w:sz="4" w:space="0" w:color="auto"/>
              <w:right w:val="nil"/>
            </w:tcBorders>
            <w:shd w:val="clear" w:color="000000" w:fill="A6A6A6"/>
            <w:noWrap/>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268" w:type="pct"/>
            <w:tcBorders>
              <w:top w:val="nil"/>
              <w:left w:val="single" w:sz="4" w:space="0" w:color="auto"/>
              <w:bottom w:val="single" w:sz="4" w:space="0" w:color="auto"/>
              <w:right w:val="single" w:sz="4" w:space="0" w:color="auto"/>
            </w:tcBorders>
            <w:shd w:val="clear" w:color="000000" w:fill="A6A6A6"/>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 </w:t>
            </w:r>
          </w:p>
        </w:tc>
        <w:tc>
          <w:tcPr>
            <w:tcW w:w="876" w:type="pct"/>
            <w:gridSpan w:val="2"/>
            <w:tcBorders>
              <w:top w:val="nil"/>
              <w:left w:val="nil"/>
              <w:bottom w:val="single" w:sz="4" w:space="0" w:color="auto"/>
              <w:right w:val="single" w:sz="4" w:space="0" w:color="auto"/>
            </w:tcBorders>
            <w:shd w:val="clear" w:color="000000" w:fill="A6A6A6"/>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 </w:t>
            </w:r>
          </w:p>
        </w:tc>
      </w:tr>
      <w:tr w:rsidR="00C24AA9" w:rsidRPr="008D325A" w:rsidTr="00AD3A4E">
        <w:trPr>
          <w:gridAfter w:val="1"/>
          <w:wAfter w:w="4" w:type="pct"/>
          <w:trHeight w:val="63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24</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грађевинарства, саобраћаја и инфраструктуре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450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Брза саобраћајница Iб реда Нови Сад-Рума</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40.000.000</w:t>
            </w:r>
          </w:p>
        </w:tc>
      </w:tr>
      <w:tr w:rsidR="00C24AA9" w:rsidRPr="008D325A" w:rsidTr="00AD3A4E">
        <w:trPr>
          <w:gridAfter w:val="1"/>
          <w:wAfter w:w="4" w:type="pct"/>
          <w:trHeight w:val="63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25</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Пројекат мађарско - српске железнице</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            01, 11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9.700.000.000</w:t>
            </w:r>
          </w:p>
        </w:tc>
      </w:tr>
      <w:tr w:rsidR="00C24AA9" w:rsidRPr="008D325A" w:rsidTr="00AD3A4E">
        <w:trPr>
          <w:gridAfter w:val="1"/>
          <w:wAfter w:w="4" w:type="pct"/>
          <w:trHeight w:val="84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26</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Извођење дела радова на изградњи аутопута Е-75, деоница: ГП Келебија -петља Суботица Југ</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1.400.000.000</w:t>
            </w:r>
          </w:p>
        </w:tc>
      </w:tr>
      <w:tr w:rsidR="00C24AA9" w:rsidRPr="008D325A" w:rsidTr="00AD3A4E">
        <w:trPr>
          <w:gridAfter w:val="1"/>
          <w:wAfter w:w="4" w:type="pct"/>
          <w:trHeight w:val="5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27</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културе и информисања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820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Подршка раду Матице Српске</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481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51.000.000</w:t>
            </w:r>
          </w:p>
        </w:tc>
      </w:tr>
      <w:tr w:rsidR="00C24AA9" w:rsidRPr="008D325A" w:rsidTr="00AD3A4E">
        <w:trPr>
          <w:gridAfter w:val="1"/>
          <w:wAfter w:w="4" w:type="pct"/>
          <w:trHeight w:val="96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28</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привреде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Субвенције приватним предузећима за спровођење уговора о додели средстава подстицаја</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454</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000000" w:fill="FFFFFF"/>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1.352.768.040</w:t>
            </w:r>
          </w:p>
        </w:tc>
      </w:tr>
      <w:tr w:rsidR="00C24AA9" w:rsidRPr="008D325A" w:rsidTr="00AD3A4E">
        <w:trPr>
          <w:gridAfter w:val="1"/>
          <w:wAfter w:w="4" w:type="pct"/>
          <w:trHeight w:val="54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29</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Управа за извршење кривичних санкција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340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Радови на изградњи новог павиљона у КПЗ  Сремска Митровица</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241.000.000</w:t>
            </w:r>
          </w:p>
        </w:tc>
      </w:tr>
      <w:tr w:rsidR="00C24AA9" w:rsidRPr="008D325A" w:rsidTr="00AD3A4E">
        <w:trPr>
          <w:gridAfter w:val="1"/>
          <w:wAfter w:w="4" w:type="pct"/>
          <w:trHeight w:val="60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30</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Управа царина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Изградња граничног прелаза Сот</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79.500.000</w:t>
            </w:r>
          </w:p>
        </w:tc>
      </w:tr>
      <w:tr w:rsidR="00C24AA9" w:rsidRPr="008D325A" w:rsidTr="00AD3A4E">
        <w:trPr>
          <w:gridAfter w:val="1"/>
          <w:wAfter w:w="4" w:type="pct"/>
          <w:trHeight w:val="60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31</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Републичка дирекција за имовину Републике Србије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Изградња граничног прелаза Ватин</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75.957.000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32</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Управа за аграрна плаћања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420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Средства по основу субвенција за пољопривреду</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451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9.000.000.000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33</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Републичка дирекција за воде</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630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Изградња система за наводњавање - прва фаза</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01, 11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362.000.000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lastRenderedPageBreak/>
              <w:t>34</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здравља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760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Финансијски кредити ЕИБ-а за реконструкцију Клиничких центара</w:t>
            </w:r>
          </w:p>
        </w:tc>
        <w:tc>
          <w:tcPr>
            <w:tcW w:w="404"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424, 464, 465</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 xml:space="preserve">      01, 11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204.500.000</w:t>
            </w:r>
          </w:p>
        </w:tc>
      </w:tr>
      <w:tr w:rsidR="00C24AA9" w:rsidRPr="008D325A" w:rsidTr="00AD3A4E">
        <w:trPr>
          <w:gridAfter w:val="1"/>
          <w:wAfter w:w="4" w:type="pct"/>
          <w:trHeight w:val="165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35</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Споразум о зајму IBRD 8830YF (Додатно финансирање за други пројекат развоја здравства Србије) - адаптација два бункера за смештај линеарних акцелератора у Институту за онкологију Војводине</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108.400.000</w:t>
            </w:r>
          </w:p>
        </w:tc>
      </w:tr>
      <w:tr w:rsidR="00C24AA9" w:rsidRPr="008D325A" w:rsidTr="00AD3A4E">
        <w:trPr>
          <w:gridAfter w:val="1"/>
          <w:wAfter w:w="4" w:type="pct"/>
          <w:trHeight w:val="120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36</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 </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Набавка два линеарна акцелератора и једног ЦТ симулатора и остале пратеће опреме у Институту за онкологију Војводине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512</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210.000.000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37</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за рад, запошљавање, борачка и социјална питања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070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Закон о социјалној заштити</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120.000.000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38</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просвете, науке и технолошког развоја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140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Научно-технолошки парк у Новом Саду</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200.000.000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39</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980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Изградња образовно-истраживачког центра у Белој Цркви</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63.800.000</w:t>
            </w:r>
          </w:p>
        </w:tc>
      </w:tr>
      <w:tr w:rsidR="00C24AA9" w:rsidRPr="008D325A" w:rsidTr="00AD3A4E">
        <w:trPr>
          <w:gridAfter w:val="1"/>
          <w:wAfter w:w="4" w:type="pct"/>
          <w:trHeight w:val="88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40</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Министарство  трговине, туризма и телекомуникација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473</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Подршка раду „Парк Палић” д.о.о.</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451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10.000.000</w:t>
            </w:r>
          </w:p>
        </w:tc>
      </w:tr>
      <w:tr w:rsidR="00C24AA9" w:rsidRPr="008D325A" w:rsidTr="00AD3A4E">
        <w:trPr>
          <w:gridAfter w:val="1"/>
          <w:wAfter w:w="4" w:type="pct"/>
          <w:trHeight w:val="108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szCs w:val="24"/>
              </w:rPr>
            </w:pPr>
            <w:r w:rsidRPr="008D325A">
              <w:rPr>
                <w:rFonts w:ascii="Times New Roman" w:hAnsi="Times New Roman"/>
                <w:szCs w:val="24"/>
              </w:rPr>
              <w:t>41</w:t>
            </w:r>
          </w:p>
        </w:tc>
        <w:tc>
          <w:tcPr>
            <w:tcW w:w="121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color w:val="000000"/>
                <w:szCs w:val="24"/>
              </w:rPr>
            </w:pPr>
            <w:r w:rsidRPr="008D325A">
              <w:rPr>
                <w:rFonts w:ascii="Times New Roman" w:hAnsi="Times New Roman"/>
                <w:color w:val="000000"/>
                <w:szCs w:val="24"/>
              </w:rPr>
              <w:t>Канцеларија за управљање јавним улагањима</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110</w:t>
            </w:r>
          </w:p>
        </w:tc>
        <w:tc>
          <w:tcPr>
            <w:tcW w:w="1391"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left"/>
              <w:rPr>
                <w:rFonts w:ascii="Times New Roman" w:hAnsi="Times New Roman"/>
                <w:szCs w:val="24"/>
              </w:rPr>
            </w:pPr>
            <w:r w:rsidRPr="008D325A">
              <w:rPr>
                <w:rFonts w:ascii="Times New Roman" w:hAnsi="Times New Roman"/>
                <w:szCs w:val="24"/>
              </w:rPr>
              <w:t xml:space="preserve">Програм обнове и унапређења објеката јавне намене у јавној својини у области образовања, здравства и социјалне заштите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511</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01</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szCs w:val="24"/>
              </w:rPr>
            </w:pPr>
            <w:r w:rsidRPr="008D325A">
              <w:rPr>
                <w:rFonts w:ascii="Times New Roman" w:hAnsi="Times New Roman"/>
                <w:szCs w:val="24"/>
              </w:rPr>
              <w:t>1.150.000.000</w:t>
            </w:r>
          </w:p>
        </w:tc>
      </w:tr>
      <w:tr w:rsidR="00C24AA9" w:rsidRPr="008D325A" w:rsidTr="00AD3A4E">
        <w:trPr>
          <w:gridAfter w:val="1"/>
          <w:wAfter w:w="4" w:type="pct"/>
          <w:trHeight w:val="525"/>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b/>
                <w:bCs/>
                <w:color w:val="000000"/>
                <w:szCs w:val="24"/>
              </w:rPr>
            </w:pPr>
            <w:r w:rsidRPr="008D325A">
              <w:rPr>
                <w:rFonts w:ascii="Times New Roman" w:hAnsi="Times New Roman"/>
                <w:b/>
                <w:bCs/>
                <w:color w:val="000000"/>
                <w:szCs w:val="24"/>
              </w:rPr>
              <w:t>II</w:t>
            </w:r>
          </w:p>
        </w:tc>
        <w:tc>
          <w:tcPr>
            <w:tcW w:w="121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b/>
                <w:bCs/>
                <w:color w:val="000000"/>
                <w:szCs w:val="24"/>
              </w:rPr>
            </w:pPr>
            <w:r w:rsidRPr="008D325A">
              <w:rPr>
                <w:rFonts w:ascii="Times New Roman" w:hAnsi="Times New Roman"/>
                <w:b/>
                <w:bCs/>
                <w:color w:val="000000"/>
                <w:szCs w:val="24"/>
              </w:rPr>
              <w:t>СВЕГА (од 24 до 41)</w:t>
            </w:r>
          </w:p>
        </w:tc>
        <w:tc>
          <w:tcPr>
            <w:tcW w:w="58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center"/>
              <w:rPr>
                <w:rFonts w:ascii="Times New Roman" w:hAnsi="Times New Roman"/>
                <w:color w:val="000000"/>
                <w:szCs w:val="24"/>
              </w:rPr>
            </w:pPr>
            <w:r w:rsidRPr="008D325A">
              <w:rPr>
                <w:rFonts w:ascii="Times New Roman" w:hAnsi="Times New Roman"/>
                <w:color w:val="000000"/>
                <w:szCs w:val="24"/>
              </w:rPr>
              <w:t> </w:t>
            </w:r>
          </w:p>
        </w:tc>
        <w:tc>
          <w:tcPr>
            <w:tcW w:w="1391"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color w:val="000000"/>
                <w:szCs w:val="24"/>
              </w:rPr>
            </w:pPr>
            <w:r w:rsidRPr="008D325A">
              <w:rPr>
                <w:rFonts w:ascii="Times New Roman" w:hAnsi="Times New Roman"/>
                <w:color w:val="000000"/>
                <w:szCs w:val="24"/>
              </w:rPr>
              <w:t> </w:t>
            </w:r>
          </w:p>
        </w:tc>
        <w:tc>
          <w:tcPr>
            <w:tcW w:w="404"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left"/>
              <w:rPr>
                <w:rFonts w:ascii="Times New Roman" w:hAnsi="Times New Roman"/>
                <w:color w:val="000000"/>
                <w:szCs w:val="24"/>
              </w:rPr>
            </w:pPr>
            <w:r w:rsidRPr="008D325A">
              <w:rPr>
                <w:rFonts w:ascii="Times New Roman" w:hAnsi="Times New Roman"/>
                <w:color w:val="000000"/>
                <w:szCs w:val="24"/>
              </w:rPr>
              <w:t> </w:t>
            </w:r>
          </w:p>
        </w:tc>
        <w:tc>
          <w:tcPr>
            <w:tcW w:w="268" w:type="pct"/>
            <w:tcBorders>
              <w:top w:val="nil"/>
              <w:left w:val="nil"/>
              <w:bottom w:val="single" w:sz="4" w:space="0" w:color="auto"/>
              <w:right w:val="single" w:sz="4" w:space="0" w:color="auto"/>
            </w:tcBorders>
            <w:shd w:val="clear" w:color="auto" w:fill="auto"/>
            <w:vAlign w:val="center"/>
            <w:hideMark/>
          </w:tcPr>
          <w:p w:rsidR="00B856FE" w:rsidRPr="008D325A" w:rsidRDefault="00B856FE" w:rsidP="005F1392">
            <w:pPr>
              <w:tabs>
                <w:tab w:val="clear" w:pos="1440"/>
              </w:tabs>
              <w:jc w:val="right"/>
              <w:rPr>
                <w:rFonts w:ascii="Times New Roman" w:hAnsi="Times New Roman"/>
                <w:color w:val="000000"/>
                <w:szCs w:val="24"/>
              </w:rPr>
            </w:pPr>
            <w:r w:rsidRPr="008D325A">
              <w:rPr>
                <w:rFonts w:ascii="Times New Roman" w:hAnsi="Times New Roman"/>
                <w:color w:val="000000"/>
                <w:szCs w:val="24"/>
              </w:rPr>
              <w:t> </w:t>
            </w:r>
          </w:p>
        </w:tc>
        <w:tc>
          <w:tcPr>
            <w:tcW w:w="873" w:type="pct"/>
            <w:tcBorders>
              <w:top w:val="nil"/>
              <w:left w:val="nil"/>
              <w:bottom w:val="single" w:sz="4" w:space="0" w:color="auto"/>
              <w:right w:val="single" w:sz="4" w:space="0" w:color="auto"/>
            </w:tcBorders>
            <w:shd w:val="clear" w:color="auto" w:fill="auto"/>
            <w:noWrap/>
            <w:vAlign w:val="center"/>
            <w:hideMark/>
          </w:tcPr>
          <w:p w:rsidR="00B856FE" w:rsidRPr="008D325A" w:rsidRDefault="00B856FE" w:rsidP="005F1392">
            <w:pPr>
              <w:tabs>
                <w:tab w:val="clear" w:pos="1440"/>
              </w:tabs>
              <w:jc w:val="right"/>
              <w:rPr>
                <w:rFonts w:ascii="Times New Roman" w:hAnsi="Times New Roman"/>
                <w:b/>
                <w:bCs/>
                <w:szCs w:val="24"/>
              </w:rPr>
            </w:pPr>
            <w:r w:rsidRPr="008D325A">
              <w:rPr>
                <w:rFonts w:ascii="Times New Roman" w:hAnsi="Times New Roman"/>
                <w:b/>
                <w:bCs/>
                <w:szCs w:val="24"/>
              </w:rPr>
              <w:t>24.368.925.040</w:t>
            </w:r>
          </w:p>
        </w:tc>
      </w:tr>
      <w:tr w:rsidR="00C24AA9" w:rsidRPr="008D325A" w:rsidTr="00AD3A4E">
        <w:trPr>
          <w:gridAfter w:val="1"/>
          <w:wAfter w:w="4" w:type="pct"/>
          <w:trHeight w:val="480"/>
        </w:trPr>
        <w:tc>
          <w:tcPr>
            <w:tcW w:w="266" w:type="pct"/>
            <w:tcBorders>
              <w:top w:val="nil"/>
              <w:left w:val="single" w:sz="4" w:space="0" w:color="auto"/>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center"/>
              <w:rPr>
                <w:rFonts w:ascii="Times New Roman" w:hAnsi="Times New Roman"/>
                <w:b/>
                <w:bCs/>
                <w:color w:val="000000"/>
                <w:szCs w:val="24"/>
              </w:rPr>
            </w:pPr>
            <w:r w:rsidRPr="008D325A">
              <w:rPr>
                <w:rFonts w:ascii="Times New Roman" w:hAnsi="Times New Roman"/>
                <w:b/>
                <w:bCs/>
                <w:color w:val="000000"/>
                <w:szCs w:val="24"/>
              </w:rPr>
              <w:t> </w:t>
            </w:r>
          </w:p>
        </w:tc>
        <w:tc>
          <w:tcPr>
            <w:tcW w:w="1211" w:type="pct"/>
            <w:tcBorders>
              <w:top w:val="nil"/>
              <w:left w:val="nil"/>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right"/>
              <w:rPr>
                <w:rFonts w:ascii="Times New Roman" w:hAnsi="Times New Roman"/>
                <w:b/>
                <w:bCs/>
                <w:color w:val="000000"/>
                <w:szCs w:val="24"/>
              </w:rPr>
            </w:pPr>
            <w:r w:rsidRPr="008D325A">
              <w:rPr>
                <w:rFonts w:ascii="Times New Roman" w:hAnsi="Times New Roman"/>
                <w:b/>
                <w:bCs/>
                <w:color w:val="000000"/>
                <w:szCs w:val="24"/>
              </w:rPr>
              <w:t xml:space="preserve">УКУПНО (I+II) </w:t>
            </w:r>
          </w:p>
        </w:tc>
        <w:tc>
          <w:tcPr>
            <w:tcW w:w="583" w:type="pct"/>
            <w:tcBorders>
              <w:top w:val="nil"/>
              <w:left w:val="nil"/>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right"/>
              <w:rPr>
                <w:rFonts w:ascii="Times New Roman" w:hAnsi="Times New Roman"/>
                <w:b/>
                <w:bCs/>
                <w:color w:val="000000"/>
                <w:szCs w:val="24"/>
              </w:rPr>
            </w:pPr>
            <w:r w:rsidRPr="008D325A">
              <w:rPr>
                <w:rFonts w:ascii="Times New Roman" w:hAnsi="Times New Roman"/>
                <w:b/>
                <w:bCs/>
                <w:color w:val="000000"/>
                <w:szCs w:val="24"/>
              </w:rPr>
              <w:t> </w:t>
            </w:r>
          </w:p>
        </w:tc>
        <w:tc>
          <w:tcPr>
            <w:tcW w:w="1391" w:type="pct"/>
            <w:tcBorders>
              <w:top w:val="nil"/>
              <w:left w:val="nil"/>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right"/>
              <w:rPr>
                <w:rFonts w:ascii="Times New Roman" w:hAnsi="Times New Roman"/>
                <w:b/>
                <w:bCs/>
                <w:color w:val="000000"/>
                <w:szCs w:val="24"/>
              </w:rPr>
            </w:pPr>
            <w:r w:rsidRPr="008D325A">
              <w:rPr>
                <w:rFonts w:ascii="Times New Roman" w:hAnsi="Times New Roman"/>
                <w:b/>
                <w:bCs/>
                <w:color w:val="000000"/>
                <w:szCs w:val="24"/>
              </w:rPr>
              <w:t> </w:t>
            </w:r>
          </w:p>
        </w:tc>
        <w:tc>
          <w:tcPr>
            <w:tcW w:w="404" w:type="pct"/>
            <w:tcBorders>
              <w:top w:val="nil"/>
              <w:left w:val="nil"/>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right"/>
              <w:rPr>
                <w:rFonts w:ascii="Times New Roman" w:hAnsi="Times New Roman"/>
                <w:b/>
                <w:bCs/>
                <w:color w:val="000000"/>
                <w:szCs w:val="24"/>
              </w:rPr>
            </w:pPr>
            <w:r w:rsidRPr="008D325A">
              <w:rPr>
                <w:rFonts w:ascii="Times New Roman" w:hAnsi="Times New Roman"/>
                <w:b/>
                <w:bCs/>
                <w:color w:val="000000"/>
                <w:szCs w:val="24"/>
              </w:rPr>
              <w:t> </w:t>
            </w:r>
          </w:p>
        </w:tc>
        <w:tc>
          <w:tcPr>
            <w:tcW w:w="268" w:type="pct"/>
            <w:tcBorders>
              <w:top w:val="nil"/>
              <w:left w:val="nil"/>
              <w:bottom w:val="single" w:sz="4" w:space="0" w:color="auto"/>
              <w:right w:val="single" w:sz="4" w:space="0" w:color="auto"/>
            </w:tcBorders>
            <w:shd w:val="clear" w:color="000000" w:fill="A6A6A6"/>
            <w:vAlign w:val="center"/>
            <w:hideMark/>
          </w:tcPr>
          <w:p w:rsidR="00B856FE" w:rsidRPr="008D325A" w:rsidRDefault="00B856FE" w:rsidP="005F1392">
            <w:pPr>
              <w:tabs>
                <w:tab w:val="clear" w:pos="1440"/>
              </w:tabs>
              <w:jc w:val="right"/>
              <w:rPr>
                <w:rFonts w:ascii="Times New Roman" w:hAnsi="Times New Roman"/>
                <w:color w:val="000000"/>
                <w:szCs w:val="24"/>
              </w:rPr>
            </w:pPr>
            <w:r w:rsidRPr="008D325A">
              <w:rPr>
                <w:rFonts w:ascii="Times New Roman" w:hAnsi="Times New Roman"/>
                <w:color w:val="000000"/>
                <w:szCs w:val="24"/>
              </w:rPr>
              <w:t> </w:t>
            </w:r>
          </w:p>
        </w:tc>
        <w:tc>
          <w:tcPr>
            <w:tcW w:w="873" w:type="pct"/>
            <w:tcBorders>
              <w:top w:val="nil"/>
              <w:left w:val="nil"/>
              <w:bottom w:val="single" w:sz="4" w:space="0" w:color="auto"/>
              <w:right w:val="single" w:sz="4" w:space="0" w:color="auto"/>
            </w:tcBorders>
            <w:shd w:val="clear" w:color="000000" w:fill="A6A6A6"/>
            <w:noWrap/>
            <w:vAlign w:val="center"/>
            <w:hideMark/>
          </w:tcPr>
          <w:p w:rsidR="00B856FE" w:rsidRPr="008D325A" w:rsidRDefault="00B856FE" w:rsidP="005F1392">
            <w:pPr>
              <w:tabs>
                <w:tab w:val="clear" w:pos="1440"/>
              </w:tabs>
              <w:jc w:val="right"/>
              <w:rPr>
                <w:rFonts w:ascii="Times New Roman" w:hAnsi="Times New Roman"/>
                <w:b/>
                <w:bCs/>
                <w:szCs w:val="24"/>
              </w:rPr>
            </w:pPr>
            <w:r w:rsidRPr="008D325A">
              <w:rPr>
                <w:rFonts w:ascii="Times New Roman" w:hAnsi="Times New Roman"/>
                <w:b/>
                <w:bCs/>
                <w:szCs w:val="24"/>
              </w:rPr>
              <w:t>68.948.252.778</w:t>
            </w:r>
          </w:p>
        </w:tc>
      </w:tr>
    </w:tbl>
    <w:p w:rsidR="00B856FE" w:rsidRPr="008D325A" w:rsidRDefault="00B856FE" w:rsidP="00633B47">
      <w:pPr>
        <w:tabs>
          <w:tab w:val="left" w:pos="720"/>
        </w:tabs>
        <w:rPr>
          <w:rFonts w:ascii="Times New Roman" w:hAnsi="Times New Roman"/>
          <w:szCs w:val="24"/>
        </w:rPr>
      </w:pPr>
    </w:p>
    <w:p w:rsidR="00A33057" w:rsidRPr="008D325A" w:rsidRDefault="00A33057" w:rsidP="00983B07">
      <w:pPr>
        <w:tabs>
          <w:tab w:val="left" w:pos="720"/>
        </w:tabs>
        <w:rPr>
          <w:rFonts w:ascii="Times New Roman" w:hAnsi="Times New Roman"/>
          <w:sz w:val="23"/>
          <w:szCs w:val="23"/>
        </w:rPr>
      </w:pPr>
    </w:p>
    <w:p w:rsidR="007104F0" w:rsidRPr="008D325A" w:rsidRDefault="00BB1E10" w:rsidP="00BB1E10">
      <w:pPr>
        <w:tabs>
          <w:tab w:val="clear" w:pos="1440"/>
          <w:tab w:val="left" w:pos="720"/>
        </w:tabs>
        <w:jc w:val="left"/>
        <w:outlineLvl w:val="0"/>
        <w:rPr>
          <w:rStyle w:val="CharCharChar5"/>
          <w:rFonts w:ascii="Times New Roman" w:hAnsi="Times New Roman"/>
          <w:szCs w:val="24"/>
        </w:rPr>
      </w:pPr>
      <w:r w:rsidRPr="008D325A">
        <w:rPr>
          <w:rStyle w:val="CharCharChar5"/>
          <w:rFonts w:ascii="Times New Roman" w:hAnsi="Times New Roman"/>
          <w:b/>
          <w:sz w:val="23"/>
          <w:szCs w:val="23"/>
        </w:rPr>
        <w:tab/>
      </w:r>
      <w:r w:rsidR="007104F0" w:rsidRPr="008D325A">
        <w:rPr>
          <w:rStyle w:val="CharCharChar5"/>
          <w:rFonts w:ascii="Times New Roman" w:hAnsi="Times New Roman"/>
          <w:b/>
          <w:szCs w:val="24"/>
        </w:rPr>
        <w:t>Трансфери осталим нивоима власти (јединицама локалне самоуправе)</w:t>
      </w:r>
    </w:p>
    <w:p w:rsidR="007104F0" w:rsidRPr="008D325A" w:rsidRDefault="00BB1E10" w:rsidP="00BB1E10">
      <w:pPr>
        <w:tabs>
          <w:tab w:val="clear" w:pos="1440"/>
          <w:tab w:val="left" w:pos="720"/>
        </w:tabs>
        <w:rPr>
          <w:rStyle w:val="CharCharChar5"/>
          <w:rFonts w:ascii="Times New Roman" w:hAnsi="Times New Roman"/>
          <w:szCs w:val="24"/>
          <w:highlight w:val="yellow"/>
        </w:rPr>
      </w:pPr>
      <w:r w:rsidRPr="008D325A">
        <w:rPr>
          <w:rStyle w:val="CharCharChar5"/>
          <w:rFonts w:ascii="Times New Roman" w:hAnsi="Times New Roman"/>
          <w:szCs w:val="24"/>
        </w:rPr>
        <w:tab/>
      </w:r>
      <w:r w:rsidR="007104F0" w:rsidRPr="008D325A">
        <w:rPr>
          <w:rStyle w:val="CharCharChar5"/>
          <w:rFonts w:ascii="Times New Roman" w:hAnsi="Times New Roman"/>
          <w:szCs w:val="24"/>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w:t>
      </w:r>
      <w:r w:rsidR="0031241C" w:rsidRPr="008D325A">
        <w:rPr>
          <w:rStyle w:val="CharCharChar5"/>
          <w:rFonts w:ascii="Times New Roman" w:hAnsi="Times New Roman"/>
          <w:szCs w:val="24"/>
        </w:rPr>
        <w:t xml:space="preserve"> 33.327.366.000</w:t>
      </w:r>
      <w:r w:rsidR="007104F0" w:rsidRPr="008D325A">
        <w:rPr>
          <w:rStyle w:val="CharCharChar5"/>
          <w:rFonts w:ascii="Times New Roman" w:hAnsi="Times New Roman"/>
          <w:szCs w:val="24"/>
        </w:rPr>
        <w:t xml:space="preserve"> динара.</w:t>
      </w:r>
      <w:r w:rsidR="007104F0" w:rsidRPr="008D325A">
        <w:rPr>
          <w:rStyle w:val="CharCharChar5"/>
          <w:rFonts w:ascii="Times New Roman" w:hAnsi="Times New Roman"/>
          <w:szCs w:val="24"/>
          <w:highlight w:val="yellow"/>
        </w:rPr>
        <w:t xml:space="preserve"> </w:t>
      </w:r>
    </w:p>
    <w:p w:rsidR="002742F3" w:rsidRPr="008D325A" w:rsidRDefault="002742F3" w:rsidP="002742F3">
      <w:pPr>
        <w:tabs>
          <w:tab w:val="left" w:pos="900"/>
          <w:tab w:val="center" w:pos="1134"/>
        </w:tabs>
        <w:rPr>
          <w:rFonts w:ascii="Times New Roman" w:hAnsi="Times New Roman"/>
          <w:szCs w:val="24"/>
        </w:rPr>
      </w:pPr>
    </w:p>
    <w:p w:rsidR="0062702D" w:rsidRPr="008D325A" w:rsidRDefault="00BB1E10" w:rsidP="00BB1E10">
      <w:pPr>
        <w:tabs>
          <w:tab w:val="left" w:pos="720"/>
        </w:tabs>
        <w:rPr>
          <w:rFonts w:ascii="Times New Roman" w:hAnsi="Times New Roman"/>
          <w:szCs w:val="24"/>
        </w:rPr>
      </w:pPr>
      <w:r w:rsidRPr="008D325A">
        <w:rPr>
          <w:rFonts w:ascii="Times New Roman" w:hAnsi="Times New Roman"/>
          <w:b/>
          <w:bCs/>
          <w:spacing w:val="-2"/>
          <w:szCs w:val="24"/>
        </w:rPr>
        <w:lastRenderedPageBreak/>
        <w:tab/>
      </w:r>
      <w:r w:rsidR="0062702D" w:rsidRPr="008D325A">
        <w:rPr>
          <w:rFonts w:ascii="Times New Roman" w:hAnsi="Times New Roman"/>
          <w:b/>
          <w:bCs/>
          <w:spacing w:val="-2"/>
          <w:szCs w:val="24"/>
        </w:rPr>
        <w:t>Дотације</w:t>
      </w:r>
      <w:r w:rsidR="0062702D" w:rsidRPr="008D325A">
        <w:rPr>
          <w:rFonts w:ascii="Times New Roman" w:hAnsi="Times New Roman"/>
          <w:spacing w:val="-2"/>
          <w:szCs w:val="24"/>
        </w:rPr>
        <w:t xml:space="preserve"> </w:t>
      </w:r>
      <w:r w:rsidR="0062702D" w:rsidRPr="008D325A">
        <w:rPr>
          <w:rFonts w:ascii="Times New Roman" w:hAnsi="Times New Roman"/>
          <w:b/>
          <w:bCs/>
          <w:spacing w:val="-2"/>
          <w:szCs w:val="24"/>
        </w:rPr>
        <w:t>организацијама обавезног социјалног осигурања</w:t>
      </w:r>
      <w:r w:rsidR="0062702D" w:rsidRPr="008D325A">
        <w:rPr>
          <w:rFonts w:ascii="Times New Roman" w:hAnsi="Times New Roman"/>
          <w:spacing w:val="-2"/>
          <w:szCs w:val="24"/>
        </w:rPr>
        <w:t xml:space="preserve"> </w:t>
      </w:r>
      <w:r w:rsidR="0062702D" w:rsidRPr="008D325A">
        <w:rPr>
          <w:rFonts w:ascii="Times New Roman" w:hAnsi="Times New Roman"/>
          <w:szCs w:val="24"/>
        </w:rPr>
        <w:t>утврђене су укупном износу од 217,54  млрд динара.</w:t>
      </w:r>
    </w:p>
    <w:p w:rsidR="0062702D" w:rsidRPr="008D325A" w:rsidRDefault="0062702D" w:rsidP="0062702D">
      <w:pPr>
        <w:ind w:firstLine="709"/>
        <w:rPr>
          <w:rFonts w:ascii="Times New Roman" w:hAnsi="Times New Roman"/>
          <w:szCs w:val="24"/>
        </w:rPr>
      </w:pPr>
      <w:r w:rsidRPr="008D325A">
        <w:rPr>
          <w:rFonts w:ascii="Times New Roman" w:hAnsi="Times New Roman"/>
          <w:szCs w:val="24"/>
        </w:rPr>
        <w:t xml:space="preserve">Трансфери ка Националној служби за запошљавање планирани су у укупном износу од 1,0 млрд динара и то са раздела Министарства финансија у износу од 0,45 млрд динара за подршку Националнoj служби за запошљавање и са раздела Министарства за рад, запошљавање, борачка и социјална питања из Буџетског фонда за професионалну рехабилитацију и подстицање запошљавања особа са инвалидитетом у износу од 0,55 млрд динара. </w:t>
      </w:r>
    </w:p>
    <w:p w:rsidR="0062702D" w:rsidRPr="008D325A" w:rsidRDefault="0062702D" w:rsidP="0062702D">
      <w:pPr>
        <w:ind w:firstLine="709"/>
        <w:rPr>
          <w:rFonts w:ascii="Times New Roman" w:hAnsi="Times New Roman"/>
          <w:szCs w:val="24"/>
        </w:rPr>
      </w:pPr>
      <w:r w:rsidRPr="008D325A">
        <w:rPr>
          <w:rFonts w:ascii="Times New Roman" w:hAnsi="Times New Roman"/>
          <w:szCs w:val="24"/>
        </w:rPr>
        <w:t xml:space="preserve">Трансфери ка Републичком фонду за пензијско и инвалидско осигурање планирани су у укупном износу од 181,4 млрд динара и то са раздела Министарства финансија у износу од 181,14 млрд динара и са раздела Управе за сарадњу с црквама и верским заједницама у износу од 0,26 млрд динара. </w:t>
      </w:r>
    </w:p>
    <w:p w:rsidR="0062702D" w:rsidRPr="008D325A" w:rsidRDefault="0062702D" w:rsidP="0062702D">
      <w:pPr>
        <w:ind w:firstLine="709"/>
        <w:rPr>
          <w:rFonts w:ascii="Times New Roman" w:hAnsi="Times New Roman"/>
          <w:szCs w:val="24"/>
        </w:rPr>
      </w:pPr>
      <w:r w:rsidRPr="008D325A">
        <w:rPr>
          <w:rFonts w:ascii="Times New Roman" w:hAnsi="Times New Roman"/>
          <w:szCs w:val="24"/>
        </w:rPr>
        <w:t>Трансфери ка Републичком фонду за здравствено осигурање планирани су у укупном износу од 34,7 млрд динара и то: са раздела Министарства финансија у износу од 25,65 млрд динара од чега због смањене стопе доприноса за здравствено осигурање у износу од 25,45 млрд динара и по основу доприноса за здравствено осигурање за одређена привредна друштва у износу од 0,2 млрд динара; са раздела Министарства здравља у износу од 9,05 млрд динара и то 3,0 млрд динара за накнаду зараде у случају привремене спречености за рад због болести или компликација у вези са одржавањем трудноће, 2,0 млрд динара за здравствену заштиту лица оболелих од ретких болести, 4,0 млрд динара за здравствену заштиту лица која се сматрају осигураницима по члану 22. став 1. Закона о здравственој заштити и 0,05 млрд динара за отпремнине услед очекиваног одлива запослених у здравственим установама.</w:t>
      </w:r>
      <w:r w:rsidRPr="008D325A">
        <w:rPr>
          <w:rFonts w:ascii="Times New Roman" w:hAnsi="Times New Roman"/>
          <w:szCs w:val="24"/>
        </w:rPr>
        <w:tab/>
      </w:r>
    </w:p>
    <w:p w:rsidR="0062702D" w:rsidRPr="008D325A" w:rsidRDefault="0062702D" w:rsidP="0062702D">
      <w:pPr>
        <w:ind w:firstLine="709"/>
        <w:rPr>
          <w:rFonts w:ascii="Times New Roman" w:hAnsi="Times New Roman"/>
          <w:szCs w:val="24"/>
        </w:rPr>
      </w:pPr>
      <w:r w:rsidRPr="008D325A">
        <w:rPr>
          <w:rFonts w:ascii="Times New Roman" w:hAnsi="Times New Roman"/>
          <w:szCs w:val="24"/>
        </w:rPr>
        <w:t>Трансфери ка Фонду за социјално осигурање војних осигураника су планирани у износу од 0,44 млрд динара са раздела Министарства одбране за накнаду дела трошкова за становање корисницима војних пензија.</w:t>
      </w:r>
    </w:p>
    <w:p w:rsidR="0062702D" w:rsidRPr="008D325A" w:rsidRDefault="0062702D" w:rsidP="0062702D">
      <w:pPr>
        <w:tabs>
          <w:tab w:val="clear" w:pos="1440"/>
          <w:tab w:val="left" w:pos="720"/>
          <w:tab w:val="left" w:pos="900"/>
        </w:tabs>
        <w:rPr>
          <w:rFonts w:ascii="Times New Roman" w:hAnsi="Times New Roman"/>
          <w:szCs w:val="24"/>
        </w:rPr>
      </w:pPr>
      <w:r w:rsidRPr="008D325A">
        <w:rPr>
          <w:rFonts w:ascii="Times New Roman" w:hAnsi="Times New Roman"/>
          <w:szCs w:val="24"/>
        </w:rPr>
        <w:tab/>
        <w:t>Остале дотације организацијама обавезног социјалног осигурања износе 4,4</w:t>
      </w:r>
      <w:r w:rsidR="00971FA1" w:rsidRPr="008D325A">
        <w:rPr>
          <w:rFonts w:ascii="Times New Roman" w:hAnsi="Times New Roman"/>
          <w:szCs w:val="24"/>
        </w:rPr>
        <w:t>1</w:t>
      </w:r>
      <w:r w:rsidRPr="008D325A">
        <w:rPr>
          <w:rFonts w:ascii="Times New Roman" w:hAnsi="Times New Roman"/>
          <w:szCs w:val="24"/>
        </w:rPr>
        <w:t xml:space="preserve"> млрд динара (реконструкција, модернизација, реорганизација, унапређење и доградња клиничких центара, изградња и опремање као и набавка медицинске опреме за потребе здравствених установа). </w:t>
      </w:r>
    </w:p>
    <w:p w:rsidR="0062702D" w:rsidRPr="008D325A" w:rsidRDefault="0062702D" w:rsidP="0062702D">
      <w:pPr>
        <w:tabs>
          <w:tab w:val="left" w:pos="900"/>
        </w:tabs>
        <w:rPr>
          <w:rFonts w:ascii="Times New Roman" w:hAnsi="Times New Roman"/>
          <w:szCs w:val="24"/>
          <w:highlight w:val="yellow"/>
        </w:rPr>
      </w:pPr>
    </w:p>
    <w:p w:rsidR="0062702D" w:rsidRPr="008D325A" w:rsidRDefault="00BB1E10" w:rsidP="00BB1E10">
      <w:pPr>
        <w:tabs>
          <w:tab w:val="left" w:pos="720"/>
        </w:tabs>
        <w:rPr>
          <w:rFonts w:ascii="Times New Roman" w:hAnsi="Times New Roman"/>
          <w:szCs w:val="24"/>
        </w:rPr>
      </w:pPr>
      <w:r w:rsidRPr="008D325A">
        <w:rPr>
          <w:rFonts w:ascii="Times New Roman" w:hAnsi="Times New Roman"/>
          <w:b/>
          <w:bCs/>
          <w:spacing w:val="-2"/>
          <w:szCs w:val="24"/>
        </w:rPr>
        <w:tab/>
      </w:r>
      <w:r w:rsidR="0062702D" w:rsidRPr="008D325A">
        <w:rPr>
          <w:rFonts w:ascii="Times New Roman" w:hAnsi="Times New Roman"/>
          <w:b/>
          <w:bCs/>
          <w:spacing w:val="-2"/>
          <w:szCs w:val="24"/>
        </w:rPr>
        <w:t>Накнаде за социјалну заштиту из буџета</w:t>
      </w:r>
      <w:r w:rsidR="0062702D" w:rsidRPr="008D325A">
        <w:rPr>
          <w:rFonts w:ascii="Times New Roman" w:hAnsi="Times New Roman"/>
          <w:szCs w:val="24"/>
        </w:rPr>
        <w:t xml:space="preserve"> </w:t>
      </w:r>
    </w:p>
    <w:p w:rsidR="0062702D" w:rsidRPr="008D325A" w:rsidRDefault="0062702D" w:rsidP="0062702D">
      <w:pPr>
        <w:tabs>
          <w:tab w:val="clear" w:pos="1440"/>
          <w:tab w:val="left" w:pos="720"/>
        </w:tabs>
        <w:rPr>
          <w:rFonts w:ascii="Times New Roman" w:hAnsi="Times New Roman"/>
          <w:szCs w:val="24"/>
        </w:rPr>
      </w:pPr>
      <w:r w:rsidRPr="008D325A">
        <w:rPr>
          <w:rFonts w:ascii="Times New Roman" w:hAnsi="Times New Roman"/>
          <w:szCs w:val="24"/>
        </w:rPr>
        <w:tab/>
        <w:t>Нова законска решења</w:t>
      </w:r>
      <w:r w:rsidR="00615EA1" w:rsidRPr="008D325A">
        <w:rPr>
          <w:rFonts w:ascii="Times New Roman" w:hAnsi="Times New Roman"/>
          <w:szCs w:val="24"/>
        </w:rPr>
        <w:t xml:space="preserve"> у области социјалне политике</w:t>
      </w:r>
      <w:r w:rsidRPr="008D325A">
        <w:rPr>
          <w:rFonts w:ascii="Times New Roman" w:hAnsi="Times New Roman"/>
          <w:szCs w:val="24"/>
        </w:rPr>
        <w:t xml:space="preserve"> доприносе испуњавању циљева утврђених Стратегиј</w:t>
      </w:r>
      <w:r w:rsidR="00615EA1" w:rsidRPr="008D325A">
        <w:rPr>
          <w:rFonts w:ascii="Times New Roman" w:hAnsi="Times New Roman"/>
          <w:szCs w:val="24"/>
        </w:rPr>
        <w:t>ом</w:t>
      </w:r>
      <w:r w:rsidRPr="008D325A">
        <w:rPr>
          <w:rFonts w:ascii="Times New Roman" w:hAnsi="Times New Roman"/>
          <w:szCs w:val="24"/>
        </w:rPr>
        <w:t xml:space="preserve"> подстицања рађања</w:t>
      </w:r>
      <w:r w:rsidR="00615EA1" w:rsidRPr="008D325A">
        <w:rPr>
          <w:rFonts w:ascii="Times New Roman" w:hAnsi="Times New Roman"/>
          <w:szCs w:val="24"/>
        </w:rPr>
        <w:t>,</w:t>
      </w:r>
      <w:r w:rsidRPr="008D325A">
        <w:rPr>
          <w:rFonts w:ascii="Times New Roman" w:hAnsi="Times New Roman"/>
          <w:szCs w:val="24"/>
        </w:rPr>
        <w:t xml:space="preserve"> </w:t>
      </w:r>
      <w:r w:rsidR="00615EA1" w:rsidRPr="008D325A">
        <w:rPr>
          <w:rFonts w:ascii="Times New Roman" w:hAnsi="Times New Roman"/>
          <w:szCs w:val="24"/>
        </w:rPr>
        <w:t>чиме</w:t>
      </w:r>
      <w:r w:rsidRPr="008D325A">
        <w:rPr>
          <w:rFonts w:ascii="Times New Roman" w:hAnsi="Times New Roman"/>
          <w:szCs w:val="24"/>
        </w:rPr>
        <w:t xml:space="preserve"> се недвосмислено потврђује опредељење државе да се подстицајним мерама увећаног родитељског додатка ухвати у коштац са једним од највећих проблема - недовољним бројем новорођене деце. Такође, нова законска решења не представљају само опредељење државе у области социјалне политике, већ су</w:t>
      </w:r>
      <w:r w:rsidR="00615EA1" w:rsidRPr="008D325A">
        <w:rPr>
          <w:rFonts w:ascii="Times New Roman" w:hAnsi="Times New Roman"/>
          <w:szCs w:val="24"/>
        </w:rPr>
        <w:t xml:space="preserve"> </w:t>
      </w:r>
      <w:r w:rsidRPr="008D325A">
        <w:rPr>
          <w:rFonts w:ascii="Times New Roman" w:hAnsi="Times New Roman"/>
          <w:szCs w:val="24"/>
        </w:rPr>
        <w:t>укључујући демографске потребе, истовремено и важан инструмент популационе политике.</w:t>
      </w:r>
    </w:p>
    <w:p w:rsidR="007D4247" w:rsidRPr="008D325A" w:rsidRDefault="007D4247" w:rsidP="0062702D">
      <w:pPr>
        <w:tabs>
          <w:tab w:val="clear" w:pos="1440"/>
          <w:tab w:val="left" w:pos="720"/>
        </w:tabs>
        <w:rPr>
          <w:rFonts w:ascii="Times New Roman" w:hAnsi="Times New Roman"/>
          <w:szCs w:val="24"/>
        </w:rPr>
      </w:pPr>
    </w:p>
    <w:p w:rsidR="007D4247" w:rsidRPr="008D325A" w:rsidRDefault="007D4247" w:rsidP="007D4247">
      <w:pPr>
        <w:tabs>
          <w:tab w:val="clear" w:pos="1440"/>
          <w:tab w:val="left" w:pos="720"/>
        </w:tabs>
      </w:pPr>
      <w:r w:rsidRPr="008D325A">
        <w:rPr>
          <w:rFonts w:ascii="Times New Roman" w:hAnsi="Times New Roman"/>
          <w:b/>
          <w:szCs w:val="24"/>
        </w:rPr>
        <w:tab/>
        <w:t>Издаци за нефинансијску имовину</w:t>
      </w:r>
      <w:r w:rsidRPr="008D325A">
        <w:t xml:space="preserve"> </w:t>
      </w:r>
      <w:r w:rsidRPr="008D325A">
        <w:rPr>
          <w:rFonts w:ascii="Times New Roman" w:hAnsi="Times New Roman"/>
          <w:szCs w:val="24"/>
        </w:rPr>
        <w:t xml:space="preserve">за 2019. годину планирани су у </w:t>
      </w:r>
      <w:r w:rsidR="003A6118" w:rsidRPr="008D325A">
        <w:rPr>
          <w:rFonts w:ascii="Times New Roman" w:hAnsi="Times New Roman"/>
          <w:szCs w:val="24"/>
        </w:rPr>
        <w:t>укупном износу од</w:t>
      </w:r>
      <w:r w:rsidRPr="008D325A">
        <w:rPr>
          <w:rFonts w:ascii="Times New Roman" w:hAnsi="Times New Roman"/>
          <w:szCs w:val="24"/>
        </w:rPr>
        <w:t xml:space="preserve"> 165,</w:t>
      </w:r>
      <w:r w:rsidR="008008F7" w:rsidRPr="008D325A">
        <w:rPr>
          <w:rFonts w:ascii="Times New Roman" w:hAnsi="Times New Roman"/>
          <w:szCs w:val="24"/>
        </w:rPr>
        <w:t>5</w:t>
      </w:r>
      <w:r w:rsidR="001142B9" w:rsidRPr="008D325A">
        <w:rPr>
          <w:rFonts w:ascii="Times New Roman" w:hAnsi="Times New Roman"/>
          <w:szCs w:val="24"/>
        </w:rPr>
        <w:t>2</w:t>
      </w:r>
      <w:r w:rsidRPr="008D325A">
        <w:rPr>
          <w:rFonts w:ascii="Times New Roman" w:hAnsi="Times New Roman"/>
          <w:szCs w:val="24"/>
        </w:rPr>
        <w:t xml:space="preserve"> млрд динара, што представља значајно повећање у поређењу са 2018. годином. Основни разлог томе је планирани почетак реализације већег броја великих инфраструктурних пројеката, пре свега у области друмског и железничког саобраћаја. </w:t>
      </w:r>
    </w:p>
    <w:p w:rsidR="001B0BA2" w:rsidRPr="008D325A" w:rsidRDefault="001B0BA2" w:rsidP="005918F3">
      <w:pPr>
        <w:rPr>
          <w:rFonts w:ascii="Times New Roman" w:hAnsi="Times New Roman"/>
          <w:sz w:val="23"/>
          <w:szCs w:val="23"/>
          <w:highlight w:val="yellow"/>
        </w:rPr>
      </w:pPr>
    </w:p>
    <w:p w:rsidR="007104F0" w:rsidRPr="008D325A" w:rsidRDefault="007104F0" w:rsidP="007104F0">
      <w:pPr>
        <w:tabs>
          <w:tab w:val="left" w:pos="900"/>
        </w:tabs>
        <w:rPr>
          <w:rFonts w:ascii="Times New Roman" w:hAnsi="Times New Roman"/>
          <w:b/>
          <w:szCs w:val="24"/>
        </w:rPr>
      </w:pPr>
      <w:r w:rsidRPr="008D325A">
        <w:rPr>
          <w:rFonts w:ascii="Times New Roman" w:hAnsi="Times New Roman"/>
          <w:b/>
          <w:szCs w:val="24"/>
        </w:rPr>
        <w:t xml:space="preserve">Списак економских класификација коришћених у припреми </w:t>
      </w:r>
      <w:r w:rsidR="00EC37D8">
        <w:rPr>
          <w:rFonts w:ascii="Times New Roman" w:hAnsi="Times New Roman"/>
          <w:b/>
          <w:szCs w:val="24"/>
          <w:lang w:val="sr-Cyrl-RS"/>
        </w:rPr>
        <w:t>Предлога з</w:t>
      </w:r>
      <w:r w:rsidRPr="008D325A">
        <w:rPr>
          <w:b/>
          <w:szCs w:val="24"/>
        </w:rPr>
        <w:t>акона</w:t>
      </w:r>
      <w:r w:rsidRPr="008D325A">
        <w:rPr>
          <w:rFonts w:ascii="Times New Roman" w:hAnsi="Times New Roman"/>
          <w:b/>
          <w:szCs w:val="24"/>
        </w:rPr>
        <w:t xml:space="preserve"> о буџету Републике Србије за </w:t>
      </w:r>
      <w:r w:rsidR="008C3CCB" w:rsidRPr="008D325A">
        <w:rPr>
          <w:rFonts w:ascii="Times New Roman" w:hAnsi="Times New Roman"/>
          <w:b/>
          <w:szCs w:val="24"/>
        </w:rPr>
        <w:t>2019</w:t>
      </w:r>
      <w:r w:rsidRPr="008D325A">
        <w:rPr>
          <w:rFonts w:ascii="Times New Roman" w:hAnsi="Times New Roman"/>
          <w:b/>
          <w:szCs w:val="24"/>
        </w:rPr>
        <w:t>. годину и образложење садржаја појединих економских класификација.</w:t>
      </w:r>
    </w:p>
    <w:p w:rsidR="007104F0" w:rsidRPr="008D325A" w:rsidRDefault="007104F0" w:rsidP="007104F0">
      <w:pPr>
        <w:tabs>
          <w:tab w:val="left" w:pos="900"/>
        </w:tabs>
        <w:rPr>
          <w:rFonts w:ascii="Times New Roman" w:hAnsi="Times New Roman"/>
          <w:szCs w:val="24"/>
        </w:rPr>
      </w:pPr>
    </w:p>
    <w:tbl>
      <w:tblPr>
        <w:tblW w:w="5000" w:type="pct"/>
        <w:tblLook w:val="04A0" w:firstRow="1" w:lastRow="0" w:firstColumn="1" w:lastColumn="0" w:noHBand="0" w:noVBand="1"/>
      </w:tblPr>
      <w:tblGrid>
        <w:gridCol w:w="1889"/>
        <w:gridCol w:w="7907"/>
      </w:tblGrid>
      <w:tr w:rsidR="007104F0" w:rsidRPr="008D325A" w:rsidTr="00373342">
        <w:trPr>
          <w:trHeight w:val="600"/>
          <w:tblHeader/>
        </w:trPr>
        <w:tc>
          <w:tcPr>
            <w:tcW w:w="964" w:type="pct"/>
            <w:tcBorders>
              <w:top w:val="single" w:sz="4" w:space="0" w:color="000000"/>
              <w:left w:val="single" w:sz="4" w:space="0" w:color="000000"/>
              <w:bottom w:val="nil"/>
              <w:right w:val="nil"/>
            </w:tcBorders>
            <w:vAlign w:val="bottom"/>
            <w:hideMark/>
          </w:tcPr>
          <w:p w:rsidR="007104F0" w:rsidRPr="008D325A" w:rsidRDefault="007104F0" w:rsidP="00CE5140">
            <w:pPr>
              <w:tabs>
                <w:tab w:val="left" w:pos="720"/>
              </w:tabs>
              <w:spacing w:line="276" w:lineRule="auto"/>
              <w:jc w:val="left"/>
              <w:rPr>
                <w:color w:val="000000"/>
                <w:sz w:val="19"/>
                <w:szCs w:val="23"/>
              </w:rPr>
            </w:pPr>
            <w:r w:rsidRPr="008D325A">
              <w:rPr>
                <w:rFonts w:ascii="Times New Roman" w:hAnsi="Times New Roman"/>
                <w:color w:val="000000"/>
                <w:sz w:val="19"/>
                <w:szCs w:val="23"/>
              </w:rPr>
              <w:t>Економска класификација</w:t>
            </w:r>
          </w:p>
        </w:tc>
        <w:tc>
          <w:tcPr>
            <w:tcW w:w="4036" w:type="pct"/>
            <w:tcBorders>
              <w:top w:val="single" w:sz="4" w:space="0" w:color="auto"/>
              <w:left w:val="single" w:sz="4" w:space="0" w:color="auto"/>
              <w:bottom w:val="single" w:sz="4" w:space="0" w:color="auto"/>
              <w:right w:val="single" w:sz="4" w:space="0" w:color="auto"/>
            </w:tcBorders>
            <w:vAlign w:val="center"/>
            <w:hideMark/>
          </w:tcPr>
          <w:p w:rsidR="007104F0" w:rsidRPr="008D325A" w:rsidRDefault="007104F0" w:rsidP="00CE5140">
            <w:pPr>
              <w:tabs>
                <w:tab w:val="left" w:pos="720"/>
              </w:tabs>
              <w:spacing w:line="276" w:lineRule="auto"/>
              <w:jc w:val="center"/>
              <w:rPr>
                <w:rFonts w:ascii="Times New Roman" w:hAnsi="Times New Roman"/>
                <w:color w:val="000000"/>
                <w:sz w:val="19"/>
                <w:szCs w:val="23"/>
              </w:rPr>
            </w:pPr>
            <w:r w:rsidRPr="008D325A">
              <w:rPr>
                <w:rFonts w:ascii="Times New Roman" w:hAnsi="Times New Roman"/>
                <w:color w:val="000000"/>
                <w:sz w:val="19"/>
                <w:szCs w:val="23"/>
              </w:rPr>
              <w:t>Назив економске класификације</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Плате, додаци и накнаде запослених (зараде)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Социјални доприноси на терет послодавца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lastRenderedPageBreak/>
              <w:t>413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Накнаде у натури</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Социјална давања запосленима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Накнаде трошкова за запослене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416</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Награде запосленима и остали посебни расходи</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417</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Посланички додатак</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Стални трошкови</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Трошкови путовања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Услуге по уговору</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Специјализоване услуге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Текуће поправке и одржавање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426</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Материјал</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431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Амортизација некретнина и опреме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432</w:t>
            </w:r>
          </w:p>
        </w:tc>
        <w:tc>
          <w:tcPr>
            <w:tcW w:w="4036" w:type="pct"/>
            <w:tcBorders>
              <w:top w:val="nil"/>
              <w:left w:val="nil"/>
              <w:bottom w:val="single" w:sz="4" w:space="0" w:color="auto"/>
              <w:right w:val="single" w:sz="4" w:space="0" w:color="auto"/>
            </w:tcBorders>
            <w:vAlign w:val="bottom"/>
            <w:hideMark/>
          </w:tcPr>
          <w:p w:rsidR="007104F0" w:rsidRPr="008D325A" w:rsidRDefault="007104F0" w:rsidP="001125A6">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 xml:space="preserve">Употреба </w:t>
            </w:r>
            <w:r w:rsidR="001125A6" w:rsidRPr="008D325A">
              <w:rPr>
                <w:rFonts w:ascii="Times New Roman" w:hAnsi="Times New Roman"/>
                <w:color w:val="000000"/>
                <w:sz w:val="19"/>
                <w:szCs w:val="23"/>
              </w:rPr>
              <w:t>култивисане имовине</w:t>
            </w:r>
            <w:r w:rsidRPr="008D325A">
              <w:rPr>
                <w:rFonts w:ascii="Times New Roman" w:hAnsi="Times New Roman"/>
                <w:color w:val="000000"/>
                <w:sz w:val="19"/>
                <w:szCs w:val="23"/>
              </w:rPr>
              <w:t xml:space="preserve"> </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435</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Амортизација нематеријалне имовине</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441</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1125A6"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w:t>
            </w:r>
            <w:r w:rsidR="007104F0" w:rsidRPr="008D325A">
              <w:rPr>
                <w:rFonts w:ascii="Times New Roman" w:hAnsi="Times New Roman"/>
                <w:color w:val="000000"/>
                <w:sz w:val="19"/>
                <w:szCs w:val="23"/>
              </w:rPr>
              <w:t xml:space="preserve"> домаћих камата</w:t>
            </w:r>
          </w:p>
        </w:tc>
      </w:tr>
      <w:tr w:rsidR="007104F0" w:rsidRPr="008D325A" w:rsidTr="000048DC">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442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 страних камата</w:t>
            </w:r>
          </w:p>
        </w:tc>
      </w:tr>
      <w:tr w:rsidR="007104F0" w:rsidRPr="008D325A" w:rsidTr="000048DC">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443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 камата по гаранцијама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444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Пратећи трошкови задуживања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451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Субвенције јавним нефинансијским предузећима и организацијама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452</w:t>
            </w:r>
          </w:p>
        </w:tc>
        <w:tc>
          <w:tcPr>
            <w:tcW w:w="4036" w:type="pct"/>
            <w:tcBorders>
              <w:top w:val="nil"/>
              <w:left w:val="nil"/>
              <w:bottom w:val="single" w:sz="4" w:space="0" w:color="auto"/>
              <w:right w:val="single" w:sz="4" w:space="0" w:color="auto"/>
            </w:tcBorders>
            <w:vAlign w:val="bottom"/>
            <w:hideMark/>
          </w:tcPr>
          <w:p w:rsidR="007104F0" w:rsidRPr="008D325A" w:rsidRDefault="007104F0" w:rsidP="001125A6">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 xml:space="preserve">Субвенције </w:t>
            </w:r>
            <w:r w:rsidR="001125A6" w:rsidRPr="008D325A">
              <w:rPr>
                <w:rFonts w:ascii="Times New Roman" w:hAnsi="Times New Roman"/>
                <w:color w:val="000000"/>
                <w:sz w:val="19"/>
                <w:szCs w:val="23"/>
              </w:rPr>
              <w:t>приватним финансијским институцијама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454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Субвенције приватним предузећима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462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Дотације међународним организацијама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463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Трансфери осталим нивоима власти</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464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Дотације организацијама обавезног социјалног осигурања</w:t>
            </w:r>
          </w:p>
        </w:tc>
      </w:tr>
      <w:tr w:rsidR="007104F0" w:rsidRPr="008D325A" w:rsidTr="00F52F8D">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465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Остале дотације и трансфери</w:t>
            </w:r>
          </w:p>
        </w:tc>
      </w:tr>
      <w:tr w:rsidR="007104F0" w:rsidRPr="008D325A" w:rsidTr="00F52F8D">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472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Накнаде за социјалну заштиту из буџета</w:t>
            </w:r>
          </w:p>
        </w:tc>
      </w:tr>
      <w:tr w:rsidR="007104F0" w:rsidRPr="008D325A" w:rsidTr="00AE110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Дотације невладиним организацијама</w:t>
            </w:r>
          </w:p>
        </w:tc>
      </w:tr>
      <w:tr w:rsidR="007104F0" w:rsidRPr="008D325A" w:rsidTr="00AE110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482</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A05BB5"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 xml:space="preserve">Порези, обавезне таксе, </w:t>
            </w:r>
            <w:r w:rsidR="007104F0" w:rsidRPr="008D325A">
              <w:rPr>
                <w:rFonts w:ascii="Times New Roman" w:hAnsi="Times New Roman"/>
                <w:color w:val="000000"/>
                <w:sz w:val="19"/>
                <w:szCs w:val="23"/>
              </w:rPr>
              <w:t>казне</w:t>
            </w:r>
            <w:r w:rsidRPr="008D325A">
              <w:rPr>
                <w:rFonts w:ascii="Times New Roman" w:hAnsi="Times New Roman"/>
                <w:color w:val="000000"/>
                <w:sz w:val="19"/>
                <w:szCs w:val="23"/>
              </w:rPr>
              <w:t>,</w:t>
            </w:r>
            <w:r w:rsidR="002C406C" w:rsidRPr="008D325A">
              <w:rPr>
                <w:rFonts w:ascii="Times New Roman" w:hAnsi="Times New Roman"/>
                <w:color w:val="000000"/>
                <w:sz w:val="19"/>
                <w:szCs w:val="23"/>
              </w:rPr>
              <w:t xml:space="preserve"> пенали</w:t>
            </w:r>
            <w:r w:rsidRPr="008D325A">
              <w:rPr>
                <w:rFonts w:ascii="Times New Roman" w:hAnsi="Times New Roman"/>
                <w:color w:val="000000"/>
                <w:sz w:val="19"/>
                <w:szCs w:val="23"/>
              </w:rPr>
              <w:t xml:space="preserve"> и камате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Новчане казне и пенали по решењу судова</w:t>
            </w:r>
          </w:p>
        </w:tc>
      </w:tr>
      <w:tr w:rsidR="007104F0" w:rsidRPr="008D325A" w:rsidTr="00373342">
        <w:trPr>
          <w:trHeight w:val="615"/>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Накнада штете за повреде или штету насталу услед елементарних непогода или других природних узрока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Накнада штете за повреде или штету нанету од стране државних органа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489</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Расходи који се финансирају из средст</w:t>
            </w:r>
            <w:r w:rsidR="001D2EC5" w:rsidRPr="008D325A">
              <w:rPr>
                <w:rFonts w:ascii="Times New Roman" w:hAnsi="Times New Roman"/>
                <w:color w:val="000000"/>
                <w:sz w:val="19"/>
                <w:szCs w:val="23"/>
              </w:rPr>
              <w:t>а</w:t>
            </w:r>
            <w:r w:rsidRPr="008D325A">
              <w:rPr>
                <w:rFonts w:ascii="Times New Roman" w:hAnsi="Times New Roman"/>
                <w:color w:val="000000"/>
                <w:sz w:val="19"/>
                <w:szCs w:val="23"/>
              </w:rPr>
              <w:t>ва за реализацију Националног инвестиционог плана</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499</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Средства резерве</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511</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Зграде и грађевински објекти</w:t>
            </w:r>
          </w:p>
        </w:tc>
      </w:tr>
      <w:tr w:rsidR="007104F0" w:rsidRPr="008D325A"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512</w:t>
            </w:r>
          </w:p>
        </w:tc>
        <w:tc>
          <w:tcPr>
            <w:tcW w:w="4036" w:type="pct"/>
            <w:tcBorders>
              <w:top w:val="single" w:sz="4" w:space="0" w:color="auto"/>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Машине и опрема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513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Остале некретнине и опрема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514</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Култивисана имовина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515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Нематеријална имовина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521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Робне резерве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522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Залихе производње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523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Залихе робе за даљу продају</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541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Земљиште</w:t>
            </w:r>
          </w:p>
        </w:tc>
      </w:tr>
      <w:tr w:rsidR="007104F0" w:rsidRPr="008D325A" w:rsidTr="00373342">
        <w:trPr>
          <w:trHeight w:val="6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9958C2">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551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Нефинансијска имовина која се финансира из средстава за реализацију Националног инвестиционог плана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lastRenderedPageBreak/>
              <w:t>611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 главнице домаћим кредиторима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612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 главнице страним кредиторима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613</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Отплата главнице по гаранцијама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615</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sz w:val="19"/>
                <w:szCs w:val="23"/>
              </w:rPr>
              <w:t>Отплата гаранција по комерцијалним трансакцијама</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621</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Набавка домаће финансијске имовине</w:t>
            </w:r>
          </w:p>
        </w:tc>
      </w:tr>
      <w:tr w:rsidR="007104F0" w:rsidRPr="008D325A"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8D325A" w:rsidRDefault="007104F0" w:rsidP="00CE5140">
            <w:pPr>
              <w:tabs>
                <w:tab w:val="left" w:pos="720"/>
              </w:tabs>
              <w:spacing w:line="276" w:lineRule="auto"/>
              <w:jc w:val="right"/>
              <w:rPr>
                <w:rFonts w:ascii="Times New Roman" w:hAnsi="Times New Roman"/>
                <w:color w:val="000000"/>
                <w:sz w:val="19"/>
                <w:szCs w:val="23"/>
              </w:rPr>
            </w:pPr>
            <w:r w:rsidRPr="008D325A">
              <w:rPr>
                <w:rFonts w:ascii="Times New Roman" w:hAnsi="Times New Roman"/>
                <w:color w:val="000000"/>
                <w:sz w:val="19"/>
                <w:szCs w:val="23"/>
              </w:rPr>
              <w:t>622</w:t>
            </w:r>
          </w:p>
        </w:tc>
        <w:tc>
          <w:tcPr>
            <w:tcW w:w="4036" w:type="pct"/>
            <w:tcBorders>
              <w:top w:val="nil"/>
              <w:left w:val="nil"/>
              <w:bottom w:val="single" w:sz="4" w:space="0" w:color="auto"/>
              <w:right w:val="single" w:sz="4" w:space="0" w:color="auto"/>
            </w:tcBorders>
            <w:vAlign w:val="bottom"/>
            <w:hideMark/>
          </w:tcPr>
          <w:p w:rsidR="007104F0" w:rsidRPr="008D325A" w:rsidRDefault="007104F0" w:rsidP="00CE5140">
            <w:pPr>
              <w:tabs>
                <w:tab w:val="left" w:pos="720"/>
              </w:tabs>
              <w:spacing w:line="276" w:lineRule="auto"/>
              <w:jc w:val="left"/>
              <w:rPr>
                <w:rFonts w:ascii="Times New Roman" w:hAnsi="Times New Roman"/>
                <w:color w:val="000000"/>
                <w:sz w:val="19"/>
                <w:szCs w:val="23"/>
              </w:rPr>
            </w:pPr>
            <w:r w:rsidRPr="008D325A">
              <w:rPr>
                <w:rFonts w:ascii="Times New Roman" w:hAnsi="Times New Roman"/>
                <w:color w:val="000000"/>
                <w:sz w:val="19"/>
                <w:szCs w:val="23"/>
              </w:rPr>
              <w:t>Набавка стране финансијске имовине</w:t>
            </w:r>
          </w:p>
        </w:tc>
      </w:tr>
    </w:tbl>
    <w:p w:rsidR="007104F0" w:rsidRPr="008D325A" w:rsidRDefault="007104F0" w:rsidP="007104F0">
      <w:pPr>
        <w:tabs>
          <w:tab w:val="left" w:pos="900"/>
        </w:tabs>
        <w:rPr>
          <w:rStyle w:val="CharCharChar5"/>
          <w:b/>
          <w:sz w:val="23"/>
          <w:szCs w:val="23"/>
          <w:highlight w:val="yellow"/>
        </w:rPr>
      </w:pPr>
    </w:p>
    <w:p w:rsidR="007104F0" w:rsidRPr="008D325A" w:rsidRDefault="007104F0" w:rsidP="007104F0">
      <w:pPr>
        <w:tabs>
          <w:tab w:val="left" w:pos="900"/>
        </w:tabs>
        <w:ind w:hanging="284"/>
        <w:rPr>
          <w:rStyle w:val="CharCharChar5"/>
          <w:rFonts w:ascii="Times New Roman" w:hAnsi="Times New Roman"/>
          <w:szCs w:val="24"/>
        </w:rPr>
      </w:pPr>
      <w:r w:rsidRPr="008D325A">
        <w:rPr>
          <w:rStyle w:val="CharCharChar5"/>
          <w:sz w:val="23"/>
          <w:szCs w:val="23"/>
        </w:rPr>
        <w:tab/>
      </w:r>
      <w:r w:rsidRPr="008D325A">
        <w:rPr>
          <w:rStyle w:val="CharCharChar5"/>
          <w:rFonts w:ascii="Times New Roman" w:hAnsi="Times New Roman"/>
          <w:szCs w:val="24"/>
        </w:rPr>
        <w:t>Обзиром да се у припреми буџета, према Закону о буџетском систему, користе јединствене буџетске класификације, прописане Правилником о стандардном класификационом оквиру и Контном плану з</w:t>
      </w:r>
      <w:r w:rsidR="00692D32" w:rsidRPr="008D325A">
        <w:rPr>
          <w:rStyle w:val="CharCharChar5"/>
          <w:rFonts w:ascii="Times New Roman" w:hAnsi="Times New Roman"/>
          <w:szCs w:val="24"/>
        </w:rPr>
        <w:t>а буџетски систем и да се буџет,</w:t>
      </w:r>
      <w:r w:rsidRPr="008D325A">
        <w:rPr>
          <w:rStyle w:val="CharCharChar5"/>
          <w:rFonts w:ascii="Times New Roman" w:hAnsi="Times New Roman"/>
          <w:szCs w:val="24"/>
        </w:rPr>
        <w:t xml:space="preserve"> због могућих одступања у основним параметрима који се користе приликом планирања, припрема на трећем нивоу економских класификација, у циљу разумевања садржаја тих класификација, ближе се образлaжу поједине економске класификације, и то:</w:t>
      </w:r>
    </w:p>
    <w:p w:rsidR="007104F0" w:rsidRPr="008D325A" w:rsidRDefault="007104F0" w:rsidP="007104F0">
      <w:pPr>
        <w:pStyle w:val="BodyTextIndent"/>
        <w:tabs>
          <w:tab w:val="left" w:pos="900"/>
        </w:tabs>
        <w:ind w:left="0"/>
        <w:jc w:val="both"/>
        <w:rPr>
          <w:rStyle w:val="CharCharChar5"/>
          <w:b/>
          <w:szCs w:val="24"/>
        </w:rPr>
      </w:pPr>
    </w:p>
    <w:p w:rsidR="007104F0" w:rsidRPr="008D325A" w:rsidRDefault="007104F0" w:rsidP="007104F0">
      <w:pPr>
        <w:pStyle w:val="BodyTextIndent"/>
        <w:tabs>
          <w:tab w:val="left" w:pos="900"/>
        </w:tabs>
        <w:ind w:left="0"/>
        <w:jc w:val="both"/>
        <w:rPr>
          <w:rStyle w:val="CharCharChar5"/>
          <w:b/>
          <w:szCs w:val="24"/>
        </w:rPr>
      </w:pPr>
      <w:r w:rsidRPr="008D325A">
        <w:rPr>
          <w:rStyle w:val="CharCharChar5"/>
          <w:b/>
          <w:szCs w:val="24"/>
        </w:rPr>
        <w:t>Расходи за запослене</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411 и 412 -  Плате, додаци и накнаде запослених (зараде) и Социјални доприноси на терет послодавца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На економској класификацији 411 планиране су плате, додаци и накнаде стално запослених, плате приправника, привремено запослених, плате по основу судских пресуда и др.</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На економској класификацији 412 планирани су социјални доприноси на терет послодавца (допринос за ПИО, допринос за здравствено осигурање и незапосленост).</w:t>
      </w:r>
    </w:p>
    <w:p w:rsidR="007104F0" w:rsidRPr="008D325A" w:rsidRDefault="007104F0" w:rsidP="00A55878">
      <w:pPr>
        <w:tabs>
          <w:tab w:val="left" w:pos="900"/>
        </w:tabs>
        <w:rPr>
          <w:rStyle w:val="CharCharChar5"/>
          <w:rFonts w:ascii="Times New Roman" w:hAnsi="Times New Roman"/>
          <w:b/>
          <w:szCs w:val="24"/>
        </w:rPr>
      </w:pPr>
      <w:r w:rsidRPr="008D325A">
        <w:rPr>
          <w:rStyle w:val="CharCharChar5"/>
          <w:rFonts w:ascii="Times New Roman" w:hAnsi="Times New Roman"/>
          <w:b/>
          <w:szCs w:val="24"/>
        </w:rPr>
        <w:t>413 - Накнаде у натури</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Накнаде у натури - превоз запослених на посао и са посла - маркица, паркирање и др.</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414 - Социјална давања запосленима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Социјална давања запосленима садрже конта за исплате накнада које иду на терет фондова (породиљско боловање, боловања преко 30 дана, инвалидност рада другог степена), отпремнине приликом одласка у пензију и помоћ у случају смрти запосленог или члана уже породице, помоћ у медицинском лечењу запосленог или чланова уже породице и др.).</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415 - Накнаде трошкова </w:t>
      </w:r>
      <w:r w:rsidR="008F4227" w:rsidRPr="008D325A">
        <w:rPr>
          <w:rStyle w:val="CharCharChar5"/>
          <w:rFonts w:ascii="Times New Roman" w:hAnsi="Times New Roman"/>
          <w:b/>
          <w:szCs w:val="24"/>
        </w:rPr>
        <w:t>за запослене</w:t>
      </w:r>
      <w:r w:rsidRPr="008D325A">
        <w:rPr>
          <w:rStyle w:val="CharCharChar5"/>
          <w:rFonts w:ascii="Times New Roman" w:hAnsi="Times New Roman"/>
          <w:b/>
          <w:szCs w:val="24"/>
        </w:rPr>
        <w:t xml:space="preserve"> </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Накнаде трошкова за запослене на економској класификацији 415 (накнаде трошкова за одвојен живот од породице, накнаде трошкова за превоз на посао и са посла у готовини, накнаде трошкова за смештај изабраних, постављених и именованих лица и др.).</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416 - </w:t>
      </w:r>
      <w:r w:rsidR="00F700E1" w:rsidRPr="008D325A">
        <w:rPr>
          <w:rStyle w:val="CharCharChar5"/>
          <w:rFonts w:ascii="Times New Roman" w:hAnsi="Times New Roman"/>
          <w:b/>
          <w:szCs w:val="24"/>
        </w:rPr>
        <w:t>Награде запосленима и остали посебни расходи</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Награде запосленима - јубиларне награде (зависно од броја година проведених на раду), награде за посебне резултате рада, накнаде члановима комисија.</w:t>
      </w:r>
    </w:p>
    <w:p w:rsidR="007104F0" w:rsidRPr="008D325A" w:rsidRDefault="007104F0" w:rsidP="007104F0">
      <w:pPr>
        <w:pStyle w:val="BodyTextIndent"/>
        <w:tabs>
          <w:tab w:val="left" w:pos="900"/>
        </w:tabs>
        <w:ind w:left="0"/>
        <w:jc w:val="both"/>
        <w:rPr>
          <w:rStyle w:val="CharCharChar5"/>
          <w:b/>
          <w:szCs w:val="24"/>
        </w:rPr>
      </w:pPr>
      <w:r w:rsidRPr="008D325A">
        <w:rPr>
          <w:rStyle w:val="CharCharChar5"/>
          <w:b/>
          <w:szCs w:val="24"/>
        </w:rPr>
        <w:t>417 - Посланички додатак</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Посланички додатак на економској класификацији 417 исплаћује се у складу са Законом о примањима народних посланика у Народној скупштини Републике Србије, а ближе уређена одлукама Административног одбора.</w:t>
      </w:r>
    </w:p>
    <w:p w:rsidR="007104F0" w:rsidRPr="008D325A" w:rsidRDefault="007104F0" w:rsidP="007104F0">
      <w:pPr>
        <w:pStyle w:val="BodyTextIndent"/>
        <w:tabs>
          <w:tab w:val="left" w:pos="900"/>
        </w:tabs>
        <w:ind w:left="0"/>
        <w:jc w:val="both"/>
        <w:rPr>
          <w:rStyle w:val="CharCharChar5"/>
          <w:szCs w:val="24"/>
        </w:rPr>
      </w:pP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Коришћење услуга и роба </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421 - Стални трошкови </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Обухватају следеће трошкове:</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трошкове платног промета и банкарских услуга;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трошкове услуга комуникација (фиксних и мобилних телефона, телефакса, интернета, услуге поште и доставе и слично);</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трошкове осигурања (имовине, као шо су: зграде, возила и остала дугорочна имовина и осигурање  запослених);</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трошкове закупа имовине и пословног простора;</w:t>
      </w:r>
      <w:r w:rsidRPr="008D325A">
        <w:rPr>
          <w:rStyle w:val="CharCharChar5"/>
          <w:szCs w:val="24"/>
        </w:rPr>
        <w:tab/>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трошкове енергетских услуга (услуге за електричну енергију и услуге грејања);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lastRenderedPageBreak/>
        <w:tab/>
        <w:t xml:space="preserve">- трошкове комуналних услуга (услуге водовода и канализације, услуге редовног одржавања, </w:t>
      </w:r>
      <w:r w:rsidR="00092011" w:rsidRPr="008D325A">
        <w:rPr>
          <w:rStyle w:val="CharCharChar5"/>
          <w:szCs w:val="24"/>
        </w:rPr>
        <w:t xml:space="preserve">као што су: </w:t>
      </w:r>
      <w:r w:rsidRPr="008D325A">
        <w:rPr>
          <w:rStyle w:val="CharCharChar5"/>
          <w:szCs w:val="24"/>
        </w:rPr>
        <w:t>заштита имовине, чишћења, одвоз отпада и остале комуналне услуге, као што је накнада за коришћење градског грађевинског земљишта и слично).</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422 - Трошкови путовања</w:t>
      </w:r>
    </w:p>
    <w:p w:rsidR="00692D32" w:rsidRPr="008D325A" w:rsidRDefault="007104F0" w:rsidP="00692D32">
      <w:pPr>
        <w:pStyle w:val="Buletiutekstu"/>
        <w:tabs>
          <w:tab w:val="left" w:pos="990"/>
        </w:tabs>
        <w:spacing w:before="0" w:line="240" w:lineRule="auto"/>
        <w:ind w:left="0" w:firstLine="0"/>
        <w:rPr>
          <w:rStyle w:val="CharCharChar5"/>
          <w:bCs w:val="0"/>
        </w:rPr>
      </w:pPr>
      <w:r w:rsidRPr="008D325A">
        <w:rPr>
          <w:rStyle w:val="CharCharChar5"/>
          <w:bCs w:val="0"/>
        </w:rPr>
        <w:t>Средства у оквиру о</w:t>
      </w:r>
      <w:r w:rsidR="00D717DC" w:rsidRPr="008D325A">
        <w:rPr>
          <w:rStyle w:val="CharCharChar5"/>
          <w:bCs w:val="0"/>
        </w:rPr>
        <w:t xml:space="preserve">ве </w:t>
      </w:r>
      <w:r w:rsidRPr="008D325A">
        <w:rPr>
          <w:rStyle w:val="CharCharChar5"/>
          <w:bCs w:val="0"/>
        </w:rPr>
        <w:t>економске класификације, обезбеђују се за финансирање трошкова службених путовања у земљи и иностранству, трошкове превоза, смештаја и дневница (исхране) на службеном путу, трошкове превоза у јавном саобраћају по службеном послу, транспортне трошкове службе и сл; у Војсци</w:t>
      </w:r>
      <w:r w:rsidR="00EC37D8">
        <w:rPr>
          <w:rStyle w:val="CharCharChar5"/>
          <w:bCs w:val="0"/>
        </w:rPr>
        <w:t xml:space="preserve"> Србије</w:t>
      </w:r>
      <w:r w:rsidRPr="008D325A">
        <w:rPr>
          <w:rStyle w:val="CharCharChar5"/>
          <w:bCs w:val="0"/>
        </w:rPr>
        <w:t xml:space="preserve">  за трошкове наградног одсуства, накнаде за превоз код коришћења одсуства због приватних послова, одсуства за опоравак, одсуства ради обиласка породице по основу одвојеног живота због премештаја у друго место службовања и сл, ангажовање возила правних и физичких лица ван Војске</w:t>
      </w:r>
      <w:r w:rsidR="00EC37D8">
        <w:rPr>
          <w:rStyle w:val="CharCharChar5"/>
          <w:bCs w:val="0"/>
        </w:rPr>
        <w:t xml:space="preserve"> Србије</w:t>
      </w:r>
      <w:r w:rsidRPr="008D325A">
        <w:rPr>
          <w:rStyle w:val="CharCharChar5"/>
          <w:bCs w:val="0"/>
        </w:rPr>
        <w:t>. Такође, обезбеђују се средства за трошкове путовања ученика који учествују на републичким и међународним такмичењима и остали трошкови т</w:t>
      </w:r>
      <w:r w:rsidR="00692D32" w:rsidRPr="008D325A">
        <w:rPr>
          <w:rStyle w:val="CharCharChar5"/>
          <w:bCs w:val="0"/>
        </w:rPr>
        <w:t>ранспорта.</w:t>
      </w:r>
    </w:p>
    <w:p w:rsidR="007104F0" w:rsidRPr="008D325A" w:rsidRDefault="007104F0" w:rsidP="00692D32">
      <w:pPr>
        <w:pStyle w:val="Buletiutekstu"/>
        <w:tabs>
          <w:tab w:val="left" w:pos="990"/>
        </w:tabs>
        <w:spacing w:before="0" w:line="240" w:lineRule="auto"/>
        <w:ind w:left="0" w:firstLine="0"/>
        <w:rPr>
          <w:rStyle w:val="CharCharChar5"/>
          <w:bCs w:val="0"/>
        </w:rPr>
      </w:pPr>
      <w:r w:rsidRPr="008D325A">
        <w:rPr>
          <w:rStyle w:val="CharCharChar5"/>
          <w:b/>
          <w:bCs w:val="0"/>
        </w:rPr>
        <w:t>423 - Услуге по уговору</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На овој економској класификацији опредељују се средстава за: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административне услуге (услуге превођења, секретарске услуге, рачуноводствене услуге и остале административне услуге);</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xml:space="preserve">- услуге одржавања рачунара и израде одговарајућих софтвера; </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услуге образовања и усавршавања запослених;</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услуге информисања (штампање билтена, часописа или публикација, услуге информисања јавности и односа са јавношћу - услуге рекламирања, ангажовање продукцијских кућа за медијске услуге радија и телевизије);</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услуге ревизије, адвокатске услуге, правне услуге и остале стручне услуге;</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котизације за семинаре и стручна саветовања, издаци за стручне испите, објављивање тендера и информативних огласа;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домаћинство и угоститељство (прање, чишћење, угоститељске услуге и репрезентација);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ангажовање лица  по уговору о делу (правно заступање пред домаћим и међународним судовима, вештачења и сл),</w:t>
      </w:r>
      <w:r w:rsidR="00995C40" w:rsidRPr="008D325A">
        <w:rPr>
          <w:rStyle w:val="CharCharChar5"/>
          <w:rFonts w:ascii="Times New Roman" w:hAnsi="Times New Roman"/>
          <w:szCs w:val="24"/>
        </w:rPr>
        <w:t xml:space="preserve"> систематски преглед запослених.</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424 - Специјализоване услуге </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 xml:space="preserve">Услуге за потребе реализације значајних пројеката из разних области, које нису стандардно класификоване у контном плану, а појединачно се различито (нестандардно) исказују код буџетских корисника. </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У специјализоване услуге се класификују, и то:</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пољопривредне услуге (услуге заштите животиња и биља);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услуге образовања, културе и спорта;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медицинске услуге (здравствена заштита по уговору, здравствена заштита по конвенцији, услуге јавног здравства - инспекција и анализа, лабораторијске услуге и остале медицинске услуге);</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услуге одржавања аутопутева, националних паркова и природних површина;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услуге очувања животне средине, услуге науке и геодетске услуге, као и остале специјализоване услуге.</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Преко ове економске класи</w:t>
      </w:r>
      <w:r w:rsidR="00995C40" w:rsidRPr="008D325A">
        <w:rPr>
          <w:rStyle w:val="CharCharChar5"/>
          <w:szCs w:val="24"/>
        </w:rPr>
        <w:t>фикације реализују се пројекти м</w:t>
      </w:r>
      <w:r w:rsidRPr="008D325A">
        <w:rPr>
          <w:rStyle w:val="CharCharChar5"/>
          <w:szCs w:val="24"/>
        </w:rPr>
        <w:t xml:space="preserve">инистарства </w:t>
      </w:r>
      <w:r w:rsidR="00995C40" w:rsidRPr="008D325A">
        <w:rPr>
          <w:rStyle w:val="CharCharChar5"/>
          <w:szCs w:val="24"/>
        </w:rPr>
        <w:t xml:space="preserve">надлежног за послове </w:t>
      </w:r>
      <w:r w:rsidRPr="008D325A">
        <w:rPr>
          <w:rStyle w:val="CharCharChar5"/>
          <w:szCs w:val="24"/>
        </w:rPr>
        <w:t>науке у складу са Законом о научно-истраживачкој делатности.</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w:t>
      </w:r>
      <w:r w:rsidR="008610E8" w:rsidRPr="008D325A">
        <w:rPr>
          <w:rStyle w:val="CharCharChar5"/>
          <w:rFonts w:ascii="Times New Roman" w:hAnsi="Times New Roman"/>
          <w:b/>
          <w:szCs w:val="24"/>
        </w:rPr>
        <w:t>25 - Текуће поправке и одржавањe</w:t>
      </w:r>
      <w:r w:rsidRPr="008D325A">
        <w:rPr>
          <w:rStyle w:val="CharCharChar5"/>
          <w:rFonts w:ascii="Times New Roman" w:hAnsi="Times New Roman"/>
          <w:b/>
          <w:szCs w:val="24"/>
        </w:rPr>
        <w:t xml:space="preserve"> </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На овој економској класификацији обезбеђују се средства за поправке и одржавање зграда и опреме, намештаја, поправке електричне и електронске опреме, административне опреме,  возног парка, остале опреме, као и поправке и одржавање пословног простора (зидарски, столарски, молерски, водоинсталатерски, елетричарски и сл. радови); одржавање опреме за пољопривреду, опреме за очување животне средине и науку, медицинске и лабораторијске опреме, опреме за образовање, спорт и културу, војску, јавну безбедност.</w:t>
      </w:r>
    </w:p>
    <w:p w:rsidR="007104F0" w:rsidRPr="008D325A" w:rsidRDefault="00E5606E"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426 -</w:t>
      </w:r>
      <w:r w:rsidR="007104F0" w:rsidRPr="008D325A">
        <w:rPr>
          <w:rStyle w:val="CharCharChar5"/>
          <w:rFonts w:ascii="Times New Roman" w:hAnsi="Times New Roman"/>
          <w:b/>
          <w:szCs w:val="24"/>
        </w:rPr>
        <w:t xml:space="preserve"> Материјал</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Под расходима материјала подразумевају се:</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lastRenderedPageBreak/>
        <w:tab/>
        <w:t>- административни материјал (канцеларијски материјал, заштитна или радна одећа и униформе);</w:t>
      </w:r>
    </w:p>
    <w:p w:rsidR="007104F0" w:rsidRPr="008D325A" w:rsidRDefault="007104F0" w:rsidP="007104F0">
      <w:pPr>
        <w:tabs>
          <w:tab w:val="left" w:pos="900"/>
          <w:tab w:val="left" w:pos="1080"/>
        </w:tabs>
        <w:rPr>
          <w:rStyle w:val="CharCharChar5"/>
          <w:rFonts w:ascii="Times New Roman" w:hAnsi="Times New Roman"/>
          <w:szCs w:val="24"/>
        </w:rPr>
      </w:pPr>
      <w:r w:rsidRPr="008D325A">
        <w:rPr>
          <w:rStyle w:val="CharCharChar5"/>
          <w:rFonts w:ascii="Times New Roman" w:hAnsi="Times New Roman"/>
          <w:szCs w:val="24"/>
        </w:rPr>
        <w:t>Средства исказана на овој економској класификацији, не могу се односити на средства потребна за расходе за радну одећу (одећа и ципеле) и службену одећу, осим у случајевима да је радна одећа прописана. Право на планирање средстава за расходе за радну униформу (одећа и ципеле), службену одећу, униформе и заштитна одела, у складу са Посебним колективним уговором за државне органе имају они државни органи и организације који имају запослене на радним местима са посебним условима рада, и то: послове инспекцијског и другог надзора; послове возача; послове хидролошких и геодетских мерења на терену, авио снимања, руковања фотограметријским инструментима и лабораторије; послове везане за рад на противградним полигонима, радарима и изолованим метеоролошким станицама; лабораторијске и друге сличне послове који се обављају хемикалијама опасним по здравље; послове који су изложени сталној буци високог интензитета која потиче од уређаја који се користе у раду; послове судског и административног извршења; послове архивског манипуланта и архивског деп</w:t>
      </w:r>
      <w:r w:rsidR="008D325A">
        <w:rPr>
          <w:rStyle w:val="CharCharChar5"/>
          <w:rFonts w:ascii="Times New Roman" w:hAnsi="Times New Roman"/>
          <w:szCs w:val="24"/>
          <w:lang w:val="sr-Cyrl-RS"/>
        </w:rPr>
        <w:t>о</w:t>
      </w:r>
      <w:r w:rsidRPr="008D325A">
        <w:rPr>
          <w:rStyle w:val="CharCharChar5"/>
          <w:rFonts w:ascii="Times New Roman" w:hAnsi="Times New Roman"/>
          <w:szCs w:val="24"/>
        </w:rPr>
        <w:t>а; послове достављача, курира и спремачица; послове програмера, оператера и организатора рада на рачунарима; послове физичког обезбеђења, противпожарне заштите, стражара, чувара и портира; послове дактилографа, ложача, перача возила, телефонисте и запослених у бифеу - ресторану; послове запослених у штампарији.</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образовање и усавршавање запослених (гласила о прописима, стручна литература и сл</w:t>
      </w:r>
      <w:r w:rsidR="00E5606E" w:rsidRPr="008D325A">
        <w:rPr>
          <w:rStyle w:val="CharCharChar5"/>
          <w:szCs w:val="24"/>
        </w:rPr>
        <w:t>)</w:t>
      </w:r>
      <w:r w:rsidRPr="008D325A">
        <w:rPr>
          <w:rStyle w:val="CharCharChar5"/>
          <w:szCs w:val="24"/>
        </w:rPr>
        <w:t xml:space="preserve">;         </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саобраћај (издаци за гориво, бензин, дизел гориво,  мазиво и остали материјал за превозна средства);</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домаћинство (производи за чишћење, хигијенски производи);</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угоститељство (материјал за припремање хране и пиће);</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пољопривреду (храна за животиње, природна и вештачка ђубрива, семе, биљке и остали материјал за пољопривреду</w:t>
      </w:r>
      <w:r w:rsidR="00D1183D" w:rsidRPr="008D325A">
        <w:rPr>
          <w:rStyle w:val="CharCharChar5"/>
          <w:szCs w:val="24"/>
        </w:rPr>
        <w:t>)</w:t>
      </w:r>
      <w:r w:rsidRPr="008D325A">
        <w:rPr>
          <w:rStyle w:val="CharCharChar5"/>
          <w:szCs w:val="24"/>
        </w:rPr>
        <w:t>;</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материјал за очување животне средине (за метеоролошка мерења, за истраживање и развој, тестирање ваздуха, тестирање воде, тла и остали материјали за очување животне средине и науку);</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материјали за посебне намене (заставе, пломбе за печатирање, резервни делови, алат и ситан инвентар).</w:t>
      </w:r>
    </w:p>
    <w:p w:rsidR="007104F0" w:rsidRPr="008D325A" w:rsidRDefault="007104F0" w:rsidP="007104F0">
      <w:pPr>
        <w:tabs>
          <w:tab w:val="left" w:pos="900"/>
        </w:tabs>
        <w:rPr>
          <w:rStyle w:val="CharCharChar5"/>
          <w:rFonts w:ascii="Times New Roman" w:hAnsi="Times New Roman"/>
          <w:szCs w:val="24"/>
        </w:rPr>
      </w:pPr>
    </w:p>
    <w:p w:rsidR="007104F0" w:rsidRPr="008D325A" w:rsidRDefault="007104F0" w:rsidP="007104F0">
      <w:pPr>
        <w:pStyle w:val="Title"/>
        <w:tabs>
          <w:tab w:val="left" w:pos="900"/>
        </w:tabs>
        <w:jc w:val="both"/>
        <w:rPr>
          <w:rStyle w:val="CharCharChar5"/>
          <w:bCs w:val="0"/>
        </w:rPr>
      </w:pPr>
      <w:r w:rsidRPr="008D325A">
        <w:rPr>
          <w:rStyle w:val="CharCharChar5"/>
          <w:bCs w:val="0"/>
        </w:rPr>
        <w:t>Субвенције</w:t>
      </w:r>
    </w:p>
    <w:p w:rsidR="007104F0" w:rsidRPr="008D325A" w:rsidRDefault="007104F0" w:rsidP="007104F0">
      <w:pPr>
        <w:pStyle w:val="Title"/>
        <w:tabs>
          <w:tab w:val="left" w:pos="900"/>
        </w:tabs>
        <w:jc w:val="both"/>
        <w:rPr>
          <w:rStyle w:val="CharCharChar5"/>
          <w:bCs w:val="0"/>
        </w:rPr>
      </w:pPr>
      <w:r w:rsidRPr="008D325A">
        <w:rPr>
          <w:rStyle w:val="CharCharChar5"/>
          <w:bCs w:val="0"/>
        </w:rPr>
        <w:t xml:space="preserve">451 - Субвенције јавним нефинансијским предузећима и организацијама </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На овој економској класификацији исказују се текуће и капиталне субвенције, и то:</w:t>
      </w:r>
    </w:p>
    <w:p w:rsidR="007104F0" w:rsidRPr="008D325A" w:rsidRDefault="007104F0" w:rsidP="007104F0">
      <w:pPr>
        <w:pStyle w:val="BodyTextIndent"/>
        <w:tabs>
          <w:tab w:val="left" w:pos="900"/>
        </w:tabs>
        <w:jc w:val="both"/>
        <w:rPr>
          <w:rStyle w:val="CharCharChar5"/>
          <w:szCs w:val="24"/>
        </w:rPr>
      </w:pPr>
      <w:r w:rsidRPr="008D325A">
        <w:rPr>
          <w:rStyle w:val="CharCharChar5"/>
          <w:szCs w:val="24"/>
        </w:rPr>
        <w:tab/>
        <w:t>- јавном железничком саобраћају;</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 xml:space="preserve">- за водопривреду, пољопривреду; </w:t>
      </w:r>
    </w:p>
    <w:p w:rsidR="001B0BA2"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осталим јавним нефинансијским предузећима и организацијама.</w:t>
      </w:r>
    </w:p>
    <w:p w:rsidR="007104F0" w:rsidRPr="008D325A" w:rsidRDefault="007104F0" w:rsidP="007104F0">
      <w:pPr>
        <w:tabs>
          <w:tab w:val="left" w:pos="900"/>
        </w:tabs>
        <w:rPr>
          <w:rStyle w:val="CharCharChar5"/>
          <w:rFonts w:ascii="Times New Roman" w:hAnsi="Times New Roman"/>
          <w:szCs w:val="24"/>
        </w:rPr>
      </w:pP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Остали расходи</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481 - Дотације невладиним организацијама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На овој економској класификацији исказују се дотације невладиним организацијама, и то:</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организацијама које пружају помоћ домаћинствима, дотације  у натури, Црвеном крсту Србије;</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xml:space="preserve">- спортским и омладинским организацијама (спортским савезима); </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етничким заједницама и мањинама;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верским заједницама;</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ab/>
        <w:t xml:space="preserve">- осталим удружењима </w:t>
      </w:r>
      <w:r w:rsidR="00692D32" w:rsidRPr="008D325A">
        <w:rPr>
          <w:rStyle w:val="CharCharChar5"/>
          <w:rFonts w:ascii="Times New Roman" w:hAnsi="Times New Roman"/>
          <w:szCs w:val="24"/>
        </w:rPr>
        <w:t>грађана и политичким странкама.</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 xml:space="preserve">484 - Накнаде штете за повреде или штету нанету услед елементарних непогода или других природних узрока </w:t>
      </w:r>
    </w:p>
    <w:p w:rsidR="007104F0" w:rsidRPr="008D325A" w:rsidRDefault="007104F0" w:rsidP="007104F0">
      <w:pPr>
        <w:tabs>
          <w:tab w:val="left" w:pos="900"/>
        </w:tabs>
        <w:rPr>
          <w:rStyle w:val="CharCharChar5"/>
          <w:rFonts w:ascii="Times New Roman" w:hAnsi="Times New Roman"/>
          <w:szCs w:val="24"/>
        </w:rPr>
      </w:pPr>
      <w:r w:rsidRPr="008D325A">
        <w:rPr>
          <w:rStyle w:val="CharCharChar5"/>
          <w:rFonts w:ascii="Times New Roman" w:hAnsi="Times New Roman"/>
          <w:szCs w:val="24"/>
        </w:rPr>
        <w:t xml:space="preserve">Средства ове апропријације намењена су за измиривање обавеза по основу процене штете </w:t>
      </w:r>
    </w:p>
    <w:p w:rsidR="00455477" w:rsidRDefault="00455477" w:rsidP="007104F0">
      <w:pPr>
        <w:tabs>
          <w:tab w:val="left" w:pos="900"/>
        </w:tabs>
        <w:rPr>
          <w:rStyle w:val="CharCharChar5"/>
          <w:rFonts w:ascii="Times New Roman" w:hAnsi="Times New Roman"/>
          <w:szCs w:val="24"/>
        </w:rPr>
      </w:pPr>
    </w:p>
    <w:p w:rsidR="00D857CF" w:rsidRPr="008D325A" w:rsidRDefault="00D857CF" w:rsidP="007104F0">
      <w:pPr>
        <w:tabs>
          <w:tab w:val="left" w:pos="900"/>
        </w:tabs>
        <w:rPr>
          <w:rStyle w:val="CharCharChar5"/>
          <w:rFonts w:ascii="Times New Roman" w:hAnsi="Times New Roman"/>
          <w:szCs w:val="24"/>
        </w:rPr>
      </w:pP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lastRenderedPageBreak/>
        <w:t>Издаци за нефинансијску имовину</w:t>
      </w:r>
    </w:p>
    <w:p w:rsidR="007104F0" w:rsidRPr="008D325A" w:rsidRDefault="007104F0" w:rsidP="007104F0">
      <w:pPr>
        <w:tabs>
          <w:tab w:val="left" w:pos="900"/>
        </w:tabs>
        <w:rPr>
          <w:rStyle w:val="CharCharChar5"/>
          <w:rFonts w:ascii="Times New Roman" w:hAnsi="Times New Roman"/>
          <w:b/>
          <w:szCs w:val="24"/>
        </w:rPr>
      </w:pPr>
      <w:r w:rsidRPr="008D325A">
        <w:rPr>
          <w:rStyle w:val="CharCharChar5"/>
          <w:rFonts w:ascii="Times New Roman" w:hAnsi="Times New Roman"/>
          <w:b/>
          <w:szCs w:val="24"/>
        </w:rPr>
        <w:t>511, 512, 513 и 515  - Зграде и грађевински објекти, Машине и опрема, Остале некретнине и опрема, Нематеријална имовина</w:t>
      </w:r>
    </w:p>
    <w:p w:rsidR="007104F0" w:rsidRPr="008D325A" w:rsidRDefault="006E6B5F" w:rsidP="007104F0">
      <w:pPr>
        <w:pStyle w:val="BodyTextIndent"/>
        <w:tabs>
          <w:tab w:val="left" w:pos="900"/>
        </w:tabs>
        <w:ind w:left="0"/>
        <w:jc w:val="both"/>
        <w:rPr>
          <w:rStyle w:val="CharCharChar5"/>
          <w:szCs w:val="24"/>
        </w:rPr>
      </w:pPr>
      <w:r w:rsidRPr="008D325A">
        <w:rPr>
          <w:rStyle w:val="CharCharChar5"/>
          <w:szCs w:val="24"/>
        </w:rPr>
        <w:tab/>
        <w:t xml:space="preserve">511 - средства у оквиру ове економске класификације </w:t>
      </w:r>
      <w:r w:rsidR="007104F0" w:rsidRPr="008D325A">
        <w:rPr>
          <w:rStyle w:val="CharCharChar5"/>
          <w:szCs w:val="24"/>
        </w:rPr>
        <w:t>обезбеђују се за: куповину зграда и објеката, изградњу зграда и објеката, капитално одржавање зграда и објеката и пројектно планирањ</w:t>
      </w:r>
      <w:r w:rsidR="00105C97" w:rsidRPr="008D325A">
        <w:rPr>
          <w:rStyle w:val="CharCharChar5"/>
          <w:szCs w:val="24"/>
        </w:rPr>
        <w:t>е (процена изводљивости,</w:t>
      </w:r>
      <w:r w:rsidR="007104F0" w:rsidRPr="008D325A">
        <w:rPr>
          <w:rStyle w:val="CharCharChar5"/>
          <w:szCs w:val="24"/>
        </w:rPr>
        <w:t xml:space="preserve"> израда идејних пројеката и пројектне документације);</w:t>
      </w:r>
    </w:p>
    <w:p w:rsidR="007104F0" w:rsidRPr="008D325A" w:rsidRDefault="007104F0" w:rsidP="007104F0">
      <w:pPr>
        <w:pStyle w:val="BodyTextIndent"/>
        <w:tabs>
          <w:tab w:val="left" w:pos="900"/>
          <w:tab w:val="left" w:pos="7800"/>
        </w:tabs>
        <w:ind w:left="0"/>
        <w:jc w:val="both"/>
        <w:rPr>
          <w:rStyle w:val="CharCharChar5"/>
          <w:szCs w:val="24"/>
        </w:rPr>
      </w:pPr>
      <w:r w:rsidRPr="008D325A">
        <w:rPr>
          <w:rStyle w:val="CharCharChar5"/>
          <w:szCs w:val="24"/>
        </w:rPr>
        <w:tab/>
        <w:t>512 - саобраћајна опрема (најчешће за аутомобиле, комбије, теренска возила, камионе, тракторе, чамце, бродове хеликоптере, авионе и сл.); административна опрема (намештај и уградна опрема, рачунарска опрема, мреже за рачунарско повезивање, телефонске централе са припадајућим инсталацијама и апаратима, телефони, мобилни телефони, електронска опрема, опрема за домаћинство - уређаји за ресторане и кафе бифее, опрема за образовање и културу, медицинска опрема и опрема за војску и јавну безбедност; књиге у библиотеци, уметничка дела, природне реткости и сл;</w:t>
      </w:r>
    </w:p>
    <w:p w:rsidR="007104F0" w:rsidRPr="008D325A" w:rsidRDefault="007104F0" w:rsidP="007104F0">
      <w:pPr>
        <w:pStyle w:val="BodyTextIndent"/>
        <w:tabs>
          <w:tab w:val="left" w:pos="900"/>
        </w:tabs>
        <w:ind w:left="0"/>
        <w:jc w:val="both"/>
        <w:rPr>
          <w:rStyle w:val="CharCharChar5"/>
          <w:szCs w:val="24"/>
        </w:rPr>
      </w:pPr>
      <w:r w:rsidRPr="008D325A">
        <w:rPr>
          <w:rStyle w:val="CharCharChar5"/>
          <w:szCs w:val="24"/>
        </w:rPr>
        <w:tab/>
        <w:t>513 - 515 - остала основна средства (компјутерски софтвери, уметничка дела, природне реткости, култивисана имовина - стока, вишегодишњи засади, издаци за патенте и технологију, техничку документацију, лиценце, концесије, заштитни знак, индустријска заштитна права, занатска и слична права, остала заштићена права и интелектуална својина, права коришћења имовине у туђем власништву, прикључак на телефонске линије и остала нематеријална права).</w:t>
      </w:r>
    </w:p>
    <w:p w:rsidR="008610E8" w:rsidRPr="008D325A" w:rsidRDefault="008610E8" w:rsidP="007104F0">
      <w:pPr>
        <w:pStyle w:val="BodyTextIndent"/>
        <w:tabs>
          <w:tab w:val="left" w:pos="900"/>
        </w:tabs>
        <w:ind w:left="0"/>
        <w:jc w:val="both"/>
        <w:rPr>
          <w:rStyle w:val="CharCharChar5"/>
          <w:szCs w:val="24"/>
        </w:rPr>
      </w:pPr>
    </w:p>
    <w:p w:rsidR="007104F0" w:rsidRPr="008D325A" w:rsidRDefault="007104F0" w:rsidP="007104F0">
      <w:pPr>
        <w:pStyle w:val="BodyTextIndent"/>
        <w:tabs>
          <w:tab w:val="left" w:pos="900"/>
        </w:tabs>
        <w:ind w:left="0"/>
        <w:jc w:val="both"/>
        <w:rPr>
          <w:rStyle w:val="CharCharChar5"/>
          <w:b/>
          <w:szCs w:val="24"/>
        </w:rPr>
      </w:pPr>
      <w:r w:rsidRPr="008D325A">
        <w:rPr>
          <w:rStyle w:val="CharCharChar5"/>
          <w:b/>
          <w:szCs w:val="24"/>
        </w:rPr>
        <w:t>Набавка финансијске имовине</w:t>
      </w:r>
    </w:p>
    <w:p w:rsidR="006F117C" w:rsidRPr="008D325A" w:rsidRDefault="007104F0" w:rsidP="007104F0">
      <w:pPr>
        <w:pStyle w:val="BodyTextIndent"/>
        <w:tabs>
          <w:tab w:val="left" w:pos="900"/>
        </w:tabs>
        <w:ind w:left="0"/>
        <w:jc w:val="both"/>
        <w:rPr>
          <w:rStyle w:val="CharCharChar5"/>
          <w:b/>
          <w:szCs w:val="24"/>
        </w:rPr>
      </w:pPr>
      <w:r w:rsidRPr="008D325A">
        <w:rPr>
          <w:rStyle w:val="CharCharChar5"/>
          <w:b/>
          <w:szCs w:val="24"/>
        </w:rPr>
        <w:t>621 - Набавка домаће финансијске имовине</w:t>
      </w:r>
    </w:p>
    <w:p w:rsidR="00D0499B" w:rsidRPr="008D325A" w:rsidRDefault="008610E8" w:rsidP="008610E8">
      <w:pPr>
        <w:pStyle w:val="BodyTextIndent"/>
        <w:tabs>
          <w:tab w:val="left" w:pos="900"/>
        </w:tabs>
        <w:ind w:left="0"/>
        <w:jc w:val="both"/>
        <w:rPr>
          <w:rStyle w:val="CharCharChar5"/>
          <w:szCs w:val="24"/>
        </w:rPr>
      </w:pPr>
      <w:r w:rsidRPr="008D325A">
        <w:rPr>
          <w:rStyle w:val="CharCharChar5"/>
          <w:szCs w:val="24"/>
        </w:rPr>
        <w:t>На овој екo</w:t>
      </w:r>
      <w:r w:rsidR="007104F0" w:rsidRPr="008D325A">
        <w:rPr>
          <w:rStyle w:val="CharCharChar5"/>
          <w:szCs w:val="24"/>
        </w:rPr>
        <w:t>номској класификацији исказује се набавка домаћих хартија од вредности, изузев акција, кредити осталим нивоима власти, кредити финансијским институцијама, кредити физичким лицима и домаћинствима, кредити домаћим нефинансијским приватним предузећима, набавка домаћих акција и осталог капитала (учешће капитала у домаћим нефинансијским јавним предузећима и институцијама, учешће капитала у домаћим нефинансијским приватним предузећима и учешће капитал</w:t>
      </w:r>
      <w:r w:rsidRPr="008D325A">
        <w:rPr>
          <w:rStyle w:val="CharCharChar5"/>
          <w:szCs w:val="24"/>
        </w:rPr>
        <w:t>а у домаћим пословним банкама).</w:t>
      </w:r>
    </w:p>
    <w:p w:rsidR="00373342" w:rsidRPr="008D325A" w:rsidRDefault="00373342" w:rsidP="008610E8">
      <w:pPr>
        <w:pStyle w:val="BodyTextIndent"/>
        <w:tabs>
          <w:tab w:val="left" w:pos="900"/>
        </w:tabs>
        <w:ind w:left="0"/>
        <w:jc w:val="both"/>
        <w:rPr>
          <w:rStyle w:val="CharCharChar5"/>
          <w:szCs w:val="24"/>
        </w:rPr>
      </w:pPr>
    </w:p>
    <w:p w:rsidR="00A55878" w:rsidRDefault="00A55878" w:rsidP="008610E8">
      <w:pPr>
        <w:pStyle w:val="BodyTextIndent"/>
        <w:tabs>
          <w:tab w:val="left" w:pos="900"/>
        </w:tabs>
        <w:ind w:left="0"/>
        <w:jc w:val="both"/>
        <w:rPr>
          <w:rStyle w:val="CharCharChar5"/>
          <w:szCs w:val="24"/>
          <w:highlight w:val="yellow"/>
        </w:rPr>
      </w:pPr>
    </w:p>
    <w:p w:rsidR="00A66797" w:rsidRPr="008D325A" w:rsidRDefault="00A66797" w:rsidP="008610E8">
      <w:pPr>
        <w:pStyle w:val="BodyTextIndent"/>
        <w:tabs>
          <w:tab w:val="left" w:pos="900"/>
        </w:tabs>
        <w:ind w:left="0"/>
        <w:jc w:val="both"/>
        <w:rPr>
          <w:rStyle w:val="CharCharChar5"/>
          <w:szCs w:val="24"/>
          <w:highlight w:val="yellow"/>
        </w:rPr>
      </w:pPr>
    </w:p>
    <w:p w:rsidR="007104F0" w:rsidRPr="008D325A" w:rsidRDefault="007104F0" w:rsidP="007104F0">
      <w:pPr>
        <w:tabs>
          <w:tab w:val="left" w:pos="900"/>
        </w:tabs>
        <w:outlineLvl w:val="0"/>
        <w:rPr>
          <w:rStyle w:val="CharCharChar5"/>
          <w:rFonts w:ascii="Times New Roman" w:hAnsi="Times New Roman"/>
          <w:b/>
          <w:szCs w:val="24"/>
        </w:rPr>
      </w:pPr>
      <w:r w:rsidRPr="008D325A">
        <w:rPr>
          <w:rStyle w:val="CharCharChar5"/>
          <w:rFonts w:ascii="Times New Roman" w:hAnsi="Times New Roman"/>
          <w:b/>
          <w:szCs w:val="24"/>
        </w:rPr>
        <w:t>III. ОБРАЗЛОЖЕЊЕ ПРЕДЛОГА ПОТРЕБНИХ СРЕДСТАВА ПО КОРИСНИЦИМА БУЏЕТА</w:t>
      </w:r>
    </w:p>
    <w:p w:rsidR="007104F0" w:rsidRPr="008D325A" w:rsidRDefault="007104F0" w:rsidP="007104F0">
      <w:pPr>
        <w:tabs>
          <w:tab w:val="left" w:pos="900"/>
        </w:tabs>
        <w:outlineLvl w:val="0"/>
        <w:rPr>
          <w:rStyle w:val="CharCharChar5"/>
          <w:rFonts w:ascii="Times New Roman" w:hAnsi="Times New Roman"/>
          <w:szCs w:val="24"/>
        </w:rPr>
      </w:pPr>
      <w:r w:rsidRPr="008D325A">
        <w:rPr>
          <w:rStyle w:val="CharCharChar5"/>
          <w:rFonts w:ascii="Times New Roman" w:hAnsi="Times New Roman"/>
          <w:szCs w:val="24"/>
        </w:rPr>
        <w:tab/>
      </w:r>
    </w:p>
    <w:p w:rsidR="007104F0" w:rsidRPr="008D325A" w:rsidRDefault="007104F0" w:rsidP="007104F0">
      <w:pPr>
        <w:tabs>
          <w:tab w:val="left" w:pos="900"/>
        </w:tabs>
        <w:outlineLvl w:val="0"/>
        <w:rPr>
          <w:rFonts w:ascii="Times New Roman" w:hAnsi="Times New Roman"/>
          <w:szCs w:val="24"/>
        </w:rPr>
      </w:pPr>
      <w:r w:rsidRPr="008D325A">
        <w:rPr>
          <w:rStyle w:val="CharCharChar5"/>
          <w:rFonts w:ascii="Times New Roman" w:hAnsi="Times New Roman"/>
          <w:szCs w:val="24"/>
        </w:rPr>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Pr="008D325A">
        <w:rPr>
          <w:rFonts w:ascii="Times New Roman" w:hAnsi="Times New Roman"/>
          <w:szCs w:val="24"/>
        </w:rPr>
        <w:t xml:space="preserve"> на програмски начин</w:t>
      </w:r>
      <w:r w:rsidRPr="008D325A">
        <w:rPr>
          <w:rStyle w:val="CharCharChar5"/>
          <w:rFonts w:ascii="Times New Roman" w:hAnsi="Times New Roman"/>
          <w:szCs w:val="24"/>
        </w:rPr>
        <w:t>.</w:t>
      </w:r>
    </w:p>
    <w:p w:rsidR="00692D32" w:rsidRPr="008D325A" w:rsidRDefault="007104F0" w:rsidP="00633B47">
      <w:pPr>
        <w:tabs>
          <w:tab w:val="left" w:pos="900"/>
        </w:tabs>
        <w:outlineLvl w:val="0"/>
        <w:rPr>
          <w:rFonts w:ascii="Times New Roman" w:hAnsi="Times New Roman"/>
          <w:szCs w:val="24"/>
        </w:rPr>
      </w:pPr>
      <w:r w:rsidRPr="008D325A">
        <w:rPr>
          <w:rStyle w:val="CharCharChar5"/>
          <w:rFonts w:ascii="Times New Roman" w:hAnsi="Times New Roman"/>
          <w:szCs w:val="24"/>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8D325A">
        <w:rPr>
          <w:rStyle w:val="CharCharChar5"/>
          <w:rFonts w:ascii="Times New Roman" w:hAnsi="Times New Roman"/>
          <w:szCs w:val="24"/>
        </w:rPr>
        <w:t xml:space="preserve"> </w:t>
      </w:r>
      <w:r w:rsidR="00CC7515" w:rsidRPr="008D325A">
        <w:rPr>
          <w:rFonts w:ascii="Times New Roman" w:hAnsi="Times New Roman"/>
          <w:szCs w:val="24"/>
        </w:rPr>
        <w:t>Такође, програмски</w:t>
      </w:r>
      <w:r w:rsidR="00692D32" w:rsidRPr="008D325A">
        <w:rPr>
          <w:rFonts w:ascii="Times New Roman" w:hAnsi="Times New Roman"/>
          <w:szCs w:val="24"/>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rsidR="007104F0" w:rsidRPr="008D325A" w:rsidRDefault="007104F0" w:rsidP="007104F0">
      <w:pPr>
        <w:tabs>
          <w:tab w:val="left" w:pos="900"/>
        </w:tabs>
        <w:rPr>
          <w:rFonts w:ascii="Times New Roman" w:hAnsi="Times New Roman"/>
          <w:szCs w:val="24"/>
        </w:rPr>
      </w:pPr>
      <w:r w:rsidRPr="008D325A">
        <w:rPr>
          <w:rFonts w:ascii="Times New Roman" w:hAnsi="Times New Roman"/>
          <w:szCs w:val="24"/>
        </w:rPr>
        <w:t xml:space="preserve">У </w:t>
      </w:r>
      <w:r w:rsidR="006F117C" w:rsidRPr="008D325A">
        <w:rPr>
          <w:rFonts w:ascii="Times New Roman" w:hAnsi="Times New Roman"/>
          <w:szCs w:val="24"/>
        </w:rPr>
        <w:t>делу Образложење -</w:t>
      </w:r>
      <w:r w:rsidR="00A61662" w:rsidRPr="008D325A">
        <w:rPr>
          <w:rFonts w:ascii="Times New Roman" w:hAnsi="Times New Roman"/>
          <w:szCs w:val="24"/>
        </w:rPr>
        <w:t xml:space="preserve"> Програмске информације</w:t>
      </w:r>
      <w:r w:rsidRPr="008D325A">
        <w:rPr>
          <w:rFonts w:ascii="Times New Roman" w:hAnsi="Times New Roman"/>
          <w:szCs w:val="24"/>
        </w:rPr>
        <w:t xml:space="preserve"> </w:t>
      </w:r>
      <w:r w:rsidR="00A61662" w:rsidRPr="008D325A">
        <w:rPr>
          <w:rFonts w:ascii="Times New Roman" w:hAnsi="Times New Roman"/>
          <w:szCs w:val="24"/>
        </w:rPr>
        <w:t>налазе се</w:t>
      </w:r>
      <w:r w:rsidRPr="008D325A">
        <w:rPr>
          <w:rFonts w:ascii="Times New Roman" w:hAnsi="Times New Roman"/>
          <w:szCs w:val="24"/>
        </w:rPr>
        <w:t xml:space="preserve"> образложења програмских структура које су доставили буџетски корисници уз предлоге финансијских планова.</w:t>
      </w:r>
    </w:p>
    <w:p w:rsidR="00557028" w:rsidRPr="008D325A" w:rsidRDefault="00557028" w:rsidP="007104F0">
      <w:pPr>
        <w:tabs>
          <w:tab w:val="left" w:pos="900"/>
        </w:tabs>
        <w:rPr>
          <w:rFonts w:ascii="Times New Roman" w:hAnsi="Times New Roman"/>
          <w:szCs w:val="24"/>
          <w:highlight w:val="yellow"/>
        </w:rPr>
      </w:pPr>
    </w:p>
    <w:p w:rsidR="00557028" w:rsidRDefault="00557028" w:rsidP="007104F0">
      <w:pPr>
        <w:tabs>
          <w:tab w:val="left" w:pos="900"/>
        </w:tabs>
        <w:rPr>
          <w:rFonts w:ascii="Times New Roman" w:hAnsi="Times New Roman"/>
          <w:szCs w:val="24"/>
          <w:highlight w:val="yellow"/>
        </w:rPr>
      </w:pPr>
    </w:p>
    <w:p w:rsidR="00A66797" w:rsidRDefault="00A66797" w:rsidP="007104F0">
      <w:pPr>
        <w:tabs>
          <w:tab w:val="left" w:pos="900"/>
        </w:tabs>
        <w:rPr>
          <w:rFonts w:ascii="Times New Roman" w:hAnsi="Times New Roman"/>
          <w:szCs w:val="24"/>
          <w:highlight w:val="yellow"/>
        </w:rPr>
      </w:pPr>
    </w:p>
    <w:p w:rsidR="00A66797" w:rsidRDefault="00A66797" w:rsidP="007104F0">
      <w:pPr>
        <w:tabs>
          <w:tab w:val="left" w:pos="900"/>
        </w:tabs>
        <w:rPr>
          <w:rFonts w:ascii="Times New Roman" w:hAnsi="Times New Roman"/>
          <w:szCs w:val="24"/>
          <w:highlight w:val="yellow"/>
        </w:rPr>
      </w:pPr>
    </w:p>
    <w:p w:rsidR="00A66797" w:rsidRDefault="00A66797" w:rsidP="007104F0">
      <w:pPr>
        <w:tabs>
          <w:tab w:val="left" w:pos="900"/>
        </w:tabs>
        <w:rPr>
          <w:rFonts w:ascii="Times New Roman" w:hAnsi="Times New Roman"/>
          <w:szCs w:val="24"/>
          <w:highlight w:val="yellow"/>
        </w:rPr>
      </w:pPr>
    </w:p>
    <w:p w:rsidR="00A66797" w:rsidRDefault="00A66797" w:rsidP="007104F0">
      <w:pPr>
        <w:tabs>
          <w:tab w:val="left" w:pos="900"/>
        </w:tabs>
        <w:rPr>
          <w:rFonts w:ascii="Times New Roman" w:hAnsi="Times New Roman"/>
          <w:szCs w:val="24"/>
          <w:highlight w:val="yellow"/>
        </w:rPr>
      </w:pPr>
    </w:p>
    <w:p w:rsidR="00A66797" w:rsidRPr="008D325A" w:rsidRDefault="00A66797" w:rsidP="007104F0">
      <w:pPr>
        <w:tabs>
          <w:tab w:val="left" w:pos="900"/>
        </w:tabs>
        <w:rPr>
          <w:rFonts w:ascii="Times New Roman" w:hAnsi="Times New Roman"/>
          <w:szCs w:val="24"/>
          <w:highlight w:val="yellow"/>
        </w:rPr>
      </w:pPr>
    </w:p>
    <w:p w:rsidR="007104F0" w:rsidRPr="008D325A" w:rsidRDefault="007104F0" w:rsidP="007104F0">
      <w:pPr>
        <w:ind w:right="517"/>
        <w:rPr>
          <w:rFonts w:ascii="Times New Roman" w:hAnsi="Times New Roman"/>
          <w:b/>
          <w:szCs w:val="24"/>
        </w:rPr>
      </w:pPr>
      <w:r w:rsidRPr="008D325A">
        <w:rPr>
          <w:rFonts w:ascii="Times New Roman" w:hAnsi="Times New Roman"/>
          <w:b/>
          <w:szCs w:val="24"/>
        </w:rPr>
        <w:lastRenderedPageBreak/>
        <w:t>IV. РАЗЛОЗИ ЗА ДОНОШЕЊЕ ЗАКОНА ПО ХИТНОМ ПОСТУПКУ</w:t>
      </w:r>
    </w:p>
    <w:p w:rsidR="007104F0" w:rsidRPr="008D325A" w:rsidRDefault="007104F0" w:rsidP="007104F0">
      <w:pPr>
        <w:ind w:right="517"/>
        <w:rPr>
          <w:rFonts w:ascii="Times New Roman" w:hAnsi="Times New Roman"/>
          <w:b/>
          <w:szCs w:val="24"/>
        </w:rPr>
      </w:pPr>
      <w:r w:rsidRPr="008D325A">
        <w:rPr>
          <w:rFonts w:ascii="Times New Roman" w:hAnsi="Times New Roman"/>
          <w:b/>
          <w:szCs w:val="24"/>
        </w:rPr>
        <w:tab/>
      </w:r>
      <w:r w:rsidRPr="008D325A">
        <w:rPr>
          <w:rFonts w:ascii="Times New Roman" w:hAnsi="Times New Roman"/>
          <w:b/>
          <w:szCs w:val="24"/>
        </w:rPr>
        <w:tab/>
      </w:r>
    </w:p>
    <w:p w:rsidR="007104F0" w:rsidRPr="008D325A" w:rsidRDefault="00EC37D8" w:rsidP="007104F0">
      <w:pPr>
        <w:tabs>
          <w:tab w:val="left" w:pos="8640"/>
        </w:tabs>
        <w:rPr>
          <w:rFonts w:ascii="Times New Roman" w:hAnsi="Times New Roman"/>
          <w:szCs w:val="24"/>
        </w:rPr>
      </w:pPr>
      <w:r>
        <w:rPr>
          <w:rFonts w:ascii="Times New Roman" w:hAnsi="Times New Roman"/>
          <w:szCs w:val="24"/>
          <w:lang w:val="sr-Cyrl-RS"/>
        </w:rPr>
        <w:t>Предлаже се</w:t>
      </w:r>
      <w:r w:rsidR="007104F0" w:rsidRPr="008D325A">
        <w:rPr>
          <w:rFonts w:ascii="Times New Roman" w:hAnsi="Times New Roman"/>
          <w:szCs w:val="24"/>
        </w:rPr>
        <w:t xml:space="preserve"> доношење </w:t>
      </w:r>
      <w:r w:rsidR="00557028" w:rsidRPr="008D325A">
        <w:rPr>
          <w:rFonts w:ascii="Times New Roman" w:hAnsi="Times New Roman"/>
          <w:szCs w:val="24"/>
        </w:rPr>
        <w:t>овог з</w:t>
      </w:r>
      <w:r w:rsidR="007104F0" w:rsidRPr="008D325A">
        <w:rPr>
          <w:rFonts w:ascii="Times New Roman" w:hAnsi="Times New Roman"/>
          <w:szCs w:val="24"/>
        </w:rPr>
        <w:t>акона по хитном поступку, у складу са чланом 167. Пословника Народне скупштине</w:t>
      </w:r>
      <w:r w:rsidR="00557028" w:rsidRPr="008D325A">
        <w:rPr>
          <w:rFonts w:ascii="Times New Roman" w:hAnsi="Times New Roman"/>
          <w:szCs w:val="24"/>
        </w:rPr>
        <w:t xml:space="preserve"> („Службени гласник РС”, број 20/12 - пречишћени текст)</w:t>
      </w:r>
      <w:r w:rsidR="007104F0" w:rsidRPr="008D325A">
        <w:rPr>
          <w:rFonts w:ascii="Times New Roman" w:hAnsi="Times New Roman"/>
          <w:szCs w:val="24"/>
        </w:rPr>
        <w:t xml:space="preserve">. У случају да се овај закон не донесе, проузроковале би се штетне последице на рад државних органа и организација обавезног социјалног осигурања. Објективне околности и догађања која су се десила у току законске процедуре за припрему Закона, проузроковале су пролонгирање рокова из буџетског календара у погледу усвајања предлога буџета, посебно имајући у виду договоре између Владе и мисије Међународног монетарног фонда поводом </w:t>
      </w:r>
      <w:r w:rsidR="00533F29" w:rsidRPr="008D325A">
        <w:rPr>
          <w:rFonts w:ascii="Times New Roman" w:hAnsi="Times New Roman"/>
          <w:szCs w:val="24"/>
        </w:rPr>
        <w:t xml:space="preserve">новог програма сарадње </w:t>
      </w:r>
      <w:r w:rsidR="002C7D29" w:rsidRPr="008D325A">
        <w:rPr>
          <w:rFonts w:ascii="Times New Roman" w:hAnsi="Times New Roman"/>
          <w:szCs w:val="24"/>
        </w:rPr>
        <w:t>„Инструмент</w:t>
      </w:r>
      <w:r w:rsidR="00533F29" w:rsidRPr="008D325A">
        <w:rPr>
          <w:rFonts w:ascii="Times New Roman" w:hAnsi="Times New Roman"/>
          <w:szCs w:val="24"/>
        </w:rPr>
        <w:t xml:space="preserve"> </w:t>
      </w:r>
      <w:r w:rsidR="0051226E" w:rsidRPr="008D325A">
        <w:rPr>
          <w:rFonts w:ascii="Times New Roman" w:hAnsi="Times New Roman"/>
          <w:szCs w:val="24"/>
        </w:rPr>
        <w:t>за координацију</w:t>
      </w:r>
      <w:r w:rsidR="002C7D29" w:rsidRPr="008D325A">
        <w:rPr>
          <w:rFonts w:ascii="Times New Roman" w:hAnsi="Times New Roman"/>
          <w:szCs w:val="24"/>
        </w:rPr>
        <w:t xml:space="preserve"> политика</w:t>
      </w:r>
      <w:r w:rsidR="00D857CF">
        <w:rPr>
          <w:rFonts w:ascii="Times New Roman" w:hAnsi="Times New Roman"/>
          <w:szCs w:val="24"/>
          <w:lang w:val="sr-Cyrl-RS"/>
        </w:rPr>
        <w:t>”</w:t>
      </w:r>
      <w:r w:rsidR="00ED131C" w:rsidRPr="008D325A">
        <w:rPr>
          <w:rFonts w:ascii="Times New Roman" w:hAnsi="Times New Roman"/>
          <w:szCs w:val="24"/>
        </w:rPr>
        <w:t xml:space="preserve"> </w:t>
      </w:r>
      <w:r w:rsidR="002C7D29" w:rsidRPr="008D325A">
        <w:rPr>
          <w:rFonts w:ascii="Times New Roman" w:hAnsi="Times New Roman"/>
          <w:szCs w:val="24"/>
        </w:rPr>
        <w:t>(PCI), који има за циљ одржање макроекономске и финансијске стабилности и остваривање напретка у реализацији плана структурних и институционалних ре</w:t>
      </w:r>
      <w:r w:rsidR="00ED131C" w:rsidRPr="008D325A">
        <w:rPr>
          <w:rFonts w:ascii="Times New Roman" w:hAnsi="Times New Roman"/>
          <w:szCs w:val="24"/>
        </w:rPr>
        <w:t>форми</w:t>
      </w:r>
      <w:r w:rsidR="0051226E" w:rsidRPr="008D325A">
        <w:rPr>
          <w:rFonts w:ascii="Times New Roman" w:hAnsi="Times New Roman"/>
          <w:szCs w:val="24"/>
        </w:rPr>
        <w:t xml:space="preserve"> за подстицање бржег и свеобухватног раста, стварања нових радних места и побољшања животног стандарда</w:t>
      </w:r>
      <w:r w:rsidR="00ED131C" w:rsidRPr="008D325A">
        <w:rPr>
          <w:rFonts w:ascii="Times New Roman" w:hAnsi="Times New Roman"/>
          <w:szCs w:val="24"/>
        </w:rPr>
        <w:t xml:space="preserve">. </w:t>
      </w:r>
      <w:r w:rsidR="007104F0" w:rsidRPr="008D325A">
        <w:rPr>
          <w:rFonts w:ascii="Times New Roman" w:hAnsi="Times New Roman"/>
          <w:szCs w:val="24"/>
        </w:rPr>
        <w:t>Стога, доношење овог закона и предлога одлука по хитном поступку потребно је ради неопходних материјалних и других услова за финансирање рада државних органа и организација на целој територији  Републике Србије.</w:t>
      </w:r>
    </w:p>
    <w:p w:rsidR="00ED131C" w:rsidRPr="008D325A" w:rsidRDefault="00ED131C" w:rsidP="007104F0">
      <w:pPr>
        <w:tabs>
          <w:tab w:val="left" w:pos="8640"/>
        </w:tabs>
        <w:rPr>
          <w:rFonts w:ascii="Times New Roman" w:hAnsi="Times New Roman"/>
          <w:szCs w:val="24"/>
          <w:highlight w:val="yellow"/>
        </w:rPr>
      </w:pPr>
    </w:p>
    <w:p w:rsidR="00ED131C" w:rsidRPr="008D325A" w:rsidRDefault="00ED131C" w:rsidP="007104F0">
      <w:pPr>
        <w:tabs>
          <w:tab w:val="left" w:pos="8640"/>
        </w:tabs>
        <w:rPr>
          <w:rFonts w:ascii="Times New Roman" w:hAnsi="Times New Roman"/>
          <w:szCs w:val="24"/>
          <w:highlight w:val="yellow"/>
        </w:rPr>
      </w:pPr>
    </w:p>
    <w:p w:rsidR="007104F0" w:rsidRPr="008D325A" w:rsidRDefault="007104F0" w:rsidP="007104F0">
      <w:pPr>
        <w:rPr>
          <w:rFonts w:ascii="Times New Roman" w:hAnsi="Times New Roman"/>
          <w:szCs w:val="24"/>
        </w:rPr>
      </w:pPr>
      <w:r w:rsidRPr="008D325A">
        <w:rPr>
          <w:rFonts w:ascii="Times New Roman" w:hAnsi="Times New Roman"/>
          <w:b/>
          <w:szCs w:val="24"/>
        </w:rPr>
        <w:t>V. РАЗЛОЗИ ЗА РАНИЈЕ СТУПАЊЕ НА СНАГУ ЗАКОНА</w:t>
      </w:r>
    </w:p>
    <w:p w:rsidR="007104F0" w:rsidRPr="008D325A" w:rsidRDefault="007104F0" w:rsidP="007104F0">
      <w:pPr>
        <w:ind w:right="517"/>
        <w:rPr>
          <w:rFonts w:ascii="Times New Roman" w:hAnsi="Times New Roman"/>
          <w:szCs w:val="24"/>
        </w:rPr>
      </w:pPr>
    </w:p>
    <w:p w:rsidR="007104F0" w:rsidRPr="008D325A" w:rsidRDefault="007104F0" w:rsidP="007104F0">
      <w:pPr>
        <w:outlineLvl w:val="0"/>
        <w:rPr>
          <w:rStyle w:val="CharCharChar"/>
          <w:rFonts w:ascii="Times New Roman" w:hAnsi="Times New Roman"/>
          <w:b/>
          <w:szCs w:val="24"/>
        </w:rPr>
      </w:pPr>
      <w:r w:rsidRPr="008D325A">
        <w:rPr>
          <w:rFonts w:ascii="Times New Roman" w:hAnsi="Times New Roman"/>
          <w:szCs w:val="24"/>
        </w:rPr>
        <w:t>Предлаже се да овај закон ступи на снагу наредног дана од дана објављивања у „Службеном гласнику Р</w:t>
      </w:r>
      <w:r w:rsidR="00D857CF">
        <w:rPr>
          <w:rFonts w:ascii="Times New Roman" w:hAnsi="Times New Roman"/>
          <w:szCs w:val="24"/>
          <w:lang w:val="sr-Cyrl-RS"/>
        </w:rPr>
        <w:t xml:space="preserve">епублике </w:t>
      </w:r>
      <w:r w:rsidRPr="008D325A">
        <w:rPr>
          <w:rFonts w:ascii="Times New Roman" w:hAnsi="Times New Roman"/>
          <w:szCs w:val="24"/>
        </w:rPr>
        <w:t>С</w:t>
      </w:r>
      <w:r w:rsidR="00D857CF">
        <w:rPr>
          <w:rFonts w:ascii="Times New Roman" w:hAnsi="Times New Roman"/>
          <w:szCs w:val="24"/>
          <w:lang w:val="sr-Cyrl-RS"/>
        </w:rPr>
        <w:t>рбије</w:t>
      </w:r>
      <w:r w:rsidRPr="008D325A">
        <w:rPr>
          <w:rFonts w:ascii="Times New Roman" w:hAnsi="Times New Roman"/>
          <w:szCs w:val="24"/>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201</w:t>
      </w:r>
      <w:r w:rsidR="00F979C1" w:rsidRPr="008D325A">
        <w:rPr>
          <w:rFonts w:ascii="Times New Roman" w:hAnsi="Times New Roman"/>
          <w:szCs w:val="24"/>
        </w:rPr>
        <w:t>9</w:t>
      </w:r>
      <w:r w:rsidRPr="008D325A">
        <w:rPr>
          <w:rFonts w:ascii="Times New Roman" w:hAnsi="Times New Roman"/>
          <w:szCs w:val="24"/>
        </w:rPr>
        <w:t xml:space="preserve">. године. У случају да се </w:t>
      </w:r>
      <w:r w:rsidR="00D857CF" w:rsidRPr="008D325A">
        <w:rPr>
          <w:rFonts w:ascii="Times New Roman" w:hAnsi="Times New Roman"/>
          <w:szCs w:val="24"/>
        </w:rPr>
        <w:t xml:space="preserve">закон </w:t>
      </w:r>
      <w:r w:rsidRPr="008D325A">
        <w:rPr>
          <w:rFonts w:ascii="Times New Roman" w:hAnsi="Times New Roman"/>
          <w:szCs w:val="24"/>
        </w:rPr>
        <w:t>донесе 31. децембра 201</w:t>
      </w:r>
      <w:r w:rsidR="00F979C1" w:rsidRPr="008D325A">
        <w:rPr>
          <w:rFonts w:ascii="Times New Roman" w:hAnsi="Times New Roman"/>
          <w:szCs w:val="24"/>
        </w:rPr>
        <w:t>8</w:t>
      </w:r>
      <w:r w:rsidRPr="008D325A">
        <w:rPr>
          <w:rFonts w:ascii="Times New Roman" w:hAnsi="Times New Roman"/>
          <w:szCs w:val="24"/>
        </w:rPr>
        <w:t>. године, била би доведена у питање редовна динамика извршавања расхода Републике, а тиме и извршавање функција и надлежности Републике. Посебно би било угрожено финансирање пензија, социјалних давања и обезбеђивање средстава за исплату плата у јавним службама и државним органима, тј. од 1. јануара 201</w:t>
      </w:r>
      <w:r w:rsidR="00F979C1" w:rsidRPr="008D325A">
        <w:rPr>
          <w:rFonts w:ascii="Times New Roman" w:hAnsi="Times New Roman"/>
          <w:szCs w:val="24"/>
        </w:rPr>
        <w:t>9</w:t>
      </w:r>
      <w:r w:rsidRPr="008D325A">
        <w:rPr>
          <w:rFonts w:ascii="Times New Roman" w:hAnsi="Times New Roman"/>
          <w:szCs w:val="24"/>
        </w:rPr>
        <w:t>. године, када и почиње буџетска година према Закону о буџетском систему.</w:t>
      </w:r>
    </w:p>
    <w:p w:rsidR="002B6A77" w:rsidRPr="008D325A" w:rsidRDefault="002B6A77">
      <w:pPr>
        <w:rPr>
          <w:rFonts w:ascii="Times New Roman" w:hAnsi="Times New Roman"/>
          <w:sz w:val="23"/>
          <w:szCs w:val="23"/>
        </w:rPr>
      </w:pPr>
    </w:p>
    <w:sectPr w:rsidR="002B6A77" w:rsidRPr="008D325A" w:rsidSect="00A33057">
      <w:footerReference w:type="default" r:id="rId13"/>
      <w:pgSz w:w="11907" w:h="16840" w:code="9"/>
      <w:pgMar w:top="851" w:right="1247" w:bottom="851"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71C" w:rsidRDefault="0002471C" w:rsidP="00762E8F">
      <w:r>
        <w:separator/>
      </w:r>
    </w:p>
  </w:endnote>
  <w:endnote w:type="continuationSeparator" w:id="0">
    <w:p w:rsidR="0002471C" w:rsidRDefault="0002471C"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hnschrift Light SemiCondensed">
    <w:charset w:val="00"/>
    <w:family w:val="swiss"/>
    <w:pitch w:val="variable"/>
    <w:sig w:usb0="A00002C7" w:usb1="00000002"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charset w:val="00"/>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473409"/>
      <w:docPartObj>
        <w:docPartGallery w:val="Page Numbers (Bottom of Page)"/>
        <w:docPartUnique/>
      </w:docPartObj>
    </w:sdtPr>
    <w:sdtEndPr>
      <w:rPr>
        <w:noProof/>
      </w:rPr>
    </w:sdtEndPr>
    <w:sdtContent>
      <w:p w:rsidR="000B5823" w:rsidRDefault="000B5823">
        <w:pPr>
          <w:pStyle w:val="Footer"/>
          <w:jc w:val="right"/>
        </w:pPr>
        <w:r>
          <w:fldChar w:fldCharType="begin"/>
        </w:r>
        <w:r>
          <w:instrText xml:space="preserve"> PAGE   \* MERGEFORMAT </w:instrText>
        </w:r>
        <w:r>
          <w:fldChar w:fldCharType="separate"/>
        </w:r>
        <w:r w:rsidR="002F4DF9">
          <w:rPr>
            <w:noProof/>
          </w:rPr>
          <w:t>7</w:t>
        </w:r>
        <w:r>
          <w:rPr>
            <w:noProof/>
          </w:rPr>
          <w:fldChar w:fldCharType="end"/>
        </w:r>
      </w:p>
    </w:sdtContent>
  </w:sdt>
  <w:p w:rsidR="000B5823" w:rsidRDefault="000B58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71C" w:rsidRDefault="0002471C" w:rsidP="00762E8F">
      <w:r>
        <w:separator/>
      </w:r>
    </w:p>
  </w:footnote>
  <w:footnote w:type="continuationSeparator" w:id="0">
    <w:p w:rsidR="0002471C" w:rsidRDefault="0002471C" w:rsidP="00762E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6ED6"/>
    <w:multiLevelType w:val="hybridMultilevel"/>
    <w:tmpl w:val="1FDED64C"/>
    <w:lvl w:ilvl="0" w:tplc="04090001">
      <w:start w:val="1"/>
      <w:numFmt w:val="bullet"/>
      <w:lvlText w:val=""/>
      <w:lvlJc w:val="left"/>
      <w:pPr>
        <w:ind w:left="720" w:hanging="360"/>
      </w:pPr>
      <w:rPr>
        <w:rFonts w:ascii="Symbol" w:hAnsi="Symbol" w:hint="default"/>
        <w:color w:val="0070C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2C8B17FB"/>
    <w:multiLevelType w:val="hybridMultilevel"/>
    <w:tmpl w:val="40C67472"/>
    <w:lvl w:ilvl="0" w:tplc="281A0001">
      <w:start w:val="1"/>
      <w:numFmt w:val="bullet"/>
      <w:lvlText w:val=""/>
      <w:lvlJc w:val="left"/>
      <w:pPr>
        <w:ind w:left="1080" w:hanging="360"/>
      </w:pPr>
      <w:rPr>
        <w:rFonts w:ascii="Symbol" w:hAnsi="Symbol"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3" w15:restartNumberingAfterBreak="0">
    <w:nsid w:val="34543FEA"/>
    <w:multiLevelType w:val="hybridMultilevel"/>
    <w:tmpl w:val="7F3EF33A"/>
    <w:lvl w:ilvl="0" w:tplc="0C1A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4"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90334F0"/>
    <w:multiLevelType w:val="hybridMultilevel"/>
    <w:tmpl w:val="4A9A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D91030F"/>
    <w:multiLevelType w:val="hybridMultilevel"/>
    <w:tmpl w:val="103E7BA6"/>
    <w:lvl w:ilvl="0" w:tplc="0C1A0001">
      <w:start w:val="1"/>
      <w:numFmt w:val="bullet"/>
      <w:lvlText w:val=""/>
      <w:lvlJc w:val="left"/>
      <w:pPr>
        <w:ind w:left="1545" w:hanging="360"/>
      </w:pPr>
      <w:rPr>
        <w:rFonts w:ascii="Symbol" w:hAnsi="Symbol" w:hint="default"/>
      </w:rPr>
    </w:lvl>
    <w:lvl w:ilvl="1" w:tplc="0C1A0003" w:tentative="1">
      <w:start w:val="1"/>
      <w:numFmt w:val="bullet"/>
      <w:lvlText w:val="o"/>
      <w:lvlJc w:val="left"/>
      <w:pPr>
        <w:ind w:left="2265" w:hanging="360"/>
      </w:pPr>
      <w:rPr>
        <w:rFonts w:ascii="Courier New" w:hAnsi="Courier New" w:cs="Courier New" w:hint="default"/>
      </w:rPr>
    </w:lvl>
    <w:lvl w:ilvl="2" w:tplc="0C1A0005" w:tentative="1">
      <w:start w:val="1"/>
      <w:numFmt w:val="bullet"/>
      <w:lvlText w:val=""/>
      <w:lvlJc w:val="left"/>
      <w:pPr>
        <w:ind w:left="2985" w:hanging="360"/>
      </w:pPr>
      <w:rPr>
        <w:rFonts w:ascii="Wingdings" w:hAnsi="Wingdings" w:hint="default"/>
      </w:rPr>
    </w:lvl>
    <w:lvl w:ilvl="3" w:tplc="0C1A0001" w:tentative="1">
      <w:start w:val="1"/>
      <w:numFmt w:val="bullet"/>
      <w:lvlText w:val=""/>
      <w:lvlJc w:val="left"/>
      <w:pPr>
        <w:ind w:left="3705" w:hanging="360"/>
      </w:pPr>
      <w:rPr>
        <w:rFonts w:ascii="Symbol" w:hAnsi="Symbol" w:hint="default"/>
      </w:rPr>
    </w:lvl>
    <w:lvl w:ilvl="4" w:tplc="0C1A0003" w:tentative="1">
      <w:start w:val="1"/>
      <w:numFmt w:val="bullet"/>
      <w:lvlText w:val="o"/>
      <w:lvlJc w:val="left"/>
      <w:pPr>
        <w:ind w:left="4425" w:hanging="360"/>
      </w:pPr>
      <w:rPr>
        <w:rFonts w:ascii="Courier New" w:hAnsi="Courier New" w:cs="Courier New" w:hint="default"/>
      </w:rPr>
    </w:lvl>
    <w:lvl w:ilvl="5" w:tplc="0C1A0005" w:tentative="1">
      <w:start w:val="1"/>
      <w:numFmt w:val="bullet"/>
      <w:lvlText w:val=""/>
      <w:lvlJc w:val="left"/>
      <w:pPr>
        <w:ind w:left="5145" w:hanging="360"/>
      </w:pPr>
      <w:rPr>
        <w:rFonts w:ascii="Wingdings" w:hAnsi="Wingdings" w:hint="default"/>
      </w:rPr>
    </w:lvl>
    <w:lvl w:ilvl="6" w:tplc="0C1A0001" w:tentative="1">
      <w:start w:val="1"/>
      <w:numFmt w:val="bullet"/>
      <w:lvlText w:val=""/>
      <w:lvlJc w:val="left"/>
      <w:pPr>
        <w:ind w:left="5865" w:hanging="360"/>
      </w:pPr>
      <w:rPr>
        <w:rFonts w:ascii="Symbol" w:hAnsi="Symbol" w:hint="default"/>
      </w:rPr>
    </w:lvl>
    <w:lvl w:ilvl="7" w:tplc="0C1A0003" w:tentative="1">
      <w:start w:val="1"/>
      <w:numFmt w:val="bullet"/>
      <w:lvlText w:val="o"/>
      <w:lvlJc w:val="left"/>
      <w:pPr>
        <w:ind w:left="6585" w:hanging="360"/>
      </w:pPr>
      <w:rPr>
        <w:rFonts w:ascii="Courier New" w:hAnsi="Courier New" w:cs="Courier New" w:hint="default"/>
      </w:rPr>
    </w:lvl>
    <w:lvl w:ilvl="8" w:tplc="0C1A0005" w:tentative="1">
      <w:start w:val="1"/>
      <w:numFmt w:val="bullet"/>
      <w:lvlText w:val=""/>
      <w:lvlJc w:val="left"/>
      <w:pPr>
        <w:ind w:left="7305" w:hanging="360"/>
      </w:pPr>
      <w:rPr>
        <w:rFonts w:ascii="Wingdings" w:hAnsi="Wingdings" w:hint="default"/>
      </w:rPr>
    </w:lvl>
  </w:abstractNum>
  <w:abstractNum w:abstractNumId="8" w15:restartNumberingAfterBreak="0">
    <w:nsid w:val="5D500281"/>
    <w:multiLevelType w:val="hybridMultilevel"/>
    <w:tmpl w:val="7E3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806019"/>
    <w:multiLevelType w:val="hybridMultilevel"/>
    <w:tmpl w:val="E1922DE4"/>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676F6322"/>
    <w:multiLevelType w:val="hybridMultilevel"/>
    <w:tmpl w:val="D6503220"/>
    <w:lvl w:ilvl="0" w:tplc="3F5AEC04">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6AD54D86"/>
    <w:multiLevelType w:val="hybridMultilevel"/>
    <w:tmpl w:val="19B6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106B6F"/>
    <w:multiLevelType w:val="hybridMultilevel"/>
    <w:tmpl w:val="46825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B8655B"/>
    <w:multiLevelType w:val="hybridMultilevel"/>
    <w:tmpl w:val="9878DF2E"/>
    <w:lvl w:ilvl="0" w:tplc="EA544676">
      <w:start w:val="1"/>
      <w:numFmt w:val="bullet"/>
      <w:lvlText w:val=""/>
      <w:lvlJc w:val="left"/>
      <w:pPr>
        <w:ind w:left="1495" w:hanging="360"/>
      </w:pPr>
      <w:rPr>
        <w:rFonts w:ascii="Symbol" w:hAnsi="Symbol" w:hint="default"/>
      </w:rPr>
    </w:lvl>
    <w:lvl w:ilvl="1" w:tplc="241A0003">
      <w:start w:val="1"/>
      <w:numFmt w:val="bullet"/>
      <w:lvlText w:val="o"/>
      <w:lvlJc w:val="left"/>
      <w:pPr>
        <w:ind w:left="2215" w:hanging="360"/>
      </w:pPr>
      <w:rPr>
        <w:rFonts w:ascii="Courier New" w:hAnsi="Courier New" w:cs="Times New Roman" w:hint="default"/>
      </w:rPr>
    </w:lvl>
    <w:lvl w:ilvl="2" w:tplc="241A0005">
      <w:start w:val="1"/>
      <w:numFmt w:val="bullet"/>
      <w:lvlText w:val=""/>
      <w:lvlJc w:val="left"/>
      <w:pPr>
        <w:ind w:left="2935" w:hanging="360"/>
      </w:pPr>
      <w:rPr>
        <w:rFonts w:ascii="Wingdings" w:hAnsi="Wingdings" w:hint="default"/>
      </w:rPr>
    </w:lvl>
    <w:lvl w:ilvl="3" w:tplc="241A0001">
      <w:start w:val="1"/>
      <w:numFmt w:val="bullet"/>
      <w:lvlText w:val=""/>
      <w:lvlJc w:val="left"/>
      <w:pPr>
        <w:ind w:left="3655" w:hanging="360"/>
      </w:pPr>
      <w:rPr>
        <w:rFonts w:ascii="Symbol" w:hAnsi="Symbol" w:hint="default"/>
      </w:rPr>
    </w:lvl>
    <w:lvl w:ilvl="4" w:tplc="241A0003">
      <w:start w:val="1"/>
      <w:numFmt w:val="bullet"/>
      <w:lvlText w:val="o"/>
      <w:lvlJc w:val="left"/>
      <w:pPr>
        <w:ind w:left="4375" w:hanging="360"/>
      </w:pPr>
      <w:rPr>
        <w:rFonts w:ascii="Courier New" w:hAnsi="Courier New" w:cs="Times New Roman" w:hint="default"/>
      </w:rPr>
    </w:lvl>
    <w:lvl w:ilvl="5" w:tplc="241A0005">
      <w:start w:val="1"/>
      <w:numFmt w:val="bullet"/>
      <w:lvlText w:val=""/>
      <w:lvlJc w:val="left"/>
      <w:pPr>
        <w:ind w:left="5095" w:hanging="360"/>
      </w:pPr>
      <w:rPr>
        <w:rFonts w:ascii="Wingdings" w:hAnsi="Wingdings" w:hint="default"/>
      </w:rPr>
    </w:lvl>
    <w:lvl w:ilvl="6" w:tplc="241A0001">
      <w:start w:val="1"/>
      <w:numFmt w:val="bullet"/>
      <w:lvlText w:val=""/>
      <w:lvlJc w:val="left"/>
      <w:pPr>
        <w:ind w:left="5815" w:hanging="360"/>
      </w:pPr>
      <w:rPr>
        <w:rFonts w:ascii="Symbol" w:hAnsi="Symbol" w:hint="default"/>
      </w:rPr>
    </w:lvl>
    <w:lvl w:ilvl="7" w:tplc="241A0003">
      <w:start w:val="1"/>
      <w:numFmt w:val="bullet"/>
      <w:lvlText w:val="o"/>
      <w:lvlJc w:val="left"/>
      <w:pPr>
        <w:ind w:left="6535" w:hanging="360"/>
      </w:pPr>
      <w:rPr>
        <w:rFonts w:ascii="Courier New" w:hAnsi="Courier New" w:cs="Times New Roman" w:hint="default"/>
      </w:rPr>
    </w:lvl>
    <w:lvl w:ilvl="8" w:tplc="241A0005">
      <w:start w:val="1"/>
      <w:numFmt w:val="bullet"/>
      <w:lvlText w:val=""/>
      <w:lvlJc w:val="left"/>
      <w:pPr>
        <w:ind w:left="7255" w:hanging="360"/>
      </w:pPr>
      <w:rPr>
        <w:rFonts w:ascii="Wingdings" w:hAnsi="Wingdings" w:hint="default"/>
      </w:rPr>
    </w:lvl>
  </w:abstractNum>
  <w:abstractNum w:abstractNumId="14" w15:restartNumberingAfterBreak="0">
    <w:nsid w:val="77E13CA3"/>
    <w:multiLevelType w:val="hybridMultilevel"/>
    <w:tmpl w:val="D506E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09433E"/>
    <w:multiLevelType w:val="hybridMultilevel"/>
    <w:tmpl w:val="B9CC7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4"/>
  </w:num>
  <w:num w:numId="5">
    <w:abstractNumId w:val="12"/>
  </w:num>
  <w:num w:numId="6">
    <w:abstractNumId w:val="15"/>
  </w:num>
  <w:num w:numId="7">
    <w:abstractNumId w:val="3"/>
  </w:num>
  <w:num w:numId="8">
    <w:abstractNumId w:val="13"/>
  </w:num>
  <w:num w:numId="9">
    <w:abstractNumId w:val="5"/>
  </w:num>
  <w:num w:numId="10">
    <w:abstractNumId w:val="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6"/>
  </w:num>
  <w:num w:numId="14">
    <w:abstractNumId w:val="0"/>
  </w:num>
  <w:num w:numId="15">
    <w:abstractNumId w:val="2"/>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4F0"/>
    <w:rsid w:val="000008C6"/>
    <w:rsid w:val="000044DB"/>
    <w:rsid w:val="000048DC"/>
    <w:rsid w:val="00006E56"/>
    <w:rsid w:val="0002471C"/>
    <w:rsid w:val="00031315"/>
    <w:rsid w:val="00040214"/>
    <w:rsid w:val="00043FD5"/>
    <w:rsid w:val="00050E17"/>
    <w:rsid w:val="0006091D"/>
    <w:rsid w:val="00062B8A"/>
    <w:rsid w:val="000711D1"/>
    <w:rsid w:val="000713AD"/>
    <w:rsid w:val="00074A40"/>
    <w:rsid w:val="00092011"/>
    <w:rsid w:val="0009287E"/>
    <w:rsid w:val="000B03B8"/>
    <w:rsid w:val="000B3EA4"/>
    <w:rsid w:val="000B5823"/>
    <w:rsid w:val="000C0A0B"/>
    <w:rsid w:val="000C19E8"/>
    <w:rsid w:val="000C1DE8"/>
    <w:rsid w:val="000C3259"/>
    <w:rsid w:val="000D0158"/>
    <w:rsid w:val="000E7FA0"/>
    <w:rsid w:val="000F5623"/>
    <w:rsid w:val="000F6CFB"/>
    <w:rsid w:val="001003BD"/>
    <w:rsid w:val="00103503"/>
    <w:rsid w:val="00105C97"/>
    <w:rsid w:val="001125A6"/>
    <w:rsid w:val="001142B9"/>
    <w:rsid w:val="00122CE8"/>
    <w:rsid w:val="001415B4"/>
    <w:rsid w:val="00146D4D"/>
    <w:rsid w:val="001473E8"/>
    <w:rsid w:val="00151749"/>
    <w:rsid w:val="00152E26"/>
    <w:rsid w:val="001715EE"/>
    <w:rsid w:val="0017168B"/>
    <w:rsid w:val="001721DC"/>
    <w:rsid w:val="00192553"/>
    <w:rsid w:val="001A08FB"/>
    <w:rsid w:val="001A50CF"/>
    <w:rsid w:val="001B0A28"/>
    <w:rsid w:val="001B0BA2"/>
    <w:rsid w:val="001C0CCD"/>
    <w:rsid w:val="001C67A2"/>
    <w:rsid w:val="001D2EC5"/>
    <w:rsid w:val="001E57EF"/>
    <w:rsid w:val="001E6BD0"/>
    <w:rsid w:val="001E7029"/>
    <w:rsid w:val="00201652"/>
    <w:rsid w:val="00214C47"/>
    <w:rsid w:val="002251A5"/>
    <w:rsid w:val="00236FF2"/>
    <w:rsid w:val="00242551"/>
    <w:rsid w:val="0024652F"/>
    <w:rsid w:val="00253189"/>
    <w:rsid w:val="002564B6"/>
    <w:rsid w:val="00260900"/>
    <w:rsid w:val="00263D0E"/>
    <w:rsid w:val="002742F3"/>
    <w:rsid w:val="002805A9"/>
    <w:rsid w:val="00280D3D"/>
    <w:rsid w:val="00280D60"/>
    <w:rsid w:val="00286337"/>
    <w:rsid w:val="002922E4"/>
    <w:rsid w:val="00293D68"/>
    <w:rsid w:val="002A120D"/>
    <w:rsid w:val="002A26DC"/>
    <w:rsid w:val="002A77B9"/>
    <w:rsid w:val="002B6A77"/>
    <w:rsid w:val="002B6D21"/>
    <w:rsid w:val="002B74B3"/>
    <w:rsid w:val="002C406C"/>
    <w:rsid w:val="002C4E9E"/>
    <w:rsid w:val="002C7D29"/>
    <w:rsid w:val="002D24AC"/>
    <w:rsid w:val="002F4DF9"/>
    <w:rsid w:val="0031241C"/>
    <w:rsid w:val="00324B05"/>
    <w:rsid w:val="00331E7D"/>
    <w:rsid w:val="003366DD"/>
    <w:rsid w:val="00337B2C"/>
    <w:rsid w:val="00363D12"/>
    <w:rsid w:val="00373342"/>
    <w:rsid w:val="003742E1"/>
    <w:rsid w:val="00377A4C"/>
    <w:rsid w:val="00381250"/>
    <w:rsid w:val="00395BF3"/>
    <w:rsid w:val="003A6118"/>
    <w:rsid w:val="003B3FB3"/>
    <w:rsid w:val="003B61DC"/>
    <w:rsid w:val="003B73EF"/>
    <w:rsid w:val="003C332D"/>
    <w:rsid w:val="003D0854"/>
    <w:rsid w:val="003D26F3"/>
    <w:rsid w:val="003E7CFE"/>
    <w:rsid w:val="003F254D"/>
    <w:rsid w:val="00410DC8"/>
    <w:rsid w:val="00424712"/>
    <w:rsid w:val="004274CB"/>
    <w:rsid w:val="00455477"/>
    <w:rsid w:val="004747D6"/>
    <w:rsid w:val="004758DD"/>
    <w:rsid w:val="00487719"/>
    <w:rsid w:val="0049267D"/>
    <w:rsid w:val="004A0C74"/>
    <w:rsid w:val="004A55B2"/>
    <w:rsid w:val="004B3F04"/>
    <w:rsid w:val="004B40FD"/>
    <w:rsid w:val="004C1B6B"/>
    <w:rsid w:val="004C1CB8"/>
    <w:rsid w:val="004D3195"/>
    <w:rsid w:val="004E2F1B"/>
    <w:rsid w:val="004E742B"/>
    <w:rsid w:val="004E7CB1"/>
    <w:rsid w:val="004F0B63"/>
    <w:rsid w:val="00505560"/>
    <w:rsid w:val="0051226E"/>
    <w:rsid w:val="00530B9C"/>
    <w:rsid w:val="00531C9C"/>
    <w:rsid w:val="0053247D"/>
    <w:rsid w:val="00533F29"/>
    <w:rsid w:val="00540346"/>
    <w:rsid w:val="00542260"/>
    <w:rsid w:val="00551EDF"/>
    <w:rsid w:val="00556620"/>
    <w:rsid w:val="00557028"/>
    <w:rsid w:val="00570196"/>
    <w:rsid w:val="00573C07"/>
    <w:rsid w:val="00580676"/>
    <w:rsid w:val="005877CE"/>
    <w:rsid w:val="005918F3"/>
    <w:rsid w:val="005A6BD4"/>
    <w:rsid w:val="005B6DD9"/>
    <w:rsid w:val="005C0C6F"/>
    <w:rsid w:val="005C2D3B"/>
    <w:rsid w:val="005C458E"/>
    <w:rsid w:val="005C5661"/>
    <w:rsid w:val="005E4043"/>
    <w:rsid w:val="005F61C3"/>
    <w:rsid w:val="005F7668"/>
    <w:rsid w:val="00601BD6"/>
    <w:rsid w:val="00605C3E"/>
    <w:rsid w:val="00615EA1"/>
    <w:rsid w:val="0062702D"/>
    <w:rsid w:val="00632A97"/>
    <w:rsid w:val="00633B47"/>
    <w:rsid w:val="006358DE"/>
    <w:rsid w:val="00640E74"/>
    <w:rsid w:val="0064506E"/>
    <w:rsid w:val="006459DA"/>
    <w:rsid w:val="00652334"/>
    <w:rsid w:val="00653E2F"/>
    <w:rsid w:val="00656C15"/>
    <w:rsid w:val="00664343"/>
    <w:rsid w:val="006843A6"/>
    <w:rsid w:val="00692D32"/>
    <w:rsid w:val="006933C2"/>
    <w:rsid w:val="00693CCF"/>
    <w:rsid w:val="00696EF5"/>
    <w:rsid w:val="006A242D"/>
    <w:rsid w:val="006A289D"/>
    <w:rsid w:val="006B1987"/>
    <w:rsid w:val="006C2F74"/>
    <w:rsid w:val="006D3A6C"/>
    <w:rsid w:val="006E2729"/>
    <w:rsid w:val="006E5103"/>
    <w:rsid w:val="006E6B5F"/>
    <w:rsid w:val="006F117C"/>
    <w:rsid w:val="007012EB"/>
    <w:rsid w:val="007046B8"/>
    <w:rsid w:val="007104F0"/>
    <w:rsid w:val="00713F58"/>
    <w:rsid w:val="00731857"/>
    <w:rsid w:val="00744818"/>
    <w:rsid w:val="0074770D"/>
    <w:rsid w:val="00762E8F"/>
    <w:rsid w:val="007649FD"/>
    <w:rsid w:val="0076678C"/>
    <w:rsid w:val="0077012F"/>
    <w:rsid w:val="007735F7"/>
    <w:rsid w:val="00775800"/>
    <w:rsid w:val="00776DB0"/>
    <w:rsid w:val="00782495"/>
    <w:rsid w:val="007863A2"/>
    <w:rsid w:val="00792109"/>
    <w:rsid w:val="007932FF"/>
    <w:rsid w:val="00795F68"/>
    <w:rsid w:val="00796065"/>
    <w:rsid w:val="007B00D9"/>
    <w:rsid w:val="007B7E49"/>
    <w:rsid w:val="007D4247"/>
    <w:rsid w:val="007E18D0"/>
    <w:rsid w:val="007E6653"/>
    <w:rsid w:val="007E7D7D"/>
    <w:rsid w:val="007E7F89"/>
    <w:rsid w:val="008008F7"/>
    <w:rsid w:val="00800996"/>
    <w:rsid w:val="00810382"/>
    <w:rsid w:val="00812880"/>
    <w:rsid w:val="00814DB4"/>
    <w:rsid w:val="00820CA6"/>
    <w:rsid w:val="00821B52"/>
    <w:rsid w:val="008228B6"/>
    <w:rsid w:val="0085045A"/>
    <w:rsid w:val="008610E8"/>
    <w:rsid w:val="00870157"/>
    <w:rsid w:val="0087599F"/>
    <w:rsid w:val="00884ED8"/>
    <w:rsid w:val="0088657D"/>
    <w:rsid w:val="00897301"/>
    <w:rsid w:val="00897E6C"/>
    <w:rsid w:val="008B0E44"/>
    <w:rsid w:val="008C2BAA"/>
    <w:rsid w:val="008C3CCB"/>
    <w:rsid w:val="008D325A"/>
    <w:rsid w:val="008D3466"/>
    <w:rsid w:val="008E331A"/>
    <w:rsid w:val="008F4227"/>
    <w:rsid w:val="008F451B"/>
    <w:rsid w:val="00900ACD"/>
    <w:rsid w:val="00906307"/>
    <w:rsid w:val="00906B4B"/>
    <w:rsid w:val="00907A70"/>
    <w:rsid w:val="0091361B"/>
    <w:rsid w:val="00916987"/>
    <w:rsid w:val="00921BC5"/>
    <w:rsid w:val="0093300C"/>
    <w:rsid w:val="00942CFF"/>
    <w:rsid w:val="009437BA"/>
    <w:rsid w:val="00946294"/>
    <w:rsid w:val="009603EC"/>
    <w:rsid w:val="009641B0"/>
    <w:rsid w:val="00964CC6"/>
    <w:rsid w:val="00966DA6"/>
    <w:rsid w:val="00971FA1"/>
    <w:rsid w:val="00975CAD"/>
    <w:rsid w:val="00983B07"/>
    <w:rsid w:val="009925FA"/>
    <w:rsid w:val="009958C2"/>
    <w:rsid w:val="00995C40"/>
    <w:rsid w:val="00996DE1"/>
    <w:rsid w:val="009A79C5"/>
    <w:rsid w:val="009B722C"/>
    <w:rsid w:val="009C3E90"/>
    <w:rsid w:val="009C4DB3"/>
    <w:rsid w:val="009C6368"/>
    <w:rsid w:val="009D274C"/>
    <w:rsid w:val="009D445B"/>
    <w:rsid w:val="009E0F07"/>
    <w:rsid w:val="009E5705"/>
    <w:rsid w:val="009E787A"/>
    <w:rsid w:val="009F4051"/>
    <w:rsid w:val="00A05BB5"/>
    <w:rsid w:val="00A11FD8"/>
    <w:rsid w:val="00A1479E"/>
    <w:rsid w:val="00A33057"/>
    <w:rsid w:val="00A37B4F"/>
    <w:rsid w:val="00A43D03"/>
    <w:rsid w:val="00A46E69"/>
    <w:rsid w:val="00A47075"/>
    <w:rsid w:val="00A47402"/>
    <w:rsid w:val="00A50BA1"/>
    <w:rsid w:val="00A50F8C"/>
    <w:rsid w:val="00A55878"/>
    <w:rsid w:val="00A56934"/>
    <w:rsid w:val="00A60F5B"/>
    <w:rsid w:val="00A61662"/>
    <w:rsid w:val="00A66797"/>
    <w:rsid w:val="00AB10DC"/>
    <w:rsid w:val="00AB6079"/>
    <w:rsid w:val="00AC1775"/>
    <w:rsid w:val="00AD1F65"/>
    <w:rsid w:val="00AD3A4E"/>
    <w:rsid w:val="00AD4B32"/>
    <w:rsid w:val="00AE01DD"/>
    <w:rsid w:val="00AE1102"/>
    <w:rsid w:val="00AE3BCA"/>
    <w:rsid w:val="00AE7A7D"/>
    <w:rsid w:val="00B055DB"/>
    <w:rsid w:val="00B13181"/>
    <w:rsid w:val="00B20AA2"/>
    <w:rsid w:val="00B33119"/>
    <w:rsid w:val="00B516F3"/>
    <w:rsid w:val="00B53E71"/>
    <w:rsid w:val="00B63FE7"/>
    <w:rsid w:val="00B6621A"/>
    <w:rsid w:val="00B67557"/>
    <w:rsid w:val="00B7272C"/>
    <w:rsid w:val="00B85509"/>
    <w:rsid w:val="00B856FE"/>
    <w:rsid w:val="00BA0A96"/>
    <w:rsid w:val="00BB1E10"/>
    <w:rsid w:val="00BB2965"/>
    <w:rsid w:val="00BC2F37"/>
    <w:rsid w:val="00BD5B43"/>
    <w:rsid w:val="00BF3CF3"/>
    <w:rsid w:val="00C21089"/>
    <w:rsid w:val="00C229FA"/>
    <w:rsid w:val="00C24AA9"/>
    <w:rsid w:val="00C25C13"/>
    <w:rsid w:val="00C30EBA"/>
    <w:rsid w:val="00C44409"/>
    <w:rsid w:val="00C51389"/>
    <w:rsid w:val="00C63DAE"/>
    <w:rsid w:val="00C71098"/>
    <w:rsid w:val="00C72674"/>
    <w:rsid w:val="00C729CC"/>
    <w:rsid w:val="00C852D3"/>
    <w:rsid w:val="00C86F9B"/>
    <w:rsid w:val="00C97A5C"/>
    <w:rsid w:val="00CA50A4"/>
    <w:rsid w:val="00CB0178"/>
    <w:rsid w:val="00CB37D9"/>
    <w:rsid w:val="00CC0F16"/>
    <w:rsid w:val="00CC3030"/>
    <w:rsid w:val="00CC6E9C"/>
    <w:rsid w:val="00CC7515"/>
    <w:rsid w:val="00CD1D07"/>
    <w:rsid w:val="00CD4C9E"/>
    <w:rsid w:val="00CD5903"/>
    <w:rsid w:val="00CE5140"/>
    <w:rsid w:val="00D038EB"/>
    <w:rsid w:val="00D0499B"/>
    <w:rsid w:val="00D112D8"/>
    <w:rsid w:val="00D1183D"/>
    <w:rsid w:val="00D133BA"/>
    <w:rsid w:val="00D23B59"/>
    <w:rsid w:val="00D3204C"/>
    <w:rsid w:val="00D42ECE"/>
    <w:rsid w:val="00D46EDE"/>
    <w:rsid w:val="00D50ACB"/>
    <w:rsid w:val="00D63504"/>
    <w:rsid w:val="00D717DC"/>
    <w:rsid w:val="00D760CA"/>
    <w:rsid w:val="00D76898"/>
    <w:rsid w:val="00D81F6A"/>
    <w:rsid w:val="00D857CF"/>
    <w:rsid w:val="00D91DE8"/>
    <w:rsid w:val="00D95FBC"/>
    <w:rsid w:val="00DA68F9"/>
    <w:rsid w:val="00DB1D07"/>
    <w:rsid w:val="00DC275A"/>
    <w:rsid w:val="00DC3A25"/>
    <w:rsid w:val="00DD42FF"/>
    <w:rsid w:val="00DD5469"/>
    <w:rsid w:val="00DD752B"/>
    <w:rsid w:val="00DF36B8"/>
    <w:rsid w:val="00DF75C7"/>
    <w:rsid w:val="00E00A6B"/>
    <w:rsid w:val="00E02726"/>
    <w:rsid w:val="00E06E86"/>
    <w:rsid w:val="00E14AAE"/>
    <w:rsid w:val="00E16E46"/>
    <w:rsid w:val="00E34D7E"/>
    <w:rsid w:val="00E3558F"/>
    <w:rsid w:val="00E35708"/>
    <w:rsid w:val="00E35FDD"/>
    <w:rsid w:val="00E5606E"/>
    <w:rsid w:val="00E76D65"/>
    <w:rsid w:val="00E77F6F"/>
    <w:rsid w:val="00E831FB"/>
    <w:rsid w:val="00E839F0"/>
    <w:rsid w:val="00EB674B"/>
    <w:rsid w:val="00EC37D8"/>
    <w:rsid w:val="00ED131C"/>
    <w:rsid w:val="00ED2412"/>
    <w:rsid w:val="00ED3C0C"/>
    <w:rsid w:val="00EE66EA"/>
    <w:rsid w:val="00EE786A"/>
    <w:rsid w:val="00EF3A64"/>
    <w:rsid w:val="00F01FA7"/>
    <w:rsid w:val="00F02F52"/>
    <w:rsid w:val="00F06095"/>
    <w:rsid w:val="00F06917"/>
    <w:rsid w:val="00F077E5"/>
    <w:rsid w:val="00F20B87"/>
    <w:rsid w:val="00F274D5"/>
    <w:rsid w:val="00F42E03"/>
    <w:rsid w:val="00F50658"/>
    <w:rsid w:val="00F52F8D"/>
    <w:rsid w:val="00F652A0"/>
    <w:rsid w:val="00F66504"/>
    <w:rsid w:val="00F700E1"/>
    <w:rsid w:val="00F73C71"/>
    <w:rsid w:val="00F81DEB"/>
    <w:rsid w:val="00F8274F"/>
    <w:rsid w:val="00F82B48"/>
    <w:rsid w:val="00F86F66"/>
    <w:rsid w:val="00F959A4"/>
    <w:rsid w:val="00F96F8E"/>
    <w:rsid w:val="00F979C1"/>
    <w:rsid w:val="00FA0E16"/>
    <w:rsid w:val="00FA1F93"/>
    <w:rsid w:val="00FA34DD"/>
    <w:rsid w:val="00FB40F2"/>
    <w:rsid w:val="00FC1422"/>
    <w:rsid w:val="00FC6E34"/>
    <w:rsid w:val="00FD78F8"/>
    <w:rsid w:val="00FF3895"/>
    <w:rsid w:val="00FF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F4A65"/>
  <w15:docId w15:val="{B1FE436C-3055-4842-849B-846FB4A5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4F0"/>
    <w:pPr>
      <w:tabs>
        <w:tab w:val="left" w:pos="1440"/>
      </w:tabs>
      <w:spacing w:after="0" w:line="240" w:lineRule="auto"/>
      <w:jc w:val="both"/>
    </w:pPr>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tabs>
        <w:tab w:val="clear" w:pos="1440"/>
      </w:tabs>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tabs>
        <w:tab w:val="clear" w:pos="1440"/>
      </w:tabs>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tabs>
        <w:tab w:val="clear" w:pos="1440"/>
      </w:tabs>
      <w:ind w:left="357"/>
      <w:jc w:val="left"/>
    </w:pPr>
    <w:rPr>
      <w:rFonts w:ascii="Times New Roman" w:hAnsi="Times New Roman"/>
    </w:rPr>
  </w:style>
  <w:style w:type="character" w:customStyle="1" w:styleId="BodyTextIndentChar">
    <w:name w:val="Body Text Indent Char"/>
    <w:basedOn w:val="DefaultParagraphFont"/>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tabs>
        <w:tab w:val="clear" w:pos="1440"/>
      </w:tabs>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tabs>
        <w:tab w:val="clear" w:pos="1440"/>
      </w:tabs>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lear" w:pos="1440"/>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tabs>
        <w:tab w:val="clear" w:pos="1440"/>
      </w:tabs>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lear" w:pos="1440"/>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clear" w:pos="1440"/>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clear" w:pos="1440"/>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clear" w:pos="1440"/>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tabs>
        <w:tab w:val="clear" w:pos="1440"/>
      </w:tabs>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tabs>
        <w:tab w:val="clear" w:pos="1440"/>
      </w:tabs>
      <w:jc w:val="center"/>
    </w:pPr>
    <w:rPr>
      <w:rFonts w:ascii="Arial" w:hAnsi="Arial" w:cs="Arial"/>
      <w:sz w:val="31"/>
      <w:szCs w:val="31"/>
      <w:lang w:val="sr-Latn-CS" w:eastAsia="sr-Latn-CS"/>
    </w:rPr>
  </w:style>
  <w:style w:type="paragraph" w:customStyle="1" w:styleId="120---podnaslov-clana">
    <w:name w:val="120---podnaslov-clana"/>
    <w:basedOn w:val="Normal"/>
    <w:rsid w:val="007104F0"/>
    <w:pPr>
      <w:tabs>
        <w:tab w:val="clear" w:pos="1440"/>
      </w:tabs>
      <w:spacing w:before="240" w:after="240"/>
      <w:jc w:val="center"/>
    </w:pPr>
    <w:rPr>
      <w:rFonts w:ascii="Arial" w:hAnsi="Arial" w:cs="Arial"/>
      <w:i/>
      <w:iCs/>
      <w:szCs w:val="24"/>
      <w:lang w:val="sr-Latn-CS" w:eastAsia="sr-Latn-CS"/>
    </w:rPr>
  </w:style>
  <w:style w:type="paragraph" w:customStyle="1" w:styleId="Char">
    <w:name w:val="Char"/>
    <w:basedOn w:val="Normal"/>
    <w:rsid w:val="007104F0"/>
    <w:pPr>
      <w:tabs>
        <w:tab w:val="clear" w:pos="1440"/>
      </w:tabs>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tabs>
        <w:tab w:val="clear" w:pos="1440"/>
      </w:tabs>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1tekst">
    <w:name w:val="1tekst"/>
    <w:basedOn w:val="Normal"/>
    <w:rsid w:val="007104F0"/>
    <w:pPr>
      <w:tabs>
        <w:tab w:val="clear" w:pos="1440"/>
      </w:tabs>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99"/>
    <w:qFormat/>
    <w:rsid w:val="007104F0"/>
    <w:pPr>
      <w:tabs>
        <w:tab w:val="clear" w:pos="1440"/>
      </w:tabs>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tabs>
        <w:tab w:val="clear" w:pos="1440"/>
      </w:tabs>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tabs>
        <w:tab w:val="clear" w:pos="1440"/>
      </w:tabs>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clear" w:pos="1440"/>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tabs>
        <w:tab w:val="clear" w:pos="1440"/>
      </w:tabs>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clear" w:pos="1440"/>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59"/>
    <w:rsid w:val="00710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tabs>
        <w:tab w:val="clear" w:pos="1440"/>
      </w:tabs>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tabs>
        <w:tab w:val="clear" w:pos="1440"/>
      </w:tabs>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clear" w:pos="1440"/>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tabs>
        <w:tab w:val="clear" w:pos="1440"/>
      </w:tab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pPr>
      <w:tabs>
        <w:tab w:val="clear" w:pos="1440"/>
      </w:tabs>
    </w:pPr>
    <w:rPr>
      <w:rFonts w:ascii="Times New Roman" w:hAnsi="Times New Roman"/>
      <w:szCs w:val="24"/>
      <w:lang w:val="en-US"/>
    </w:rPr>
  </w:style>
  <w:style w:type="paragraph" w:customStyle="1" w:styleId="Style2">
    <w:name w:val="Style2"/>
    <w:basedOn w:val="Normal"/>
    <w:rsid w:val="007104F0"/>
    <w:pPr>
      <w:tabs>
        <w:tab w:val="clear" w:pos="1440"/>
      </w:tabs>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tabs>
        <w:tab w:val="clear" w:pos="1440"/>
      </w:tabs>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tabs>
        <w:tab w:val="clear" w:pos="1440"/>
      </w:tabs>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clear" w:pos="1440"/>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tabs>
        <w:tab w:val="clear" w:pos="1440"/>
      </w:tabs>
      <w:spacing w:after="160" w:line="240" w:lineRule="exact"/>
      <w:jc w:val="left"/>
    </w:pPr>
    <w:rPr>
      <w:rFonts w:ascii="Tahoma" w:hAnsi="Tahoma"/>
      <w:sz w:val="20"/>
      <w:lang w:val="en-US"/>
    </w:rPr>
  </w:style>
  <w:style w:type="paragraph" w:customStyle="1" w:styleId="Text1">
    <w:name w:val="Text 1"/>
    <w:basedOn w:val="Normal"/>
    <w:link w:val="Text1Char"/>
    <w:rsid w:val="007104F0"/>
    <w:pPr>
      <w:tabs>
        <w:tab w:val="clear" w:pos="1440"/>
      </w:tabs>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pPr>
      <w:spacing w:after="0" w:line="240" w:lineRule="auto"/>
    </w:pPr>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tabs>
        <w:tab w:val="clear" w:pos="1440"/>
      </w:tabs>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tabs>
        <w:tab w:val="clear" w:pos="1440"/>
      </w:tabs>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clear" w:pos="1440"/>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semiHidden/>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Zakon">
    <w:name w:val="Zakon"/>
    <w:basedOn w:val="Normal"/>
    <w:rsid w:val="007104F0"/>
    <w:pPr>
      <w:keepNext/>
      <w:tabs>
        <w:tab w:val="clear" w:pos="1440"/>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Normal11">
    <w:name w:val="Normal1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tabs>
        <w:tab w:val="clear" w:pos="1440"/>
      </w:tabs>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tabs>
        <w:tab w:val="clear" w:pos="1440"/>
      </w:tabs>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clear" w:pos="1440"/>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tabs>
        <w:tab w:val="clear" w:pos="1440"/>
      </w:tabs>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tabs>
        <w:tab w:val="clear" w:pos="1440"/>
      </w:tabs>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tabs>
        <w:tab w:val="clear" w:pos="1440"/>
      </w:tabs>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tabs>
        <w:tab w:val="clear" w:pos="1440"/>
      </w:tabs>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tabs>
        <w:tab w:val="clear" w:pos="1440"/>
      </w:tabs>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tabs>
        <w:tab w:val="clear" w:pos="1440"/>
      </w:tabs>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clear" w:pos="1440"/>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tabs>
        <w:tab w:val="clear" w:pos="1440"/>
      </w:tabs>
      <w:spacing w:after="160" w:line="240" w:lineRule="exact"/>
      <w:jc w:val="left"/>
    </w:pPr>
    <w:rPr>
      <w:rFonts w:ascii="Verdana" w:hAnsi="Verdana"/>
      <w:sz w:val="20"/>
      <w:szCs w:val="24"/>
      <w:lang w:val="en-US"/>
    </w:rPr>
  </w:style>
  <w:style w:type="paragraph" w:customStyle="1" w:styleId="Normal2">
    <w:name w:val="Normal2"/>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tabs>
        <w:tab w:val="clear" w:pos="1440"/>
      </w:tabs>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tabs>
        <w:tab w:val="clear" w:pos="1440"/>
      </w:tabs>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clear" w:pos="1440"/>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tabs>
        <w:tab w:val="clear" w:pos="1440"/>
      </w:tabs>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tabs>
        <w:tab w:val="clear" w:pos="1440"/>
      </w:tabs>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clear" w:pos="1440"/>
        <w:tab w:val="left" w:pos="1418"/>
      </w:tabs>
    </w:pPr>
    <w:rPr>
      <w:rFonts w:cs="CTimesRoman"/>
      <w:szCs w:val="24"/>
    </w:rPr>
  </w:style>
  <w:style w:type="paragraph" w:customStyle="1" w:styleId="CharCharCharCharChar1">
    <w:name w:val="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tabs>
        <w:tab w:val="clear" w:pos="1440"/>
      </w:tabs>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tabs>
        <w:tab w:val="clear" w:pos="1440"/>
      </w:tabs>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clear" w:pos="1440"/>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tabs>
        <w:tab w:val="clear" w:pos="1440"/>
      </w:tabs>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clear" w:pos="1440"/>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pPr>
      <w:spacing w:after="0" w:line="240" w:lineRule="auto"/>
    </w:pPr>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pPr>
      <w:spacing w:after="0" w:line="240" w:lineRule="auto"/>
    </w:pPr>
    <w:rPr>
      <w:rFonts w:ascii="Calibri" w:eastAsia="Calibri" w:hAnsi="Calibri" w:cs="Arial"/>
      <w:lang w:val="sr-Latn-RS"/>
    </w:rPr>
  </w:style>
  <w:style w:type="paragraph" w:customStyle="1" w:styleId="stil1tekst">
    <w:name w:val="stil_1tekst"/>
    <w:basedOn w:val="Normal"/>
    <w:rsid w:val="007104F0"/>
    <w:pPr>
      <w:tabs>
        <w:tab w:val="clear" w:pos="1440"/>
      </w:tabs>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pPr>
      <w:spacing w:after="0" w:line="240" w:lineRule="auto"/>
    </w:pPr>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pPr>
      <w:spacing w:after="0" w:line="240" w:lineRule="auto"/>
    </w:pPr>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tabs>
        <w:tab w:val="clear" w:pos="1440"/>
      </w:tabs>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pPr>
      <w:spacing w:after="0" w:line="240" w:lineRule="auto"/>
    </w:pPr>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pPr>
      <w:spacing w:after="0" w:line="240" w:lineRule="auto"/>
    </w:pPr>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Dropbox\Makro%20sektor\F%20%20I%20%20S%20%20K%20%20A%20%20L\Budzeti%20obrazlozenja%20i%20excel%20fajlovi\Budzet%202019\Budzet%202019%20prihodi%20draft%20(2)%20(Vladimir%20Malbasic's%20conflicted%20copy%202018-11-10).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V\Dropbox\Makro%20sektor\F%20%20I%20%20S%20%20K%20%20A%20%20L\Budzeti%20obrazlozenja%20i%20excel%20fajlovi\Budzet%202019\Budzet%202019%20prihodi%20draft%20(2)%20(Vladimir%20Malbasic's%20conflicted%20copy%202018-11-10).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vladimir.malbasic\Desktop\Za%20bazu-%20GFS,%20SS%20bs%20,%20MMF%20table\GFS%20CONSOLIDATION_za%20analizu%20radni%20fajl-2080mq1.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vladimir.malbasic\AppData\Local\Microsoft\Windows\Temporary%20Internet%20Files\Content.Outlook\RHNAN2ZL\za%20grafikone%20defdug%20baseline%20i%20sa%20merama.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Times New Roman" pitchFamily="18" charset="0"/>
                <a:ea typeface="Calibri"/>
                <a:cs typeface="Times New Roman" pitchFamily="18" charset="0"/>
              </a:defRPr>
            </a:pPr>
            <a:r>
              <a:rPr lang="sr-Cyrl-CS" sz="1000" b="1" i="0" baseline="0">
                <a:effectLst/>
              </a:rPr>
              <a:t>Приходи буџет</a:t>
            </a:r>
            <a:r>
              <a:rPr lang="en-US" sz="1000" b="1" i="0" baseline="0">
                <a:effectLst/>
              </a:rPr>
              <a:t>a 2019. </a:t>
            </a:r>
            <a:r>
              <a:rPr lang="sr-Cyrl-CS" sz="1000" b="1" i="0" baseline="0">
                <a:effectLst/>
              </a:rPr>
              <a:t>и</a:t>
            </a:r>
            <a:r>
              <a:rPr lang="en-US" sz="1000" b="1" i="0" baseline="0">
                <a:effectLst/>
              </a:rPr>
              <a:t> </a:t>
            </a:r>
            <a:r>
              <a:rPr lang="sr-Cyrl-CS" sz="1000" b="1" i="0" baseline="0">
                <a:effectLst/>
              </a:rPr>
              <a:t>процена 201</a:t>
            </a:r>
            <a:r>
              <a:rPr lang="en-US" sz="1000" b="1" i="0" baseline="0">
                <a:effectLst/>
              </a:rPr>
              <a:t>8</a:t>
            </a:r>
            <a:r>
              <a:rPr lang="sr-Cyrl-CS" sz="1000" b="1" i="0" baseline="0">
                <a:effectLst/>
              </a:rPr>
              <a:t>. године</a:t>
            </a:r>
            <a:endParaRPr lang="sr-Cyrl-CS" sz="1000">
              <a:effectLst/>
            </a:endParaRPr>
          </a:p>
        </c:rich>
      </c:tx>
      <c:layout>
        <c:manualLayout>
          <c:xMode val="edge"/>
          <c:yMode val="edge"/>
          <c:x val="0.28237468206769512"/>
          <c:y val="2.3057774712467512E-2"/>
        </c:manualLayout>
      </c:layout>
      <c:overlay val="0"/>
    </c:title>
    <c:autoTitleDeleted val="0"/>
    <c:plotArea>
      <c:layout>
        <c:manualLayout>
          <c:layoutTarget val="inner"/>
          <c:xMode val="edge"/>
          <c:yMode val="edge"/>
          <c:x val="8.1535377698040909E-2"/>
          <c:y val="9.0877764367045366E-2"/>
          <c:w val="0.84917911703344773"/>
          <c:h val="0.7228975097388376"/>
        </c:manualLayout>
      </c:layout>
      <c:barChart>
        <c:barDir val="col"/>
        <c:grouping val="clustered"/>
        <c:varyColors val="0"/>
        <c:ser>
          <c:idx val="0"/>
          <c:order val="0"/>
          <c:tx>
            <c:strRef>
              <c:f>табела!$B$4</c:f>
              <c:strCache>
                <c:ptCount val="1"/>
                <c:pt idx="0">
                  <c:v>Процена за 2018</c:v>
                </c:pt>
              </c:strCache>
            </c:strRef>
          </c:tx>
          <c:spPr>
            <a:solidFill>
              <a:schemeClr val="accent1">
                <a:lumMod val="20000"/>
                <a:lumOff val="80000"/>
              </a:schemeClr>
            </a:solidFill>
            <a:ln>
              <a:solidFill>
                <a:schemeClr val="tx1"/>
              </a:solidFill>
            </a:ln>
          </c:spPr>
          <c:invertIfNegative val="0"/>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табела!$B$7:$B$13</c:f>
              <c:numCache>
                <c:formatCode>#,##0.0</c:formatCode>
                <c:ptCount val="7"/>
                <c:pt idx="0">
                  <c:v>58.2</c:v>
                </c:pt>
                <c:pt idx="1">
                  <c:v>104.3</c:v>
                </c:pt>
                <c:pt idx="2">
                  <c:v>505</c:v>
                </c:pt>
                <c:pt idx="3">
                  <c:v>285</c:v>
                </c:pt>
                <c:pt idx="4">
                  <c:v>42.9</c:v>
                </c:pt>
                <c:pt idx="5">
                  <c:v>12</c:v>
                </c:pt>
                <c:pt idx="6">
                  <c:v>204.1</c:v>
                </c:pt>
              </c:numCache>
            </c:numRef>
          </c:val>
          <c:extLst>
            <c:ext xmlns:c16="http://schemas.microsoft.com/office/drawing/2014/chart" uri="{C3380CC4-5D6E-409C-BE32-E72D297353CC}">
              <c16:uniqueId val="{00000000-02E4-4E99-97D3-08E4755D0A9B}"/>
            </c:ext>
          </c:extLst>
        </c:ser>
        <c:ser>
          <c:idx val="1"/>
          <c:order val="1"/>
          <c:tx>
            <c:strRef>
              <c:f>табела!$C$4</c:f>
              <c:strCache>
                <c:ptCount val="1"/>
                <c:pt idx="0">
                  <c:v>Буџет 2019</c:v>
                </c:pt>
              </c:strCache>
            </c:strRef>
          </c:tx>
          <c:spPr>
            <a:solidFill>
              <a:schemeClr val="accent1">
                <a:lumMod val="75000"/>
              </a:schemeClr>
            </a:solidFill>
            <a:ln>
              <a:solidFill>
                <a:schemeClr val="tx2">
                  <a:lumMod val="60000"/>
                  <a:lumOff val="40000"/>
                </a:schemeClr>
              </a:solidFill>
            </a:ln>
          </c:spPr>
          <c:invertIfNegative val="0"/>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табела!$C$7:$C$13</c:f>
              <c:numCache>
                <c:formatCode>#,##0.0</c:formatCode>
                <c:ptCount val="7"/>
                <c:pt idx="0">
                  <c:v>61.5</c:v>
                </c:pt>
                <c:pt idx="1">
                  <c:v>108.5</c:v>
                </c:pt>
                <c:pt idx="2">
                  <c:v>539.1</c:v>
                </c:pt>
                <c:pt idx="3">
                  <c:v>291.39999999999998</c:v>
                </c:pt>
                <c:pt idx="4">
                  <c:v>47.1</c:v>
                </c:pt>
                <c:pt idx="5">
                  <c:v>12.3</c:v>
                </c:pt>
                <c:pt idx="6">
                  <c:v>172.37705700000001</c:v>
                </c:pt>
              </c:numCache>
            </c:numRef>
          </c:val>
          <c:extLst>
            <c:ext xmlns:c16="http://schemas.microsoft.com/office/drawing/2014/chart" uri="{C3380CC4-5D6E-409C-BE32-E72D297353CC}">
              <c16:uniqueId val="{00000001-02E4-4E99-97D3-08E4755D0A9B}"/>
            </c:ext>
          </c:extLst>
        </c:ser>
        <c:dLbls>
          <c:showLegendKey val="0"/>
          <c:showVal val="0"/>
          <c:showCatName val="0"/>
          <c:showSerName val="0"/>
          <c:showPercent val="0"/>
          <c:showBubbleSize val="0"/>
        </c:dLbls>
        <c:gapWidth val="150"/>
        <c:axId val="60639232"/>
        <c:axId val="110139008"/>
      </c:barChart>
      <c:lineChart>
        <c:grouping val="standard"/>
        <c:varyColors val="0"/>
        <c:ser>
          <c:idx val="2"/>
          <c:order val="2"/>
          <c:tx>
            <c:v>Индекс номиналног раста/пада (десна скала)</c:v>
          </c:tx>
          <c:marker>
            <c:spPr>
              <a:solidFill>
                <a:srgbClr val="000000"/>
              </a:solidFill>
            </c:spPr>
          </c:marker>
          <c:dLbls>
            <c:dLbl>
              <c:idx val="0"/>
              <c:layout>
                <c:manualLayout>
                  <c:x val="-3.1879981247069852E-2"/>
                  <c:y val="5.8394160583941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2E4-4E99-97D3-08E4755D0A9B}"/>
                </c:ext>
              </c:extLst>
            </c:dLbl>
            <c:dLbl>
              <c:idx val="1"/>
              <c:layout>
                <c:manualLayout>
                  <c:x val="-1.3127051101734646E-2"/>
                  <c:y val="3.56853203568531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2E4-4E99-97D3-08E4755D0A9B}"/>
                </c:ext>
              </c:extLst>
            </c:dLbl>
            <c:dLbl>
              <c:idx val="2"/>
              <c:layout>
                <c:manualLayout>
                  <c:x val="2.4378809188935771E-2"/>
                  <c:y val="3.24412003244120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2E4-4E99-97D3-08E4755D0A9B}"/>
                </c:ext>
              </c:extLst>
            </c:dLbl>
            <c:dLbl>
              <c:idx val="3"/>
              <c:layout>
                <c:manualLayout>
                  <c:x val="-3.7505860290670419E-3"/>
                  <c:y val="4.86618004866180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2E4-4E99-97D3-08E4755D0A9B}"/>
                </c:ext>
              </c:extLst>
            </c:dLbl>
            <c:dLbl>
              <c:idx val="4"/>
              <c:layout>
                <c:manualLayout>
                  <c:x val="-1.3751989909084886E-16"/>
                  <c:y val="3.89294403892944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2E4-4E99-97D3-08E4755D0A9B}"/>
                </c:ext>
              </c:extLst>
            </c:dLbl>
            <c:dLbl>
              <c:idx val="5"/>
              <c:layout>
                <c:manualLayout>
                  <c:x val="-2.2503516174402251E-2"/>
                  <c:y val="4.86618004866180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2E4-4E99-97D3-08E4755D0A9B}"/>
                </c:ext>
              </c:extLst>
            </c:dLbl>
            <c:spPr>
              <a:noFill/>
              <a:ln>
                <a:noFill/>
              </a:ln>
              <a:effectLst/>
            </c:spPr>
            <c:txPr>
              <a:bodyPr wrap="square" lIns="38100" tIns="19050" rIns="38100" bIns="19050" anchor="ctr" anchorCtr="0">
                <a:spAutoFit/>
              </a:bodyPr>
              <a:lstStyle/>
              <a:p>
                <a:pPr algn="ctr" rtl="0">
                  <a:defRPr lang="sr-Cyrl-CS" sz="800" b="0" i="0" u="none" strike="noStrike" kern="1200" baseline="0">
                    <a:solidFill>
                      <a:schemeClr val="tx1">
                        <a:lumMod val="85000"/>
                        <a:lumOff val="15000"/>
                      </a:schemeClr>
                    </a:solidFill>
                    <a:latin typeface="Times New Roman" pitchFamily="18" charset="0"/>
                    <a:ea typeface="Calibri"/>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табела!$D$7:$D$13</c:f>
              <c:numCache>
                <c:formatCode>0.0</c:formatCode>
                <c:ptCount val="7"/>
                <c:pt idx="0">
                  <c:v>105.67010309278351</c:v>
                </c:pt>
                <c:pt idx="1">
                  <c:v>104.02684563758389</c:v>
                </c:pt>
                <c:pt idx="2">
                  <c:v>106.75247524752476</c:v>
                </c:pt>
                <c:pt idx="3">
                  <c:v>102.24561403508771</c:v>
                </c:pt>
                <c:pt idx="4">
                  <c:v>109.79020979020979</c:v>
                </c:pt>
                <c:pt idx="5">
                  <c:v>102.50000000000001</c:v>
                </c:pt>
                <c:pt idx="6">
                  <c:v>84.457156785889282</c:v>
                </c:pt>
              </c:numCache>
            </c:numRef>
          </c:val>
          <c:smooth val="0"/>
          <c:extLst>
            <c:ext xmlns:c16="http://schemas.microsoft.com/office/drawing/2014/chart" uri="{C3380CC4-5D6E-409C-BE32-E72D297353CC}">
              <c16:uniqueId val="{00000008-02E4-4E99-97D3-08E4755D0A9B}"/>
            </c:ext>
          </c:extLst>
        </c:ser>
        <c:dLbls>
          <c:showLegendKey val="0"/>
          <c:showVal val="0"/>
          <c:showCatName val="0"/>
          <c:showSerName val="0"/>
          <c:showPercent val="0"/>
          <c:showBubbleSize val="0"/>
        </c:dLbls>
        <c:marker val="1"/>
        <c:smooth val="0"/>
        <c:axId val="60640256"/>
        <c:axId val="110136704"/>
      </c:lineChart>
      <c:catAx>
        <c:axId val="60639232"/>
        <c:scaling>
          <c:orientation val="minMax"/>
        </c:scaling>
        <c:delete val="0"/>
        <c:axPos val="b"/>
        <c:numFmt formatCode="General" sourceLinked="1"/>
        <c:majorTickMark val="out"/>
        <c:minorTickMark val="none"/>
        <c:tickLblPos val="nextTo"/>
        <c:txPr>
          <a:bodyPr rot="0" vert="horz"/>
          <a:lstStyle/>
          <a:p>
            <a:pPr>
              <a:defRPr sz="800" b="0" i="0" u="none" strike="noStrike" baseline="0">
                <a:solidFill>
                  <a:schemeClr val="tx1">
                    <a:lumMod val="85000"/>
                    <a:lumOff val="15000"/>
                  </a:schemeClr>
                </a:solidFill>
                <a:latin typeface="Times New Roman" pitchFamily="18" charset="0"/>
                <a:ea typeface="Calibri"/>
                <a:cs typeface="Times New Roman" pitchFamily="18" charset="0"/>
              </a:defRPr>
            </a:pPr>
            <a:endParaRPr lang="en-US"/>
          </a:p>
        </c:txPr>
        <c:crossAx val="110139008"/>
        <c:crosses val="autoZero"/>
        <c:auto val="1"/>
        <c:lblAlgn val="ctr"/>
        <c:lblOffset val="100"/>
        <c:noMultiLvlLbl val="0"/>
      </c:catAx>
      <c:valAx>
        <c:axId val="110139008"/>
        <c:scaling>
          <c:orientation val="minMax"/>
        </c:scaling>
        <c:delete val="0"/>
        <c:axPos val="l"/>
        <c:majorGridlines/>
        <c:title>
          <c:tx>
            <c:rich>
              <a:bodyPr/>
              <a:lstStyle/>
              <a:p>
                <a:pPr>
                  <a:defRPr sz="800" b="0" i="0" u="none" strike="noStrike" baseline="0">
                    <a:solidFill>
                      <a:schemeClr val="tx1">
                        <a:lumMod val="85000"/>
                        <a:lumOff val="15000"/>
                      </a:schemeClr>
                    </a:solidFill>
                    <a:latin typeface="Times New Roman" pitchFamily="18" charset="0"/>
                    <a:ea typeface="Calibri"/>
                    <a:cs typeface="Times New Roman" pitchFamily="18" charset="0"/>
                  </a:defRPr>
                </a:pPr>
                <a:r>
                  <a:rPr lang="sr-Cyrl-CS" sz="800" b="0">
                    <a:solidFill>
                      <a:schemeClr val="tx1">
                        <a:lumMod val="85000"/>
                        <a:lumOff val="15000"/>
                      </a:schemeClr>
                    </a:solidFill>
                    <a:latin typeface="Times New Roman" pitchFamily="18" charset="0"/>
                    <a:cs typeface="Times New Roman" pitchFamily="18" charset="0"/>
                  </a:rPr>
                  <a:t>у млрд дин.</a:t>
                </a:r>
              </a:p>
            </c:rich>
          </c:tx>
          <c:layout>
            <c:manualLayout>
              <c:xMode val="edge"/>
              <c:yMode val="edge"/>
              <c:x val="1.0333299683693384E-2"/>
              <c:y val="0.37787010129555282"/>
            </c:manualLayout>
          </c:layout>
          <c:overlay val="0"/>
        </c:title>
        <c:numFmt formatCode="0" sourceLinked="0"/>
        <c:majorTickMark val="out"/>
        <c:minorTickMark val="none"/>
        <c:tickLblPos val="nextTo"/>
        <c:txPr>
          <a:bodyPr rot="0" vert="horz"/>
          <a:lstStyle/>
          <a:p>
            <a:pPr>
              <a:defRPr sz="800" b="0" i="0" u="none" strike="noStrike" baseline="0">
                <a:solidFill>
                  <a:schemeClr val="tx1">
                    <a:lumMod val="85000"/>
                    <a:lumOff val="15000"/>
                  </a:schemeClr>
                </a:solidFill>
                <a:latin typeface="Times New Roman" pitchFamily="18" charset="0"/>
                <a:ea typeface="Calibri"/>
                <a:cs typeface="Times New Roman" pitchFamily="18" charset="0"/>
              </a:defRPr>
            </a:pPr>
            <a:endParaRPr lang="en-US"/>
          </a:p>
        </c:txPr>
        <c:crossAx val="60639232"/>
        <c:crosses val="autoZero"/>
        <c:crossBetween val="between"/>
      </c:valAx>
      <c:catAx>
        <c:axId val="60640256"/>
        <c:scaling>
          <c:orientation val="minMax"/>
        </c:scaling>
        <c:delete val="1"/>
        <c:axPos val="b"/>
        <c:majorTickMark val="out"/>
        <c:minorTickMark val="none"/>
        <c:tickLblPos val="none"/>
        <c:crossAx val="110136704"/>
        <c:crosses val="autoZero"/>
        <c:auto val="1"/>
        <c:lblAlgn val="ctr"/>
        <c:lblOffset val="100"/>
        <c:noMultiLvlLbl val="0"/>
      </c:catAx>
      <c:valAx>
        <c:axId val="110136704"/>
        <c:scaling>
          <c:orientation val="minMax"/>
        </c:scaling>
        <c:delete val="0"/>
        <c:axPos val="r"/>
        <c:numFmt formatCode="0" sourceLinked="0"/>
        <c:majorTickMark val="out"/>
        <c:minorTickMark val="none"/>
        <c:tickLblPos val="nextTo"/>
        <c:txPr>
          <a:bodyPr rot="0" vert="horz"/>
          <a:lstStyle/>
          <a:p>
            <a:pPr>
              <a:defRPr sz="800" b="0" i="0" u="none" strike="noStrike" baseline="0">
                <a:solidFill>
                  <a:schemeClr val="tx1">
                    <a:lumMod val="85000"/>
                    <a:lumOff val="15000"/>
                  </a:schemeClr>
                </a:solidFill>
                <a:latin typeface="Times New Roman" pitchFamily="18" charset="0"/>
                <a:ea typeface="Calibri"/>
                <a:cs typeface="Times New Roman" pitchFamily="18" charset="0"/>
              </a:defRPr>
            </a:pPr>
            <a:endParaRPr lang="en-US"/>
          </a:p>
        </c:txPr>
        <c:crossAx val="60640256"/>
        <c:crosses val="max"/>
        <c:crossBetween val="between"/>
      </c:valAx>
    </c:plotArea>
    <c:legend>
      <c:legendPos val="r"/>
      <c:layout>
        <c:manualLayout>
          <c:xMode val="edge"/>
          <c:yMode val="edge"/>
          <c:x val="4.3915640352648229E-2"/>
          <c:y val="0.93011436313022322"/>
          <c:w val="0.9179727034120736"/>
          <c:h val="6.2898634021112509E-2"/>
        </c:manualLayout>
      </c:layout>
      <c:overlay val="0"/>
      <c:txPr>
        <a:bodyPr/>
        <a:lstStyle/>
        <a:p>
          <a:pPr>
            <a:defRPr sz="800" b="0" i="0" u="none" strike="noStrike" baseline="0">
              <a:solidFill>
                <a:schemeClr val="tx1">
                  <a:lumMod val="85000"/>
                  <a:lumOff val="15000"/>
                </a:schemeClr>
              </a:solidFill>
              <a:latin typeface="Times New Roman" pitchFamily="18" charset="0"/>
              <a:ea typeface="Calibri"/>
              <a:cs typeface="Times New Roman" pitchFamily="18" charset="0"/>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табела!$F$4</c:f>
              <c:strCache>
                <c:ptCount val="1"/>
                <c:pt idx="0">
                  <c:v>Структура  прихода буџет 2019,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20A6-42C2-BBD1-B346835AA091}"/>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20A6-42C2-BBD1-B346835AA091}"/>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20A6-42C2-BBD1-B346835AA091}"/>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20A6-42C2-BBD1-B346835AA091}"/>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20A6-42C2-BBD1-B346835AA091}"/>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20A6-42C2-BBD1-B346835AA091}"/>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20A6-42C2-BBD1-B346835AA091}"/>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20A6-42C2-BBD1-B346835AA091}"/>
              </c:ext>
            </c:extLst>
          </c:dPt>
          <c:dLbls>
            <c:dLbl>
              <c:idx val="0"/>
              <c:layout>
                <c:manualLayout>
                  <c:x val="1.3494871529216764E-2"/>
                  <c:y val="6.2872256947263158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20A6-42C2-BBD1-B346835AA091}"/>
                </c:ext>
              </c:extLst>
            </c:dLbl>
            <c:dLbl>
              <c:idx val="2"/>
              <c:layout>
                <c:manualLayout>
                  <c:x val="0.11416691163400661"/>
                  <c:y val="-0.21236323627733061"/>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5-20A6-42C2-BBD1-B346835AA091}"/>
                </c:ext>
              </c:extLst>
            </c:dLbl>
            <c:dLbl>
              <c:idx val="3"/>
              <c:layout>
                <c:manualLayout>
                  <c:x val="6.5590903396856221E-2"/>
                  <c:y val="0.14401071914399355"/>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7-20A6-42C2-BBD1-B346835AA091}"/>
                </c:ext>
              </c:extLst>
            </c:dLbl>
            <c:dLbl>
              <c:idx val="4"/>
              <c:layout>
                <c:manualLayout>
                  <c:x val="-2.3449049066887133E-3"/>
                  <c:y val="8.6505831165463766E-3"/>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9-20A6-42C2-BBD1-B346835AA091}"/>
                </c:ext>
              </c:extLst>
            </c:dLbl>
            <c:dLbl>
              <c:idx val="5"/>
              <c:layout>
                <c:manualLayout>
                  <c:x val="0.13148158460390472"/>
                  <c:y val="8.2564331520415632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B-20A6-42C2-BBD1-B346835AA091}"/>
                </c:ext>
              </c:extLst>
            </c:dLbl>
            <c:dLbl>
              <c:idx val="7"/>
              <c:layout>
                <c:manualLayout>
                  <c:x val="3.0016231523691164E-2"/>
                  <c:y val="4.7589090023540934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F-20A6-42C2-BBD1-B346835AA091}"/>
                </c:ext>
              </c:extLst>
            </c:dLbl>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en-US"/>
              </a:p>
            </c:txPr>
            <c:dLblPos val="bestFit"/>
            <c:showLegendKey val="0"/>
            <c:showVal val="1"/>
            <c:showCatName val="1"/>
            <c:showSerName val="0"/>
            <c:showPercent val="0"/>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табела!$F$7:$F$14</c:f>
              <c:numCache>
                <c:formatCode>0.0</c:formatCode>
                <c:ptCount val="8"/>
                <c:pt idx="0">
                  <c:v>4.9356013648416051</c:v>
                </c:pt>
                <c:pt idx="1">
                  <c:v>8.7075243591107991</c:v>
                </c:pt>
                <c:pt idx="2">
                  <c:v>43.264759281074952</c:v>
                </c:pt>
                <c:pt idx="3">
                  <c:v>23.385922564469002</c:v>
                </c:pt>
                <c:pt idx="4">
                  <c:v>3.7799483623421075</c:v>
                </c:pt>
                <c:pt idx="5">
                  <c:v>0.98712027296832106</c:v>
                </c:pt>
                <c:pt idx="6">
                  <c:v>13.833893297505353</c:v>
                </c:pt>
                <c:pt idx="7">
                  <c:v>1.1052304976878722</c:v>
                </c:pt>
              </c:numCache>
            </c:numRef>
          </c:val>
          <c:extLst>
            <c:ext xmlns:c16="http://schemas.microsoft.com/office/drawing/2014/chart" uri="{C3380CC4-5D6E-409C-BE32-E72D297353CC}">
              <c16:uniqueId val="{00000010-20A6-42C2-BBD1-B346835AA091}"/>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85000"/>
                    <a:lumOff val="15000"/>
                  </a:schemeClr>
                </a:solidFill>
                <a:latin typeface="Georgia" panose="02040502050405020303" pitchFamily="18" charset="0"/>
                <a:ea typeface="+mn-ea"/>
                <a:cs typeface="+mn-cs"/>
              </a:defRPr>
            </a:pPr>
            <a:r>
              <a:rPr lang="sr-Cyrl-RS" sz="800">
                <a:solidFill>
                  <a:schemeClr val="tx1">
                    <a:lumMod val="85000"/>
                    <a:lumOff val="15000"/>
                  </a:schemeClr>
                </a:solidFill>
                <a:latin typeface="Times New Roman" panose="02020603050405020304" pitchFamily="18" charset="0"/>
                <a:cs typeface="Times New Roman" panose="02020603050405020304" pitchFamily="18" charset="0"/>
              </a:rPr>
              <a:t>Фискални резултат опште државе у периоду 2015 -2019. године</a:t>
            </a:r>
            <a:endParaRPr lang="en-US" sz="800">
              <a:solidFill>
                <a:schemeClr val="tx1">
                  <a:lumMod val="85000"/>
                  <a:lumOff val="15000"/>
                </a:schemeClr>
              </a:solidFill>
              <a:latin typeface="Times New Roman" panose="02020603050405020304" pitchFamily="18" charset="0"/>
              <a:cs typeface="Times New Roman" panose="02020603050405020304" pitchFamily="18" charset="0"/>
            </a:endParaRPr>
          </a:p>
        </c:rich>
      </c:tx>
      <c:layout>
        <c:manualLayout>
          <c:xMode val="edge"/>
          <c:yMode val="edge"/>
          <c:x val="0.11937255657728099"/>
          <c:y val="2.0990029735875458E-2"/>
        </c:manualLayout>
      </c:layout>
      <c:overlay val="1"/>
      <c:spPr>
        <a:noFill/>
        <a:ln>
          <a:noFill/>
        </a:ln>
        <a:effectLst/>
      </c:spPr>
      <c:txPr>
        <a:bodyPr rot="0" spcFirstLastPara="1" vertOverflow="ellipsis" vert="horz" wrap="square" anchor="ctr" anchorCtr="1"/>
        <a:lstStyle/>
        <a:p>
          <a:pPr algn="ctr">
            <a:defRPr sz="1400" b="0" i="0" u="none" strike="noStrike" kern="1200" spc="0" baseline="0">
              <a:solidFill>
                <a:schemeClr val="tx1">
                  <a:lumMod val="85000"/>
                  <a:lumOff val="15000"/>
                </a:schemeClr>
              </a:solidFill>
              <a:latin typeface="Georgia" panose="02040502050405020303" pitchFamily="18" charset="0"/>
              <a:ea typeface="+mn-ea"/>
              <a:cs typeface="+mn-cs"/>
            </a:defRPr>
          </a:pPr>
          <a:endParaRPr lang="en-US"/>
        </a:p>
      </c:txPr>
    </c:title>
    <c:autoTitleDeleted val="0"/>
    <c:plotArea>
      <c:layout>
        <c:manualLayout>
          <c:layoutTarget val="inner"/>
          <c:xMode val="edge"/>
          <c:yMode val="edge"/>
          <c:x val="0.15146740093071187"/>
          <c:y val="0.16565871368580243"/>
          <c:w val="0.82154098835805034"/>
          <c:h val="0.79149710973901566"/>
        </c:manualLayout>
      </c:layout>
      <c:barChart>
        <c:barDir val="col"/>
        <c:grouping val="clustered"/>
        <c:varyColors val="0"/>
        <c:ser>
          <c:idx val="0"/>
          <c:order val="0"/>
          <c:tx>
            <c:v>Фискални резултат</c:v>
          </c:tx>
          <c:spPr>
            <a:solidFill>
              <a:schemeClr val="tx2">
                <a:lumMod val="60000"/>
                <a:lumOff val="40000"/>
              </a:schemeClr>
            </a:solidFill>
            <a:ln w="12700">
              <a:noFill/>
            </a:ln>
            <a:effectLst/>
          </c:spPr>
          <c:invertIfNegative val="0"/>
          <c:dLbls>
            <c:numFmt formatCode="#,##0.0" sourceLinked="0"/>
            <c:spPr>
              <a:noFill/>
              <a:ln>
                <a:noFill/>
              </a:ln>
              <a:effectLst/>
            </c:spPr>
            <c:txPr>
              <a:bodyPr rot="0" spcFirstLastPara="1" vertOverflow="ellipsis" vert="horz" wrap="square" anchor="ctr" anchorCtr="1"/>
              <a:lstStyle/>
              <a:p>
                <a:pPr>
                  <a:defRPr sz="8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Yearly'!$BS$7:$BW$8</c:f>
              <c:strCache>
                <c:ptCount val="5"/>
                <c:pt idx="0">
                  <c:v>2015</c:v>
                </c:pt>
                <c:pt idx="1">
                  <c:v>2016</c:v>
                </c:pt>
                <c:pt idx="2">
                  <c:v>2017</c:v>
                </c:pt>
                <c:pt idx="3">
                  <c:v>2018</c:v>
                </c:pt>
                <c:pt idx="4">
                  <c:v>2019</c:v>
                </c:pt>
              </c:strCache>
            </c:strRef>
          </c:cat>
          <c:val>
            <c:numRef>
              <c:f>'Quaterly, Yearly'!$BS$78:$BW$78</c:f>
              <c:numCache>
                <c:formatCode>#,##0.0</c:formatCode>
                <c:ptCount val="5"/>
                <c:pt idx="0">
                  <c:v>-3.4585576400573799</c:v>
                </c:pt>
                <c:pt idx="1">
                  <c:v>-1.1945215435404091</c:v>
                </c:pt>
                <c:pt idx="2">
                  <c:v>1.1000948797419494</c:v>
                </c:pt>
                <c:pt idx="3">
                  <c:v>0.6</c:v>
                </c:pt>
                <c:pt idx="4" formatCode="General">
                  <c:v>-0.5</c:v>
                </c:pt>
              </c:numCache>
            </c:numRef>
          </c:val>
          <c:extLst>
            <c:ext xmlns:c16="http://schemas.microsoft.com/office/drawing/2014/chart" uri="{C3380CC4-5D6E-409C-BE32-E72D297353CC}">
              <c16:uniqueId val="{00000000-554D-4DEB-975A-1000DBC24D7A}"/>
            </c:ext>
          </c:extLst>
        </c:ser>
        <c:dLbls>
          <c:showLegendKey val="0"/>
          <c:showVal val="0"/>
          <c:showCatName val="0"/>
          <c:showSerName val="0"/>
          <c:showPercent val="0"/>
          <c:showBubbleSize val="0"/>
        </c:dLbls>
        <c:gapWidth val="5"/>
        <c:axId val="543531520"/>
        <c:axId val="110130816"/>
      </c:barChart>
      <c:lineChart>
        <c:grouping val="standard"/>
        <c:varyColors val="0"/>
        <c:ser>
          <c:idx val="1"/>
          <c:order val="1"/>
          <c:tx>
            <c:v>Примарни фискални резултат</c:v>
          </c:tx>
          <c:spPr>
            <a:ln w="44450" cap="rnd">
              <a:solidFill>
                <a:srgbClr val="FF0000"/>
              </a:solidFill>
              <a:round/>
            </a:ln>
            <a:effectLst/>
          </c:spPr>
          <c:marker>
            <c:symbol val="none"/>
          </c:marker>
          <c:dLbls>
            <c:dLbl>
              <c:idx val="0"/>
              <c:layout>
                <c:manualLayout>
                  <c:x val="-8.6901446892304418E-2"/>
                  <c:y val="-7.48782963698554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4D-4DEB-975A-1000DBC24D7A}"/>
                </c:ext>
              </c:extLst>
            </c:dLbl>
            <c:dLbl>
              <c:idx val="1"/>
              <c:layout>
                <c:manualLayout>
                  <c:x val="-6.6919117922029855E-2"/>
                  <c:y val="-6.20575968222442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4D-4DEB-975A-1000DBC24D7A}"/>
                </c:ext>
              </c:extLst>
            </c:dLbl>
            <c:dLbl>
              <c:idx val="2"/>
              <c:layout>
                <c:manualLayout>
                  <c:x val="2.8916727385996221E-3"/>
                  <c:y val="-5.15718878225726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4D-4DEB-975A-1000DBC24D7A}"/>
                </c:ext>
              </c:extLst>
            </c:dLbl>
            <c:dLbl>
              <c:idx val="3"/>
              <c:layout>
                <c:manualLayout>
                  <c:x val="-1.5896797311090772E-2"/>
                  <c:y val="-3.53014734768631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4D-4DEB-975A-1000DBC24D7A}"/>
                </c:ext>
              </c:extLst>
            </c:dLbl>
            <c:dLbl>
              <c:idx val="4"/>
              <c:layout>
                <c:manualLayout>
                  <c:x val="-2.7813789327475146E-2"/>
                  <c:y val="-3.48556599739310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54D-4DEB-975A-1000DBC24D7A}"/>
                </c:ext>
              </c:extLst>
            </c:dLbl>
            <c:dLbl>
              <c:idx val="5"/>
              <c:layout>
                <c:manualLayout>
                  <c:x val="-2.7382992330031036E-2"/>
                  <c:y val="-2.74481603474184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54D-4DEB-975A-1000DBC24D7A}"/>
                </c:ext>
              </c:extLst>
            </c:dLbl>
            <c:dLbl>
              <c:idx val="6"/>
              <c:layout>
                <c:manualLayout>
                  <c:x val="-3.1394066455989758E-2"/>
                  <c:y val="-6.07632342979189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54D-4DEB-975A-1000DBC24D7A}"/>
                </c:ext>
              </c:extLst>
            </c:dLbl>
            <c:dLbl>
              <c:idx val="7"/>
              <c:layout>
                <c:manualLayout>
                  <c:x val="-2.9208525152033104E-2"/>
                  <c:y val="-1.97163788244910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54D-4DEB-975A-1000DBC24D7A}"/>
                </c:ext>
              </c:extLst>
            </c:dLbl>
            <c:dLbl>
              <c:idx val="8"/>
              <c:layout>
                <c:manualLayout>
                  <c:x val="-4.0694720170973364E-2"/>
                  <c:y val="-3.99560352002959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54D-4DEB-975A-1000DBC24D7A}"/>
                </c:ext>
              </c:extLst>
            </c:dLbl>
            <c:dLbl>
              <c:idx val="9"/>
              <c:layout>
                <c:manualLayout>
                  <c:x val="-4.7561598436538947E-2"/>
                  <c:y val="1.37998645169602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54D-4DEB-975A-1000DBC24D7A}"/>
                </c:ext>
              </c:extLst>
            </c:dLbl>
            <c:dLbl>
              <c:idx val="10"/>
              <c:layout>
                <c:manualLayout>
                  <c:x val="-3.1357910371513177E-2"/>
                  <c:y val="-1.50580624660600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54D-4DEB-975A-1000DBC24D7A}"/>
                </c:ext>
              </c:extLst>
            </c:dLbl>
            <c:dLbl>
              <c:idx val="11"/>
              <c:layout>
                <c:manualLayout>
                  <c:x val="-4.746385337205393E-2"/>
                  <c:y val="-2.509677077676679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54D-4DEB-975A-1000DBC24D7A}"/>
                </c:ext>
              </c:extLst>
            </c:dLbl>
            <c:numFmt formatCode="#,##0.0" sourceLinked="0"/>
            <c:spPr>
              <a:noFill/>
              <a:ln>
                <a:noFill/>
              </a:ln>
              <a:effectLst/>
            </c:spPr>
            <c:txPr>
              <a:bodyPr rot="0" spcFirstLastPara="1" vertOverflow="ellipsis" vert="horz" wrap="square" anchor="ctr" anchorCtr="1"/>
              <a:lstStyle/>
              <a:p>
                <a:pPr>
                  <a:defRPr sz="8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Yearly'!$BS$7:$BW$8</c:f>
              <c:strCache>
                <c:ptCount val="5"/>
                <c:pt idx="0">
                  <c:v>2015</c:v>
                </c:pt>
                <c:pt idx="1">
                  <c:v>2016</c:v>
                </c:pt>
                <c:pt idx="2">
                  <c:v>2017</c:v>
                </c:pt>
                <c:pt idx="3">
                  <c:v>2018</c:v>
                </c:pt>
                <c:pt idx="4">
                  <c:v>2019</c:v>
                </c:pt>
              </c:strCache>
            </c:strRef>
          </c:cat>
          <c:val>
            <c:numRef>
              <c:f>'Quaterly, Yearly'!$BS$79:$BW$79</c:f>
              <c:numCache>
                <c:formatCode>#,##0.0</c:formatCode>
                <c:ptCount val="5"/>
                <c:pt idx="0">
                  <c:v>-0.47093864924946055</c:v>
                </c:pt>
                <c:pt idx="1">
                  <c:v>1.7071767099500867</c:v>
                </c:pt>
                <c:pt idx="2">
                  <c:v>3.6396012140242178</c:v>
                </c:pt>
                <c:pt idx="3">
                  <c:v>2.7</c:v>
                </c:pt>
                <c:pt idx="4" formatCode="General">
                  <c:v>1.4</c:v>
                </c:pt>
              </c:numCache>
            </c:numRef>
          </c:val>
          <c:smooth val="0"/>
          <c:extLst>
            <c:ext xmlns:c16="http://schemas.microsoft.com/office/drawing/2014/chart" uri="{C3380CC4-5D6E-409C-BE32-E72D297353CC}">
              <c16:uniqueId val="{0000000D-554D-4DEB-975A-1000DBC24D7A}"/>
            </c:ext>
          </c:extLst>
        </c:ser>
        <c:dLbls>
          <c:showLegendKey val="0"/>
          <c:showVal val="0"/>
          <c:showCatName val="0"/>
          <c:showSerName val="0"/>
          <c:showPercent val="0"/>
          <c:showBubbleSize val="0"/>
        </c:dLbls>
        <c:marker val="1"/>
        <c:smooth val="0"/>
        <c:axId val="543531520"/>
        <c:axId val="110130816"/>
      </c:lineChart>
      <c:catAx>
        <c:axId val="543531520"/>
        <c:scaling>
          <c:orientation val="minMax"/>
        </c:scaling>
        <c:delete val="0"/>
        <c:axPos val="b"/>
        <c:numFmt formatCode="General" sourceLinked="1"/>
        <c:majorTickMark val="out"/>
        <c:minorTickMark val="none"/>
        <c:tickLblPos val="high"/>
        <c:spPr>
          <a:noFill/>
          <a:ln w="12700" cap="flat" cmpd="sng" algn="ctr">
            <a:solidFill>
              <a:schemeClr val="tx1">
                <a:lumMod val="50000"/>
                <a:lumOff val="50000"/>
              </a:schemeClr>
            </a:solidFill>
            <a:prstDash val="sysDash"/>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130816"/>
        <c:crosses val="autoZero"/>
        <c:auto val="1"/>
        <c:lblAlgn val="ctr"/>
        <c:lblOffset val="100"/>
        <c:noMultiLvlLbl val="0"/>
      </c:catAx>
      <c:valAx>
        <c:axId val="110130816"/>
        <c:scaling>
          <c:orientation val="minMax"/>
          <c:max val="5"/>
          <c:min val="-4"/>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a:latin typeface="Times New Roman" panose="02020603050405020304" pitchFamily="18" charset="0"/>
                    <a:cs typeface="Times New Roman" panose="02020603050405020304" pitchFamily="18" charset="0"/>
                  </a:rPr>
                  <a:t>% </a:t>
                </a:r>
                <a:r>
                  <a:rPr lang="sr-Cyrl-RS" sz="800">
                    <a:latin typeface="Times New Roman" panose="02020603050405020304" pitchFamily="18" charset="0"/>
                    <a:cs typeface="Times New Roman" panose="02020603050405020304" pitchFamily="18" charset="0"/>
                  </a:rPr>
                  <a:t>БДП</a:t>
                </a:r>
                <a:endParaRPr lang="en-US" sz="800">
                  <a:latin typeface="Times New Roman" panose="02020603050405020304" pitchFamily="18" charset="0"/>
                  <a:cs typeface="Times New Roman" panose="02020603050405020304" pitchFamily="18" charset="0"/>
                </a:endParaRPr>
              </a:p>
            </c:rich>
          </c:tx>
          <c:layout>
            <c:manualLayout>
              <c:xMode val="edge"/>
              <c:yMode val="edge"/>
              <c:x val="1.4466593066470506E-2"/>
              <c:y val="0.48371051118893538"/>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43531520"/>
        <c:crosses val="autoZero"/>
        <c:crossBetween val="between"/>
      </c:valAx>
      <c:spPr>
        <a:noFill/>
        <a:ln>
          <a:noFill/>
        </a:ln>
        <a:effectLst/>
      </c:spPr>
    </c:plotArea>
    <c:legend>
      <c:legendPos val="b"/>
      <c:layout>
        <c:manualLayout>
          <c:xMode val="edge"/>
          <c:yMode val="edge"/>
          <c:x val="0.35056342454062855"/>
          <c:y val="0.76112501379234254"/>
          <c:w val="0.51810891150797223"/>
          <c:h val="8.7227897457369169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a:latin typeface="Georgia" panose="02040502050405020303"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lrMapOvr bg1="lt1" tx1="dk1" bg2="lt2" tx2="dk2" accent1="accent1" accent2="accent2" accent3="accent3" accent4="accent4" accent5="accent5" accent6="accent6" hlink="hlink" folHlink="folHlink"/>
  <c:chart>
    <c:title>
      <c:tx>
        <c:rich>
          <a:bodyPr/>
          <a:lstStyle/>
          <a:p>
            <a:pPr>
              <a:defRPr/>
            </a:pPr>
            <a:r>
              <a:rPr lang="sr-Cyrl-RS" sz="800" b="0">
                <a:latin typeface="Times New Roman" panose="02020603050405020304" pitchFamily="18" charset="0"/>
                <a:cs typeface="Times New Roman" panose="02020603050405020304" pitchFamily="18" charset="0"/>
              </a:rPr>
              <a:t>Јавни дуг</a:t>
            </a:r>
            <a:r>
              <a:rPr lang="sr-Cyrl-RS" sz="800" b="0" baseline="0">
                <a:latin typeface="Times New Roman" panose="02020603050405020304" pitchFamily="18" charset="0"/>
                <a:cs typeface="Times New Roman" panose="02020603050405020304" pitchFamily="18" charset="0"/>
              </a:rPr>
              <a:t> и фискални резултат опште државе, </a:t>
            </a:r>
            <a:r>
              <a:rPr lang="en-US" sz="800" b="0" baseline="0">
                <a:latin typeface="Times New Roman" panose="02020603050405020304" pitchFamily="18" charset="0"/>
                <a:cs typeface="Times New Roman" panose="02020603050405020304" pitchFamily="18" charset="0"/>
              </a:rPr>
              <a:t>2015 - 2021. </a:t>
            </a:r>
            <a:r>
              <a:rPr lang="sr-Cyrl-RS" sz="800" b="0" baseline="0">
                <a:latin typeface="Times New Roman" panose="02020603050405020304" pitchFamily="18" charset="0"/>
                <a:cs typeface="Times New Roman" panose="02020603050405020304" pitchFamily="18" charset="0"/>
              </a:rPr>
              <a:t>године,</a:t>
            </a:r>
            <a:r>
              <a:rPr lang="en-US" sz="800" b="0" baseline="0">
                <a:latin typeface="Times New Roman" panose="02020603050405020304" pitchFamily="18" charset="0"/>
                <a:cs typeface="Times New Roman" panose="02020603050405020304" pitchFamily="18" charset="0"/>
              </a:rPr>
              <a:t> </a:t>
            </a:r>
            <a:r>
              <a:rPr lang="sr-Cyrl-RS" sz="800" b="0" baseline="0">
                <a:latin typeface="Times New Roman" panose="02020603050405020304" pitchFamily="18" charset="0"/>
                <a:cs typeface="Times New Roman" panose="02020603050405020304" pitchFamily="18" charset="0"/>
              </a:rPr>
              <a:t>% БДП</a:t>
            </a:r>
            <a:endParaRPr lang="en-US" sz="800" b="0">
              <a:latin typeface="Times New Roman" panose="02020603050405020304" pitchFamily="18" charset="0"/>
              <a:cs typeface="Times New Roman" panose="02020603050405020304" pitchFamily="18" charset="0"/>
            </a:endParaRPr>
          </a:p>
        </c:rich>
      </c:tx>
      <c:overlay val="1"/>
    </c:title>
    <c:autoTitleDeleted val="0"/>
    <c:plotArea>
      <c:layout>
        <c:manualLayout>
          <c:layoutTarget val="inner"/>
          <c:xMode val="edge"/>
          <c:yMode val="edge"/>
          <c:x val="5.6019089185110657E-2"/>
          <c:y val="0.10598834128245893"/>
          <c:w val="0.88387259363103476"/>
          <c:h val="0.76041778303799001"/>
        </c:manualLayout>
      </c:layout>
      <c:barChart>
        <c:barDir val="col"/>
        <c:grouping val="clustered"/>
        <c:varyColors val="0"/>
        <c:ser>
          <c:idx val="0"/>
          <c:order val="0"/>
          <c:tx>
            <c:strRef>
              <c:f>'мемо 2011-2016'!$E$50</c:f>
              <c:strCache>
                <c:ptCount val="1"/>
                <c:pt idx="0">
                  <c:v>дуг опште државе</c:v>
                </c:pt>
              </c:strCache>
            </c:strRef>
          </c:tx>
          <c:spPr>
            <a:solidFill>
              <a:srgbClr val="1F497D">
                <a:lumMod val="60000"/>
                <a:lumOff val="40000"/>
              </a:srgbClr>
            </a:solidFill>
            <a:ln>
              <a:solidFill>
                <a:srgbClr val="1F497D">
                  <a:lumMod val="60000"/>
                  <a:lumOff val="40000"/>
                </a:srgbClr>
              </a:solidFill>
            </a:ln>
          </c:spPr>
          <c:invertIfNegative val="0"/>
          <c:dLbls>
            <c:numFmt formatCode="#,##0.0" sourceLinked="0"/>
            <c:spPr>
              <a:noFill/>
              <a:ln>
                <a:noFill/>
              </a:ln>
              <a:effectLst/>
            </c:spPr>
            <c:txPr>
              <a:bodyPr/>
              <a:lstStyle/>
              <a:p>
                <a:pPr>
                  <a:defRPr sz="800" b="0">
                    <a:solidFill>
                      <a:schemeClr val="tx1">
                        <a:lumMod val="75000"/>
                        <a:lumOff val="25000"/>
                      </a:schemeClr>
                    </a:solidFill>
                    <a:latin typeface="Times New Roman" panose="02020603050405020304" pitchFamily="18" charset="0"/>
                    <a:cs typeface="Times New Roman" panose="02020603050405020304" pitchFamily="18"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'мемо 2011-2016'!$J$48:$P$48</c:f>
              <c:numCache>
                <c:formatCode>General</c:formatCode>
                <c:ptCount val="7"/>
                <c:pt idx="0">
                  <c:v>2015</c:v>
                </c:pt>
                <c:pt idx="1">
                  <c:v>2016</c:v>
                </c:pt>
                <c:pt idx="2">
                  <c:v>2017</c:v>
                </c:pt>
                <c:pt idx="3">
                  <c:v>2018</c:v>
                </c:pt>
                <c:pt idx="4">
                  <c:v>2019</c:v>
                </c:pt>
                <c:pt idx="5">
                  <c:v>2020</c:v>
                </c:pt>
                <c:pt idx="6">
                  <c:v>2021</c:v>
                </c:pt>
              </c:numCache>
            </c:numRef>
          </c:cat>
          <c:val>
            <c:numRef>
              <c:f>'мемо 2011-2016'!$J$50:$P$50</c:f>
              <c:numCache>
                <c:formatCode>#,##0.0</c:formatCode>
                <c:ptCount val="7"/>
                <c:pt idx="0">
                  <c:v>71.249069559343553</c:v>
                </c:pt>
                <c:pt idx="1">
                  <c:v>68.803701794720155</c:v>
                </c:pt>
                <c:pt idx="2">
                  <c:v>58.693404862723057</c:v>
                </c:pt>
                <c:pt idx="3" formatCode="General">
                  <c:v>54.4</c:v>
                </c:pt>
                <c:pt idx="4" formatCode="General">
                  <c:v>51.7</c:v>
                </c:pt>
                <c:pt idx="5" formatCode="General">
                  <c:v>49.3</c:v>
                </c:pt>
                <c:pt idx="6" formatCode="General">
                  <c:v>46.9</c:v>
                </c:pt>
              </c:numCache>
            </c:numRef>
          </c:val>
          <c:extLst>
            <c:ext xmlns:c16="http://schemas.microsoft.com/office/drawing/2014/chart" uri="{C3380CC4-5D6E-409C-BE32-E72D297353CC}">
              <c16:uniqueId val="{00000000-D6D7-4E0C-B8A5-0B8B04BD6192}"/>
            </c:ext>
          </c:extLst>
        </c:ser>
        <c:dLbls>
          <c:showLegendKey val="0"/>
          <c:showVal val="0"/>
          <c:showCatName val="0"/>
          <c:showSerName val="0"/>
          <c:showPercent val="0"/>
          <c:showBubbleSize val="0"/>
        </c:dLbls>
        <c:gapWidth val="150"/>
        <c:axId val="543532544"/>
        <c:axId val="110133824"/>
      </c:barChart>
      <c:lineChart>
        <c:grouping val="standard"/>
        <c:varyColors val="0"/>
        <c:ser>
          <c:idx val="2"/>
          <c:order val="1"/>
          <c:tx>
            <c:strRef>
              <c:f>'мемо 2011-2016'!$E$49</c:f>
              <c:strCache>
                <c:ptCount val="1"/>
                <c:pt idx="0">
                  <c:v>дефицит (десна скала) </c:v>
                </c:pt>
              </c:strCache>
            </c:strRef>
          </c:tx>
          <c:spPr>
            <a:ln>
              <a:solidFill>
                <a:srgbClr val="FF0000"/>
              </a:solidFill>
            </a:ln>
          </c:spPr>
          <c:marker>
            <c:symbol val="none"/>
          </c:marker>
          <c:dLbls>
            <c:dLbl>
              <c:idx val="1"/>
              <c:layout>
                <c:manualLayout>
                  <c:x val="-1.9699707307966691E-2"/>
                  <c:y val="8.647409639832690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D7-4E0C-B8A5-0B8B04BD6192}"/>
                </c:ext>
              </c:extLst>
            </c:dLbl>
            <c:dLbl>
              <c:idx val="2"/>
              <c:layout>
                <c:manualLayout>
                  <c:x val="0"/>
                  <c:y val="-1.47754137115839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6D7-4E0C-B8A5-0B8B04BD6192}"/>
                </c:ext>
              </c:extLst>
            </c:dLbl>
            <c:dLbl>
              <c:idx val="4"/>
              <c:layout>
                <c:manualLayout>
                  <c:x val="-8.0440304826418368E-2"/>
                  <c:y val="7.187780772686367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D7-4E0C-B8A5-0B8B04BD6192}"/>
                </c:ext>
              </c:extLst>
            </c:dLbl>
            <c:dLbl>
              <c:idx val="5"/>
              <c:layout>
                <c:manualLayout>
                  <c:x val="-8.0440304826418285E-2"/>
                  <c:y val="2.1563342318059234E-2"/>
                </c:manualLayout>
              </c:layout>
              <c:numFmt formatCode="#,##0.0" sourceLinked="0"/>
              <c:spPr>
                <a:noFill/>
                <a:ln>
                  <a:noFill/>
                </a:ln>
                <a:effectLst/>
              </c:spPr>
              <c:txPr>
                <a:bodyPr wrap="square" lIns="38100" tIns="19050" rIns="38100" bIns="19050" anchor="ctr">
                  <a:noAutofit/>
                </a:bodyPr>
                <a:lstStyle/>
                <a:p>
                  <a:pPr>
                    <a:defRPr sz="800" b="1">
                      <a:solidFill>
                        <a:schemeClr val="tx1">
                          <a:lumMod val="75000"/>
                          <a:lumOff val="25000"/>
                        </a:schemeClr>
                      </a:solidFill>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7.9021848560208552E-2"/>
                      <c:h val="5.462713387241689E-2"/>
                    </c:manualLayout>
                  </c15:layout>
                </c:ext>
                <c:ext xmlns:c16="http://schemas.microsoft.com/office/drawing/2014/chart" uri="{C3380CC4-5D6E-409C-BE32-E72D297353CC}">
                  <c16:uniqueId val="{00000004-D6D7-4E0C-B8A5-0B8B04BD6192}"/>
                </c:ext>
              </c:extLst>
            </c:dLbl>
            <c:dLbl>
              <c:idx val="6"/>
              <c:layout>
                <c:manualLayout>
                  <c:x val="-7.1972904318374414E-2"/>
                  <c:y val="2.51572327044024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D7-4E0C-B8A5-0B8B04BD6192}"/>
                </c:ext>
              </c:extLst>
            </c:dLbl>
            <c:numFmt formatCode="#,##0.0" sourceLinked="0"/>
            <c:spPr>
              <a:noFill/>
              <a:ln>
                <a:noFill/>
              </a:ln>
              <a:effectLst/>
            </c:spPr>
            <c:txPr>
              <a:bodyPr wrap="square" lIns="38100" tIns="19050" rIns="38100" bIns="19050" anchor="ctr">
                <a:spAutoFit/>
              </a:bodyPr>
              <a:lstStyle/>
              <a:p>
                <a:pPr>
                  <a:defRPr sz="800" b="1">
                    <a:solidFill>
                      <a:schemeClr val="tx1">
                        <a:lumMod val="75000"/>
                        <a:lumOff val="25000"/>
                      </a:schemeClr>
                    </a:solidFill>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'мемо 2011-2016'!$J$49:$P$49</c:f>
              <c:numCache>
                <c:formatCode>#,##0.0</c:formatCode>
                <c:ptCount val="7"/>
                <c:pt idx="0">
                  <c:v>-3.4574923786243579</c:v>
                </c:pt>
                <c:pt idx="1">
                  <c:v>-1.1977763417297731</c:v>
                </c:pt>
                <c:pt idx="2">
                  <c:v>1.099509271415023</c:v>
                </c:pt>
                <c:pt idx="3">
                  <c:v>0.55089479596734636</c:v>
                </c:pt>
                <c:pt idx="4">
                  <c:v>-0.52609707400981942</c:v>
                </c:pt>
                <c:pt idx="5">
                  <c:v>-0.4960196942262205</c:v>
                </c:pt>
                <c:pt idx="6">
                  <c:v>-0.46842062258454487</c:v>
                </c:pt>
              </c:numCache>
            </c:numRef>
          </c:val>
          <c:smooth val="1"/>
          <c:extLst>
            <c:ext xmlns:c16="http://schemas.microsoft.com/office/drawing/2014/chart" uri="{C3380CC4-5D6E-409C-BE32-E72D297353CC}">
              <c16:uniqueId val="{00000006-D6D7-4E0C-B8A5-0B8B04BD6192}"/>
            </c:ext>
          </c:extLst>
        </c:ser>
        <c:ser>
          <c:idx val="1"/>
          <c:order val="2"/>
          <c:tx>
            <c:strRef>
              <c:f>'мемо 2011-2016'!$E$51</c:f>
              <c:strCache>
                <c:ptCount val="1"/>
                <c:pt idx="0">
                  <c:v>баланс</c:v>
                </c:pt>
              </c:strCache>
            </c:strRef>
          </c:tx>
          <c:spPr>
            <a:ln w="22225">
              <a:solidFill>
                <a:schemeClr val="tx1"/>
              </a:solidFill>
            </a:ln>
          </c:spPr>
          <c:marker>
            <c:symbol val="none"/>
          </c:marker>
          <c:val>
            <c:numRef>
              <c:f>'мемо 2011-2016'!$J$51:$P$51</c:f>
              <c:numCache>
                <c:formatCode>#,##0.0</c:formatCode>
                <c:ptCount val="7"/>
                <c:pt idx="0">
                  <c:v>0</c:v>
                </c:pt>
                <c:pt idx="1">
                  <c:v>0</c:v>
                </c:pt>
                <c:pt idx="2">
                  <c:v>0</c:v>
                </c:pt>
                <c:pt idx="3">
                  <c:v>0</c:v>
                </c:pt>
                <c:pt idx="4">
                  <c:v>0</c:v>
                </c:pt>
                <c:pt idx="5">
                  <c:v>0</c:v>
                </c:pt>
                <c:pt idx="6">
                  <c:v>0</c:v>
                </c:pt>
              </c:numCache>
            </c:numRef>
          </c:val>
          <c:smooth val="0"/>
          <c:extLst>
            <c:ext xmlns:c16="http://schemas.microsoft.com/office/drawing/2014/chart" uri="{C3380CC4-5D6E-409C-BE32-E72D297353CC}">
              <c16:uniqueId val="{00000007-D6D7-4E0C-B8A5-0B8B04BD6192}"/>
            </c:ext>
          </c:extLst>
        </c:ser>
        <c:dLbls>
          <c:showLegendKey val="0"/>
          <c:showVal val="0"/>
          <c:showCatName val="0"/>
          <c:showSerName val="0"/>
          <c:showPercent val="0"/>
          <c:showBubbleSize val="0"/>
        </c:dLbls>
        <c:marker val="1"/>
        <c:smooth val="0"/>
        <c:axId val="543533568"/>
        <c:axId val="110134400"/>
      </c:lineChart>
      <c:catAx>
        <c:axId val="543532544"/>
        <c:scaling>
          <c:orientation val="minMax"/>
        </c:scaling>
        <c:delete val="0"/>
        <c:axPos val="b"/>
        <c:numFmt formatCode="General" sourceLinked="1"/>
        <c:majorTickMark val="out"/>
        <c:minorTickMark val="none"/>
        <c:tickLblPos val="nextTo"/>
        <c:txPr>
          <a:bodyPr/>
          <a:lstStyle/>
          <a:p>
            <a:pPr>
              <a:defRPr>
                <a:solidFill>
                  <a:schemeClr val="tx1">
                    <a:lumMod val="65000"/>
                    <a:lumOff val="35000"/>
                  </a:schemeClr>
                </a:solidFill>
              </a:defRPr>
            </a:pPr>
            <a:endParaRPr lang="en-US"/>
          </a:p>
        </c:txPr>
        <c:crossAx val="110133824"/>
        <c:crosses val="autoZero"/>
        <c:auto val="1"/>
        <c:lblAlgn val="ctr"/>
        <c:lblOffset val="100"/>
        <c:noMultiLvlLbl val="0"/>
      </c:catAx>
      <c:valAx>
        <c:axId val="110133824"/>
        <c:scaling>
          <c:orientation val="minMax"/>
          <c:max val="100"/>
        </c:scaling>
        <c:delete val="0"/>
        <c:axPos val="l"/>
        <c:majorGridlines>
          <c:spPr>
            <a:ln>
              <a:noFill/>
            </a:ln>
          </c:spPr>
        </c:majorGridlines>
        <c:numFmt formatCode="#,##0" sourceLinked="0"/>
        <c:majorTickMark val="out"/>
        <c:minorTickMark val="none"/>
        <c:tickLblPos val="nextTo"/>
        <c:txPr>
          <a:bodyPr/>
          <a:lstStyle/>
          <a:p>
            <a:pPr>
              <a:defRPr>
                <a:solidFill>
                  <a:schemeClr val="tx1">
                    <a:lumMod val="65000"/>
                    <a:lumOff val="35000"/>
                  </a:schemeClr>
                </a:solidFill>
                <a:latin typeface="Times New Roman" panose="02020603050405020304" pitchFamily="18" charset="0"/>
                <a:cs typeface="Times New Roman" panose="02020603050405020304" pitchFamily="18" charset="0"/>
              </a:defRPr>
            </a:pPr>
            <a:endParaRPr lang="en-US"/>
          </a:p>
        </c:txPr>
        <c:crossAx val="543532544"/>
        <c:crosses val="autoZero"/>
        <c:crossBetween val="between"/>
      </c:valAx>
      <c:valAx>
        <c:axId val="110134400"/>
        <c:scaling>
          <c:orientation val="minMax"/>
        </c:scaling>
        <c:delete val="0"/>
        <c:axPos val="r"/>
        <c:numFmt formatCode="#,##0"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en-US"/>
          </a:p>
        </c:txPr>
        <c:crossAx val="543533568"/>
        <c:crosses val="max"/>
        <c:crossBetween val="between"/>
      </c:valAx>
      <c:catAx>
        <c:axId val="543533568"/>
        <c:scaling>
          <c:orientation val="minMax"/>
        </c:scaling>
        <c:delete val="1"/>
        <c:axPos val="b"/>
        <c:majorTickMark val="out"/>
        <c:minorTickMark val="none"/>
        <c:tickLblPos val="nextTo"/>
        <c:crossAx val="110134400"/>
        <c:crosses val="autoZero"/>
        <c:auto val="1"/>
        <c:lblAlgn val="ctr"/>
        <c:lblOffset val="100"/>
        <c:noMultiLvlLbl val="0"/>
      </c:catAx>
      <c:spPr>
        <a:noFill/>
      </c:spPr>
    </c:plotArea>
    <c:legend>
      <c:legendPos val="b"/>
      <c:layout>
        <c:manualLayout>
          <c:xMode val="edge"/>
          <c:yMode val="edge"/>
          <c:x val="0.12286621332903752"/>
          <c:y val="0.1074805271982512"/>
          <c:w val="0.44841925757420437"/>
          <c:h val="0.11264525896527083"/>
        </c:manualLayout>
      </c:layout>
      <c:overlay val="0"/>
      <c:txPr>
        <a:bodyPr/>
        <a:lstStyle/>
        <a:p>
          <a:pPr>
            <a:defRPr sz="800">
              <a:solidFill>
                <a:schemeClr val="tx1">
                  <a:lumMod val="75000"/>
                  <a:lumOff val="25000"/>
                </a:schemeClr>
              </a:solidFill>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ln>
      <a:noFill/>
    </a:ln>
  </c:spPr>
  <c:txPr>
    <a:bodyPr/>
    <a:lstStyle/>
    <a:p>
      <a:pPr>
        <a:defRPr sz="900" baseline="0">
          <a:latin typeface="Cambria Math" pitchFamily="18" charset="0"/>
        </a:defRPr>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hart>
    <c:title>
      <c:tx>
        <c:rich>
          <a:bodyPr/>
          <a:lstStyle/>
          <a:p>
            <a:pPr>
              <a:defRPr/>
            </a:pPr>
            <a:r>
              <a:rPr lang="sr-Cyrl-RS"/>
              <a:t>Дуг и дефицит опште</a:t>
            </a:r>
            <a:r>
              <a:rPr lang="sr-Cyrl-RS" baseline="0"/>
              <a:t> државе</a:t>
            </a:r>
            <a:r>
              <a:rPr lang="sr-Cyrl-RS"/>
              <a:t>, % БДП</a:t>
            </a:r>
            <a:endParaRPr lang="en-US"/>
          </a:p>
        </c:rich>
      </c:tx>
      <c:overlay val="1"/>
    </c:title>
    <c:autoTitleDeleted val="0"/>
    <c:plotArea>
      <c:layout>
        <c:manualLayout>
          <c:layoutTarget val="inner"/>
          <c:xMode val="edge"/>
          <c:yMode val="edge"/>
          <c:x val="7.9033714179804967E-2"/>
          <c:y val="0.10598834128245893"/>
          <c:w val="0.86085801063022016"/>
          <c:h val="0.71439104690610022"/>
        </c:manualLayout>
      </c:layout>
      <c:barChart>
        <c:barDir val="col"/>
        <c:grouping val="clustered"/>
        <c:varyColors val="0"/>
        <c:ser>
          <c:idx val="0"/>
          <c:order val="0"/>
          <c:tx>
            <c:strRef>
              <c:f>'мемо 2011-2016'!$E$50</c:f>
              <c:strCache>
                <c:ptCount val="1"/>
                <c:pt idx="0">
                  <c:v>дуг опште државе</c:v>
                </c:pt>
              </c:strCache>
            </c:strRef>
          </c:tx>
          <c:spPr>
            <a:solidFill>
              <a:schemeClr val="accent1">
                <a:lumMod val="40000"/>
                <a:lumOff val="60000"/>
              </a:schemeClr>
            </a:solidFill>
          </c:spPr>
          <c:invertIfNegative val="0"/>
          <c:dLbls>
            <c:numFmt formatCode="#,##0.0" sourceLinked="0"/>
            <c:spPr>
              <a:noFill/>
              <a:ln>
                <a:noFill/>
              </a:ln>
              <a:effectLst/>
            </c:sp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'мемо 2011-2016'!$F$48:$O$48</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'мемо 2011-2016'!$F$50:$O$50</c:f>
              <c:numCache>
                <c:formatCode>#,##0.0</c:formatCode>
                <c:ptCount val="10"/>
                <c:pt idx="0">
                  <c:v>47.371964687470488</c:v>
                </c:pt>
                <c:pt idx="1">
                  <c:v>58.06680563593229</c:v>
                </c:pt>
                <c:pt idx="2">
                  <c:v>61.11385507211731</c:v>
                </c:pt>
                <c:pt idx="3">
                  <c:v>71.848253369516598</c:v>
                </c:pt>
                <c:pt idx="4" formatCode="0.0">
                  <c:v>76</c:v>
                </c:pt>
                <c:pt idx="5" formatCode="General">
                  <c:v>73</c:v>
                </c:pt>
                <c:pt idx="6" formatCode="General">
                  <c:v>63.7</c:v>
                </c:pt>
                <c:pt idx="7" formatCode="General">
                  <c:v>62.9</c:v>
                </c:pt>
                <c:pt idx="8" formatCode="General">
                  <c:v>59.8</c:v>
                </c:pt>
                <c:pt idx="9" formatCode="General">
                  <c:v>56.3</c:v>
                </c:pt>
              </c:numCache>
            </c:numRef>
          </c:val>
          <c:extLst>
            <c:ext xmlns:c16="http://schemas.microsoft.com/office/drawing/2014/chart" uri="{C3380CC4-5D6E-409C-BE32-E72D297353CC}">
              <c16:uniqueId val="{00000000-D84B-4AD9-B266-E27D8D8A8573}"/>
            </c:ext>
          </c:extLst>
        </c:ser>
        <c:dLbls>
          <c:showLegendKey val="0"/>
          <c:showVal val="0"/>
          <c:showCatName val="0"/>
          <c:showSerName val="0"/>
          <c:showPercent val="0"/>
          <c:showBubbleSize val="0"/>
        </c:dLbls>
        <c:gapWidth val="150"/>
        <c:axId val="543534592"/>
        <c:axId val="110134976"/>
      </c:barChart>
      <c:lineChart>
        <c:grouping val="standard"/>
        <c:varyColors val="0"/>
        <c:ser>
          <c:idx val="2"/>
          <c:order val="1"/>
          <c:tx>
            <c:strRef>
              <c:f>'мемо 2011-2016'!$E$49</c:f>
              <c:strCache>
                <c:ptCount val="1"/>
                <c:pt idx="0">
                  <c:v>дефицит (десна скала) </c:v>
                </c:pt>
              </c:strCache>
            </c:strRef>
          </c:tx>
          <c:spPr>
            <a:ln>
              <a:solidFill>
                <a:schemeClr val="tx2"/>
              </a:solidFill>
            </a:ln>
          </c:spPr>
          <c:marker>
            <c:symbol val="none"/>
          </c:marker>
          <c:dLbls>
            <c:dLbl>
              <c:idx val="1"/>
              <c:layout>
                <c:manualLayout>
                  <c:x val="9.9363021839251227E-3"/>
                  <c:y val="1.5835084857420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4B-4AD9-B266-E27D8D8A8573}"/>
                </c:ext>
              </c:extLst>
            </c:dLbl>
            <c:dLbl>
              <c:idx val="2"/>
              <c:layout>
                <c:manualLayout>
                  <c:x val="0"/>
                  <c:y val="-1.47754137115839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84B-4AD9-B266-E27D8D8A8573}"/>
                </c:ext>
              </c:extLst>
            </c:dLbl>
            <c:dLbl>
              <c:idx val="6"/>
              <c:layout>
                <c:manualLayout>
                  <c:x val="6.41025641025641E-3"/>
                  <c:y val="-2.52661974372856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84B-4AD9-B266-E27D8D8A8573}"/>
                </c:ext>
              </c:extLst>
            </c:dLbl>
            <c:dLbl>
              <c:idx val="7"/>
              <c:layout>
                <c:manualLayout>
                  <c:x val="0"/>
                  <c:y val="3.24851109907958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84B-4AD9-B266-E27D8D8A8573}"/>
                </c:ext>
              </c:extLst>
            </c:dLbl>
            <c:dLbl>
              <c:idx val="8"/>
              <c:layout>
                <c:manualLayout>
                  <c:x val="0"/>
                  <c:y val="2.88756542140407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84B-4AD9-B266-E27D8D8A8573}"/>
                </c:ext>
              </c:extLst>
            </c:dLbl>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'мемо 2011-2016'!$F$49:$O$49</c:f>
              <c:numCache>
                <c:formatCode>#,##0.0</c:formatCode>
                <c:ptCount val="10"/>
                <c:pt idx="0">
                  <c:v>-4.8</c:v>
                </c:pt>
                <c:pt idx="1">
                  <c:v>-6.8</c:v>
                </c:pt>
                <c:pt idx="2">
                  <c:v>-5.5</c:v>
                </c:pt>
                <c:pt idx="3">
                  <c:v>-6.6</c:v>
                </c:pt>
                <c:pt idx="4">
                  <c:v>-3.8</c:v>
                </c:pt>
                <c:pt idx="5" formatCode="General">
                  <c:v>-1.3</c:v>
                </c:pt>
                <c:pt idx="6" formatCode="General">
                  <c:v>0.7</c:v>
                </c:pt>
                <c:pt idx="7" formatCode="General">
                  <c:v>-0.7</c:v>
                </c:pt>
                <c:pt idx="8" formatCode="General">
                  <c:v>-0.5</c:v>
                </c:pt>
                <c:pt idx="9" formatCode="General">
                  <c:v>-0.5</c:v>
                </c:pt>
              </c:numCache>
            </c:numRef>
          </c:val>
          <c:smooth val="1"/>
          <c:extLst>
            <c:ext xmlns:c16="http://schemas.microsoft.com/office/drawing/2014/chart" uri="{C3380CC4-5D6E-409C-BE32-E72D297353CC}">
              <c16:uniqueId val="{00000006-D84B-4AD9-B266-E27D8D8A8573}"/>
            </c:ext>
          </c:extLst>
        </c:ser>
        <c:ser>
          <c:idx val="1"/>
          <c:order val="2"/>
          <c:tx>
            <c:strRef>
              <c:f>'мемо 2011-2016'!$E$51</c:f>
              <c:strCache>
                <c:ptCount val="1"/>
                <c:pt idx="0">
                  <c:v>баланс</c:v>
                </c:pt>
              </c:strCache>
            </c:strRef>
          </c:tx>
          <c:spPr>
            <a:ln w="22225">
              <a:solidFill>
                <a:schemeClr val="tx1"/>
              </a:solidFill>
            </a:ln>
          </c:spPr>
          <c:marker>
            <c:symbol val="none"/>
          </c:marker>
          <c:val>
            <c:numRef>
              <c:f>'мемо 2011-2016'!$F$51:$O$51</c:f>
              <c:numCache>
                <c:formatCode>#,##0.0</c:formatCode>
                <c:ptCount val="10"/>
                <c:pt idx="0">
                  <c:v>0</c:v>
                </c:pt>
                <c:pt idx="1">
                  <c:v>0</c:v>
                </c:pt>
                <c:pt idx="2">
                  <c:v>0</c:v>
                </c:pt>
                <c:pt idx="3">
                  <c:v>0</c:v>
                </c:pt>
                <c:pt idx="4">
                  <c:v>0</c:v>
                </c:pt>
                <c:pt idx="5">
                  <c:v>0</c:v>
                </c:pt>
                <c:pt idx="6">
                  <c:v>0</c:v>
                </c:pt>
                <c:pt idx="7">
                  <c:v>0</c:v>
                </c:pt>
                <c:pt idx="8">
                  <c:v>0</c:v>
                </c:pt>
                <c:pt idx="9">
                  <c:v>0</c:v>
                </c:pt>
              </c:numCache>
            </c:numRef>
          </c:val>
          <c:smooth val="0"/>
          <c:extLst>
            <c:ext xmlns:c16="http://schemas.microsoft.com/office/drawing/2014/chart" uri="{C3380CC4-5D6E-409C-BE32-E72D297353CC}">
              <c16:uniqueId val="{00000007-D84B-4AD9-B266-E27D8D8A8573}"/>
            </c:ext>
          </c:extLst>
        </c:ser>
        <c:dLbls>
          <c:showLegendKey val="0"/>
          <c:showVal val="0"/>
          <c:showCatName val="0"/>
          <c:showSerName val="0"/>
          <c:showPercent val="0"/>
          <c:showBubbleSize val="0"/>
        </c:dLbls>
        <c:marker val="1"/>
        <c:smooth val="0"/>
        <c:axId val="549413888"/>
        <c:axId val="110135552"/>
      </c:lineChart>
      <c:catAx>
        <c:axId val="543534592"/>
        <c:scaling>
          <c:orientation val="minMax"/>
        </c:scaling>
        <c:delete val="0"/>
        <c:axPos val="b"/>
        <c:numFmt formatCode="General" sourceLinked="1"/>
        <c:majorTickMark val="out"/>
        <c:minorTickMark val="none"/>
        <c:tickLblPos val="nextTo"/>
        <c:crossAx val="110134976"/>
        <c:crosses val="autoZero"/>
        <c:auto val="1"/>
        <c:lblAlgn val="ctr"/>
        <c:lblOffset val="100"/>
        <c:noMultiLvlLbl val="0"/>
      </c:catAx>
      <c:valAx>
        <c:axId val="110134976"/>
        <c:scaling>
          <c:orientation val="minMax"/>
          <c:max val="100"/>
        </c:scaling>
        <c:delete val="0"/>
        <c:axPos val="l"/>
        <c:majorGridlines>
          <c:spPr>
            <a:ln>
              <a:noFill/>
            </a:ln>
          </c:spPr>
        </c:majorGridlines>
        <c:numFmt formatCode="#,##0.0" sourceLinked="1"/>
        <c:majorTickMark val="out"/>
        <c:minorTickMark val="none"/>
        <c:tickLblPos val="nextTo"/>
        <c:crossAx val="543534592"/>
        <c:crosses val="autoZero"/>
        <c:crossBetween val="between"/>
      </c:valAx>
      <c:valAx>
        <c:axId val="110135552"/>
        <c:scaling>
          <c:orientation val="minMax"/>
        </c:scaling>
        <c:delete val="0"/>
        <c:axPos val="r"/>
        <c:numFmt formatCode="#,##0.0" sourceLinked="1"/>
        <c:majorTickMark val="out"/>
        <c:minorTickMark val="none"/>
        <c:tickLblPos val="nextTo"/>
        <c:crossAx val="549413888"/>
        <c:crosses val="max"/>
        <c:crossBetween val="between"/>
      </c:valAx>
      <c:catAx>
        <c:axId val="549413888"/>
        <c:scaling>
          <c:orientation val="minMax"/>
        </c:scaling>
        <c:delete val="1"/>
        <c:axPos val="b"/>
        <c:majorTickMark val="out"/>
        <c:minorTickMark val="none"/>
        <c:tickLblPos val="nextTo"/>
        <c:crossAx val="110135552"/>
        <c:crosses val="autoZero"/>
        <c:auto val="1"/>
        <c:lblAlgn val="ctr"/>
        <c:lblOffset val="100"/>
        <c:noMultiLvlLbl val="0"/>
      </c:catAx>
      <c:spPr>
        <a:solidFill>
          <a:schemeClr val="bg1"/>
        </a:solidFill>
      </c:spPr>
    </c:plotArea>
    <c:legend>
      <c:legendPos val="b"/>
      <c:overlay val="0"/>
    </c:legend>
    <c:plotVisOnly val="1"/>
    <c:dispBlanksAs val="gap"/>
    <c:showDLblsOverMax val="0"/>
  </c:chart>
  <c:spPr>
    <a:ln>
      <a:noFill/>
    </a:ln>
  </c:spPr>
  <c:txPr>
    <a:bodyPr/>
    <a:lstStyle/>
    <a:p>
      <a:pPr>
        <a:defRPr sz="900" baseline="0">
          <a:latin typeface="Cambria" panose="02040503050406030204" pitchFamily="18" charset="0"/>
        </a:defRPr>
      </a:pPr>
      <a:endParaRPr lang="en-US"/>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0.71597</cdr:x>
      <cdr:y>0.08807</cdr:y>
    </cdr:from>
    <cdr:to>
      <cdr:x>0.94547</cdr:x>
      <cdr:y>0.15372</cdr:y>
    </cdr:to>
    <cdr:sp macro="" textlink="">
      <cdr:nvSpPr>
        <cdr:cNvPr id="2" name="TextBox 1"/>
        <cdr:cNvSpPr txBox="1"/>
      </cdr:nvSpPr>
      <cdr:spPr>
        <a:xfrm xmlns:a="http://schemas.openxmlformats.org/drawingml/2006/main">
          <a:off x="2199994" y="311233"/>
          <a:ext cx="705212" cy="23197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sr-Cyrl-CS" sz="800">
              <a:solidFill>
                <a:schemeClr val="tx1">
                  <a:lumMod val="75000"/>
                  <a:lumOff val="25000"/>
                </a:schemeClr>
              </a:solidFill>
              <a:latin typeface="Times New Roman" panose="02020603050405020304" pitchFamily="18" charset="0"/>
              <a:cs typeface="Times New Roman" panose="02020603050405020304" pitchFamily="18" charset="0"/>
            </a:rPr>
            <a:t>у % БДП</a:t>
          </a:r>
          <a:endParaRPr lang="en-US" sz="800">
            <a:solidFill>
              <a:schemeClr val="tx1">
                <a:lumMod val="75000"/>
                <a:lumOff val="25000"/>
              </a:schemeClr>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0.83237</cdr:x>
      <cdr:y>0.04452</cdr:y>
    </cdr:from>
    <cdr:to>
      <cdr:x>0.96904</cdr:x>
      <cdr:y>0.10408</cdr:y>
    </cdr:to>
    <cdr:sp macro="" textlink="">
      <cdr:nvSpPr>
        <cdr:cNvPr id="2" name="TextBox 1"/>
        <cdr:cNvSpPr txBox="1"/>
      </cdr:nvSpPr>
      <cdr:spPr>
        <a:xfrm xmlns:a="http://schemas.openxmlformats.org/drawingml/2006/main">
          <a:off x="5378606" y="170300"/>
          <a:ext cx="883129" cy="22784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sr-Cyrl-CS" sz="1100">
              <a:latin typeface="+mj-lt"/>
            </a:rPr>
            <a:t>у % БДП</a:t>
          </a:r>
          <a:endParaRPr lang="en-US" sz="1100">
            <a:latin typeface="+mj-l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4C19B-CB02-491C-B8B1-269AFBFA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27</Pages>
  <Words>11000</Words>
  <Characters>62704</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Snezana Marinovic</cp:lastModifiedBy>
  <cp:revision>74</cp:revision>
  <cp:lastPrinted>2018-11-11T14:53:00Z</cp:lastPrinted>
  <dcterms:created xsi:type="dcterms:W3CDTF">2017-11-30T08:18:00Z</dcterms:created>
  <dcterms:modified xsi:type="dcterms:W3CDTF">2018-11-21T13:59:00Z</dcterms:modified>
</cp:coreProperties>
</file>