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198" w:rsidRPr="00E5548E" w:rsidRDefault="00190198" w:rsidP="00190198">
      <w:pPr>
        <w:spacing w:after="0"/>
        <w:ind w:firstLine="0"/>
        <w:jc w:val="left"/>
        <w:rPr>
          <w:rFonts w:ascii="Calibri" w:hAnsi="Calibri" w:cs="Calibri"/>
          <w:color w:val="000000" w:themeColor="text1"/>
          <w:sz w:val="24"/>
          <w:lang w:val="sr-Cyrl-RS"/>
        </w:rPr>
      </w:pPr>
      <w:r w:rsidRPr="00E5548E">
        <w:rPr>
          <w:rFonts w:ascii="Calibri" w:hAnsi="Calibri" w:cs="Calibri"/>
          <w:color w:val="000000" w:themeColor="text1"/>
          <w:sz w:val="24"/>
          <w:lang w:val="sr-Cyrl-RS"/>
        </w:rPr>
        <w:t>Прилог 1</w:t>
      </w:r>
      <w:r w:rsidR="007B643F" w:rsidRPr="00E5548E">
        <w:rPr>
          <w:rFonts w:ascii="Calibri" w:hAnsi="Calibri" w:cs="Calibri"/>
          <w:color w:val="000000" w:themeColor="text1"/>
          <w:sz w:val="24"/>
          <w:lang w:val="en-US"/>
        </w:rPr>
        <w:t xml:space="preserve"> -</w:t>
      </w:r>
      <w:r w:rsidRPr="00E5548E">
        <w:rPr>
          <w:rFonts w:ascii="Calibri" w:hAnsi="Calibri" w:cs="Calibri"/>
          <w:color w:val="000000" w:themeColor="text1"/>
          <w:sz w:val="24"/>
          <w:lang w:val="sr-Cyrl-RS"/>
        </w:rPr>
        <w:t xml:space="preserve"> Пројекција основних макроекономских индикатора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40"/>
        <w:gridCol w:w="1236"/>
        <w:gridCol w:w="1236"/>
        <w:gridCol w:w="1236"/>
        <w:gridCol w:w="1275"/>
      </w:tblGrid>
      <w:tr w:rsidR="006B1489" w:rsidRPr="00E5548E" w:rsidTr="00CC6A02">
        <w:trPr>
          <w:trHeight w:val="551"/>
        </w:trPr>
        <w:tc>
          <w:tcPr>
            <w:tcW w:w="4140" w:type="dxa"/>
            <w:hideMark/>
          </w:tcPr>
          <w:p w:rsidR="00190198" w:rsidRPr="000C13B2" w:rsidRDefault="00190198" w:rsidP="00F71147">
            <w:pPr>
              <w:spacing w:after="0"/>
              <w:ind w:firstLine="0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bookmarkStart w:id="0" w:name="RANGE!A1:I56"/>
            <w:r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  <w:t>Исказано у процентима осим ако није другачије назначено</w:t>
            </w:r>
            <w:bookmarkEnd w:id="0"/>
          </w:p>
        </w:tc>
        <w:tc>
          <w:tcPr>
            <w:tcW w:w="1236" w:type="dxa"/>
            <w:noWrap/>
            <w:hideMark/>
          </w:tcPr>
          <w:p w:rsidR="00190198" w:rsidRPr="000C13B2" w:rsidRDefault="005B34C6" w:rsidP="00A85249">
            <w:pPr>
              <w:spacing w:after="0"/>
              <w:ind w:firstLine="0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2018</w:t>
            </w:r>
          </w:p>
        </w:tc>
        <w:tc>
          <w:tcPr>
            <w:tcW w:w="1236" w:type="dxa"/>
            <w:noWrap/>
            <w:hideMark/>
          </w:tcPr>
          <w:p w:rsidR="00190198" w:rsidRPr="000C13B2" w:rsidRDefault="00190198" w:rsidP="00A85249">
            <w:pPr>
              <w:spacing w:after="0"/>
              <w:ind w:firstLine="0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  <w:t>201</w:t>
            </w:r>
            <w:r w:rsidR="005B34C6"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236" w:type="dxa"/>
            <w:noWrap/>
            <w:hideMark/>
          </w:tcPr>
          <w:p w:rsidR="00190198" w:rsidRPr="000C13B2" w:rsidRDefault="005B34C6" w:rsidP="00A85249">
            <w:pPr>
              <w:spacing w:after="0"/>
              <w:ind w:firstLine="0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  <w:t>2020</w:t>
            </w:r>
          </w:p>
        </w:tc>
        <w:tc>
          <w:tcPr>
            <w:tcW w:w="1275" w:type="dxa"/>
            <w:noWrap/>
            <w:hideMark/>
          </w:tcPr>
          <w:p w:rsidR="00190198" w:rsidRPr="000C13B2" w:rsidRDefault="005B34C6" w:rsidP="00A85249">
            <w:pPr>
              <w:spacing w:after="0"/>
              <w:ind w:firstLine="0"/>
              <w:jc w:val="center"/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000000" w:themeColor="text1"/>
                <w:sz w:val="20"/>
                <w:szCs w:val="20"/>
                <w:lang w:val="sr-Cyrl-RS"/>
              </w:rPr>
              <w:t>2021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Стопа реалног раста БДП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B34C6" w:rsidP="006B1489">
            <w:pPr>
              <w:spacing w:after="0"/>
              <w:ind w:firstLine="0"/>
              <w:jc w:val="right"/>
              <w:rPr>
                <w:rFonts w:ascii="Calibri" w:hAnsi="Calibri" w:cs="Calibri"/>
                <w:bCs w:val="0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4,2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A85249" w:rsidP="005D65D9">
            <w:pPr>
              <w:jc w:val="right"/>
              <w:rPr>
                <w:rFonts w:ascii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hAnsi="Calibri" w:cs="Calibri"/>
                <w:color w:val="auto"/>
                <w:sz w:val="20"/>
                <w:szCs w:val="20"/>
                <w:lang w:val="sr-Cyrl-RS"/>
              </w:rPr>
              <w:t>3</w:t>
            </w:r>
            <w:r w:rsidR="006B1489" w:rsidRPr="000C13B2">
              <w:rPr>
                <w:rFonts w:ascii="Calibri" w:hAnsi="Calibri" w:cs="Calibri"/>
                <w:color w:val="auto"/>
                <w:sz w:val="20"/>
                <w:szCs w:val="20"/>
                <w:lang w:val="sr-Cyrl-RS"/>
              </w:rPr>
              <w:t>,5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B34C6" w:rsidP="005D65D9">
            <w:pPr>
              <w:jc w:val="right"/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hAnsi="Calibri" w:cs="Calibri"/>
                <w:color w:val="auto"/>
                <w:sz w:val="20"/>
                <w:szCs w:val="20"/>
                <w:lang w:val="en-US"/>
              </w:rPr>
              <w:t>4,0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6B1489" w:rsidP="005D65D9">
            <w:pPr>
              <w:jc w:val="right"/>
              <w:rPr>
                <w:rFonts w:ascii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hAnsi="Calibri" w:cs="Calibri"/>
                <w:color w:val="auto"/>
                <w:sz w:val="20"/>
                <w:szCs w:val="20"/>
                <w:lang w:val="sr-Cyrl-RS"/>
              </w:rPr>
              <w:t>4,0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БДП по текућим тржишним ценама </w:t>
            </w:r>
          </w:p>
          <w:p w:rsidR="005D65D9" w:rsidRPr="000C13B2" w:rsidRDefault="005D65D9" w:rsidP="00886A7F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(у м</w:t>
            </w:r>
            <w:r w:rsidR="00886A7F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лрд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динара)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EF6C04" w:rsidP="006B148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5.074,1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C8773F" w:rsidP="006B148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5.424,5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C8773F" w:rsidP="00886A7F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5.832</w:t>
            </w:r>
            <w:r w:rsidR="006B148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,1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C8773F" w:rsidP="00886A7F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6.269,0</w:t>
            </w:r>
          </w:p>
        </w:tc>
      </w:tr>
      <w:tr w:rsidR="00D77B88" w:rsidRPr="00E5548E" w:rsidTr="00146954">
        <w:trPr>
          <w:trHeight w:val="281"/>
        </w:trPr>
        <w:tc>
          <w:tcPr>
            <w:tcW w:w="9123" w:type="dxa"/>
            <w:gridSpan w:val="5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Извори раста: процентне промене у константним ценама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3,0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3,3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3,4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3,5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1,9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1,7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2,4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Инвестиције у фиксни капитал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9,8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5,6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5,8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6,0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Извоз робе и услуга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9,2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9,5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9,5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9,2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Увоз робе и услуга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9,8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A8524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8,2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8,0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8,0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БДП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i/>
                <w:i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Финална домаћа тражња</w:t>
            </w:r>
          </w:p>
        </w:tc>
        <w:tc>
          <w:tcPr>
            <w:tcW w:w="1236" w:type="dxa"/>
            <w:noWrap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5,2</w:t>
            </w:r>
          </w:p>
        </w:tc>
        <w:tc>
          <w:tcPr>
            <w:tcW w:w="1236" w:type="dxa"/>
            <w:noWrap/>
          </w:tcPr>
          <w:p w:rsidR="005D65D9" w:rsidRPr="000C13B2" w:rsidRDefault="001B32B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3,4</w:t>
            </w:r>
          </w:p>
        </w:tc>
        <w:tc>
          <w:tcPr>
            <w:tcW w:w="1236" w:type="dxa"/>
            <w:noWrap/>
          </w:tcPr>
          <w:p w:rsidR="005D65D9" w:rsidRPr="000C13B2" w:rsidRDefault="001B32B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3,7</w:t>
            </w:r>
          </w:p>
        </w:tc>
        <w:tc>
          <w:tcPr>
            <w:tcW w:w="1275" w:type="dxa"/>
            <w:noWrap/>
          </w:tcPr>
          <w:p w:rsidR="005D65D9" w:rsidRPr="000C13B2" w:rsidRDefault="00175AF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3,8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760B2E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Инвестициона потрош</w:t>
            </w:r>
            <w:bookmarkStart w:id="1" w:name="_GoBack"/>
            <w:bookmarkEnd w:id="1"/>
            <w:r w:rsidR="005D65D9"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ња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1,8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46954" w:rsidP="0014695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</w:t>
            </w:r>
            <w:r w:rsidR="001B32B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1,1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1,2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Лична потрошња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2,1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B32B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,1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2,3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3A102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2,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Државна потрошња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D95811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</w:t>
            </w:r>
            <w:r w:rsidR="005E3F4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5D65D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Промена у залихама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CC6A02" w:rsidP="001B32B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Нето извоз робе</w:t>
            </w:r>
            <w:r w:rsidR="00175AF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и услуга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>-1,0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5D65D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</w:t>
            </w:r>
            <w:r w:rsidR="001B32B9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36" w:type="dxa"/>
            <w:noWrap/>
            <w:hideMark/>
          </w:tcPr>
          <w:p w:rsidR="005D65D9" w:rsidRPr="000C13B2" w:rsidRDefault="00175AF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0,3</w:t>
            </w:r>
          </w:p>
        </w:tc>
        <w:tc>
          <w:tcPr>
            <w:tcW w:w="1275" w:type="dxa"/>
            <w:noWrap/>
            <w:hideMark/>
          </w:tcPr>
          <w:p w:rsidR="005D65D9" w:rsidRPr="000C13B2" w:rsidRDefault="00175AF9" w:rsidP="001B32B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0,2</w:t>
            </w:r>
          </w:p>
        </w:tc>
      </w:tr>
      <w:tr w:rsidR="00D77B88" w:rsidRPr="00E5548E" w:rsidTr="00146954">
        <w:trPr>
          <w:trHeight w:val="281"/>
        </w:trPr>
        <w:tc>
          <w:tcPr>
            <w:tcW w:w="9123" w:type="dxa"/>
            <w:gridSpan w:val="5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FF0000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Раст бруто додате вредности делатности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15,2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-6,6</w:t>
            </w:r>
          </w:p>
        </w:tc>
        <w:tc>
          <w:tcPr>
            <w:tcW w:w="1236" w:type="dxa"/>
            <w:noWrap/>
          </w:tcPr>
          <w:p w:rsidR="005D65D9" w:rsidRPr="000C13B2" w:rsidRDefault="00862451" w:rsidP="002841CB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1,0</w:t>
            </w:r>
          </w:p>
        </w:tc>
        <w:tc>
          <w:tcPr>
            <w:tcW w:w="1275" w:type="dxa"/>
            <w:noWrap/>
          </w:tcPr>
          <w:p w:rsidR="005D65D9" w:rsidRPr="000C13B2" w:rsidRDefault="00C65C0D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</w:t>
            </w:r>
            <w:r w:rsidR="00862451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2,7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4,7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4,9</w:t>
            </w:r>
          </w:p>
        </w:tc>
        <w:tc>
          <w:tcPr>
            <w:tcW w:w="1275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13,4</w:t>
            </w:r>
          </w:p>
        </w:tc>
        <w:tc>
          <w:tcPr>
            <w:tcW w:w="1236" w:type="dxa"/>
            <w:noWrap/>
          </w:tcPr>
          <w:p w:rsidR="005D65D9" w:rsidRPr="000C13B2" w:rsidRDefault="00CC6A02" w:rsidP="002841CB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8,8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7,5</w:t>
            </w:r>
          </w:p>
        </w:tc>
        <w:tc>
          <w:tcPr>
            <w:tcW w:w="1275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7,0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5D65D9" w:rsidRPr="000C13B2" w:rsidRDefault="005D65D9" w:rsidP="005D65D9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3,3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3,7</w:t>
            </w:r>
          </w:p>
        </w:tc>
        <w:tc>
          <w:tcPr>
            <w:tcW w:w="1236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3,7</w:t>
            </w:r>
          </w:p>
        </w:tc>
        <w:tc>
          <w:tcPr>
            <w:tcW w:w="1275" w:type="dxa"/>
            <w:noWrap/>
          </w:tcPr>
          <w:p w:rsidR="005D65D9" w:rsidRPr="000C13B2" w:rsidRDefault="00CC6A02" w:rsidP="005D65D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3,9</w:t>
            </w:r>
          </w:p>
        </w:tc>
      </w:tr>
      <w:tr w:rsidR="00D77B88" w:rsidRPr="00E5548E" w:rsidTr="00146954">
        <w:trPr>
          <w:trHeight w:val="281"/>
        </w:trPr>
        <w:tc>
          <w:tcPr>
            <w:tcW w:w="9123" w:type="dxa"/>
            <w:gridSpan w:val="5"/>
            <w:noWrap/>
            <w:hideMark/>
          </w:tcPr>
          <w:p w:rsidR="005D65D9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FF0000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Допринос расту БДП</w:t>
            </w:r>
          </w:p>
        </w:tc>
      </w:tr>
      <w:tr w:rsidR="00E571A1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Пољопривреда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,9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CC6A02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-0,4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E571A1" w:rsidP="00E571A1">
            <w:pPr>
              <w:spacing w:after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0,1</w:t>
            </w:r>
          </w:p>
        </w:tc>
        <w:tc>
          <w:tcPr>
            <w:tcW w:w="1275" w:type="dxa"/>
            <w:noWrap/>
            <w:hideMark/>
          </w:tcPr>
          <w:p w:rsidR="00E571A1" w:rsidRPr="000C13B2" w:rsidRDefault="00CC6A02" w:rsidP="00E571A1">
            <w:pPr>
              <w:spacing w:after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0,1</w:t>
            </w:r>
          </w:p>
        </w:tc>
      </w:tr>
      <w:tr w:rsidR="00E571A1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Индустрија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0,6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1,0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1,1</w:t>
            </w:r>
          </w:p>
        </w:tc>
        <w:tc>
          <w:tcPr>
            <w:tcW w:w="1275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1,1</w:t>
            </w:r>
          </w:p>
        </w:tc>
      </w:tr>
      <w:tr w:rsidR="00E571A1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Грађевинарство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0,6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0,4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0,3</w:t>
            </w:r>
          </w:p>
        </w:tc>
        <w:tc>
          <w:tcPr>
            <w:tcW w:w="1275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0,3</w:t>
            </w:r>
          </w:p>
        </w:tc>
      </w:tr>
      <w:tr w:rsidR="00E571A1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E571A1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Услуге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1,7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1,9</w:t>
            </w:r>
          </w:p>
        </w:tc>
        <w:tc>
          <w:tcPr>
            <w:tcW w:w="1236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1,9</w:t>
            </w:r>
          </w:p>
        </w:tc>
        <w:tc>
          <w:tcPr>
            <w:tcW w:w="1275" w:type="dxa"/>
            <w:noWrap/>
            <w:hideMark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2,0</w:t>
            </w:r>
          </w:p>
        </w:tc>
      </w:tr>
      <w:tr w:rsidR="00E571A1" w:rsidRPr="00E5548E" w:rsidTr="00CC6A02">
        <w:trPr>
          <w:trHeight w:val="281"/>
        </w:trPr>
        <w:tc>
          <w:tcPr>
            <w:tcW w:w="4140" w:type="dxa"/>
            <w:noWrap/>
          </w:tcPr>
          <w:p w:rsidR="00E571A1" w:rsidRPr="000C13B2" w:rsidRDefault="00E571A1" w:rsidP="00E571A1">
            <w:pPr>
              <w:spacing w:after="0"/>
              <w:ind w:firstLine="0"/>
              <w:jc w:val="left"/>
              <w:rPr>
                <w:rFonts w:ascii="Calibri" w:eastAsia="Calibri" w:hAnsi="Calibri" w:cs="Calibri"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Cs/>
                <w:color w:val="auto"/>
                <w:sz w:val="20"/>
                <w:szCs w:val="20"/>
                <w:lang w:val="sr-Cyrl-RS"/>
              </w:rPr>
              <w:t>Нето порези</w:t>
            </w:r>
          </w:p>
        </w:tc>
        <w:tc>
          <w:tcPr>
            <w:tcW w:w="1236" w:type="dxa"/>
            <w:noWrap/>
          </w:tcPr>
          <w:p w:rsidR="00E571A1" w:rsidRPr="000C13B2" w:rsidRDefault="00E571A1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0,5</w:t>
            </w:r>
          </w:p>
        </w:tc>
        <w:tc>
          <w:tcPr>
            <w:tcW w:w="1236" w:type="dxa"/>
            <w:noWrap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0,5</w:t>
            </w:r>
          </w:p>
        </w:tc>
        <w:tc>
          <w:tcPr>
            <w:tcW w:w="1236" w:type="dxa"/>
            <w:noWrap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0,6</w:t>
            </w:r>
          </w:p>
        </w:tc>
        <w:tc>
          <w:tcPr>
            <w:tcW w:w="1275" w:type="dxa"/>
            <w:noWrap/>
          </w:tcPr>
          <w:p w:rsidR="00E571A1" w:rsidRPr="000C13B2" w:rsidRDefault="00CC6A02" w:rsidP="00E571A1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0,6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Кретање цена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БДП дефлатор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2,4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3,3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3,4</w:t>
            </w:r>
          </w:p>
        </w:tc>
        <w:tc>
          <w:tcPr>
            <w:tcW w:w="1275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3,4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Потрошачке цене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(годишњи просек)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2,1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2,3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3,0</w:t>
            </w:r>
          </w:p>
        </w:tc>
        <w:tc>
          <w:tcPr>
            <w:tcW w:w="1275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3,0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Кретања у спољном сектору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i/>
                <w:i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F84418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Извоз робe</w:t>
            </w:r>
            <w:r w:rsidR="00D71764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(% БДП) </w:t>
            </w:r>
          </w:p>
        </w:tc>
        <w:tc>
          <w:tcPr>
            <w:tcW w:w="1236" w:type="dxa"/>
            <w:noWrap/>
          </w:tcPr>
          <w:p w:rsidR="00D71764" w:rsidRPr="000C13B2" w:rsidRDefault="00175AF9" w:rsidP="0014695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35,7</w:t>
            </w:r>
          </w:p>
        </w:tc>
        <w:tc>
          <w:tcPr>
            <w:tcW w:w="1236" w:type="dxa"/>
            <w:noWrap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37,1</w:t>
            </w:r>
          </w:p>
        </w:tc>
        <w:tc>
          <w:tcPr>
            <w:tcW w:w="1236" w:type="dxa"/>
            <w:noWrap/>
          </w:tcPr>
          <w:p w:rsidR="00D71764" w:rsidRPr="000C13B2" w:rsidRDefault="00175AF9" w:rsidP="0014695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38,9</w:t>
            </w:r>
          </w:p>
        </w:tc>
        <w:tc>
          <w:tcPr>
            <w:tcW w:w="1275" w:type="dxa"/>
            <w:noWrap/>
          </w:tcPr>
          <w:p w:rsidR="00D71764" w:rsidRPr="000C13B2" w:rsidRDefault="00175AF9" w:rsidP="0014695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40,5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F84418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Увоз робe</w:t>
            </w:r>
            <w:r w:rsidR="00D71764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(% БДП)</w:t>
            </w:r>
          </w:p>
        </w:tc>
        <w:tc>
          <w:tcPr>
            <w:tcW w:w="1236" w:type="dxa"/>
            <w:noWrap/>
          </w:tcPr>
          <w:p w:rsidR="00D71764" w:rsidRPr="000C13B2" w:rsidRDefault="00175AF9" w:rsidP="005E326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47,0</w:t>
            </w:r>
          </w:p>
        </w:tc>
        <w:tc>
          <w:tcPr>
            <w:tcW w:w="1236" w:type="dxa"/>
            <w:noWrap/>
          </w:tcPr>
          <w:p w:rsidR="00D71764" w:rsidRPr="000C13B2" w:rsidRDefault="00175AF9" w:rsidP="005E326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48,0</w:t>
            </w:r>
          </w:p>
        </w:tc>
        <w:tc>
          <w:tcPr>
            <w:tcW w:w="1236" w:type="dxa"/>
            <w:noWrap/>
          </w:tcPr>
          <w:p w:rsidR="00D71764" w:rsidRPr="000C13B2" w:rsidRDefault="00175AF9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49,0</w:t>
            </w:r>
          </w:p>
        </w:tc>
        <w:tc>
          <w:tcPr>
            <w:tcW w:w="1275" w:type="dxa"/>
            <w:noWrap/>
          </w:tcPr>
          <w:p w:rsidR="00D71764" w:rsidRPr="000C13B2" w:rsidRDefault="00175AF9" w:rsidP="005E3269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50,2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F84418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bookmarkStart w:id="2" w:name="RANGE!A41"/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Салдо робне размене</w:t>
            </w:r>
            <w:r w:rsidR="00D71764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(% БДП)</w:t>
            </w:r>
            <w:bookmarkEnd w:id="2"/>
          </w:p>
        </w:tc>
        <w:tc>
          <w:tcPr>
            <w:tcW w:w="1236" w:type="dxa"/>
            <w:noWrap/>
          </w:tcPr>
          <w:p w:rsidR="00D71764" w:rsidRPr="000C13B2" w:rsidRDefault="00A150BD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-11,3</w:t>
            </w:r>
          </w:p>
        </w:tc>
        <w:tc>
          <w:tcPr>
            <w:tcW w:w="1236" w:type="dxa"/>
            <w:noWrap/>
          </w:tcPr>
          <w:p w:rsidR="00D71764" w:rsidRPr="000C13B2" w:rsidRDefault="00F84418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</w:t>
            </w:r>
            <w:r w:rsidR="00A150BD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10,9</w:t>
            </w:r>
          </w:p>
        </w:tc>
        <w:tc>
          <w:tcPr>
            <w:tcW w:w="1236" w:type="dxa"/>
            <w:noWrap/>
          </w:tcPr>
          <w:p w:rsidR="00D71764" w:rsidRPr="000C13B2" w:rsidRDefault="00F84418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</w:t>
            </w:r>
            <w:r w:rsidR="00A150BD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10</w:t>
            </w:r>
            <w:r w:rsidR="00A811A0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,1</w:t>
            </w:r>
          </w:p>
        </w:tc>
        <w:tc>
          <w:tcPr>
            <w:tcW w:w="1275" w:type="dxa"/>
            <w:noWrap/>
          </w:tcPr>
          <w:p w:rsidR="00D71764" w:rsidRPr="000C13B2" w:rsidRDefault="00F84418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-9,</w:t>
            </w:r>
            <w:r w:rsidR="00A150BD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6</w:t>
            </w:r>
          </w:p>
        </w:tc>
      </w:tr>
      <w:tr w:rsidR="00D77B88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Салдо текућег рачуна (% БДП)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A150BD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-5,2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D71764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</w:t>
            </w:r>
            <w:r w:rsidR="00A150BD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5,0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D71764" w:rsidP="00A811A0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</w:t>
            </w:r>
            <w:r w:rsidR="00A150BD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4,5</w:t>
            </w:r>
          </w:p>
        </w:tc>
        <w:tc>
          <w:tcPr>
            <w:tcW w:w="1275" w:type="dxa"/>
            <w:noWrap/>
            <w:hideMark/>
          </w:tcPr>
          <w:p w:rsidR="00D71764" w:rsidRPr="000C13B2" w:rsidRDefault="00A150BD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-4,2</w:t>
            </w:r>
          </w:p>
        </w:tc>
      </w:tr>
      <w:tr w:rsidR="00D77B88" w:rsidRPr="00E5548E" w:rsidTr="00CC6A02">
        <w:trPr>
          <w:trHeight w:val="220"/>
        </w:trPr>
        <w:tc>
          <w:tcPr>
            <w:tcW w:w="4140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i/>
                <w:iCs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i/>
                <w:iCs/>
                <w:color w:val="auto"/>
                <w:sz w:val="20"/>
                <w:szCs w:val="20"/>
                <w:lang w:val="sr-Cyrl-RS"/>
              </w:rPr>
              <w:t>Фискални индикатори</w:t>
            </w: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i/>
                <w:iCs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36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noWrap/>
            <w:hideMark/>
          </w:tcPr>
          <w:p w:rsidR="00D71764" w:rsidRPr="000C13B2" w:rsidRDefault="00D71764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FF0000"/>
                <w:sz w:val="20"/>
                <w:szCs w:val="20"/>
                <w:lang w:val="sr-Cyrl-RS"/>
              </w:rPr>
            </w:pPr>
          </w:p>
        </w:tc>
      </w:tr>
      <w:tr w:rsidR="00033F95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71764" w:rsidRPr="000C13B2" w:rsidRDefault="008A4E80" w:rsidP="008A4E80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Фискални резултат</w:t>
            </w:r>
            <w:r w:rsidR="00D71764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опште државе (%</w:t>
            </w:r>
            <w:r w:rsidR="00B8618B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</w:t>
            </w:r>
            <w:r w:rsidR="00D71764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БДП)</w:t>
            </w:r>
          </w:p>
        </w:tc>
        <w:tc>
          <w:tcPr>
            <w:tcW w:w="1236" w:type="dxa"/>
            <w:noWrap/>
          </w:tcPr>
          <w:p w:rsidR="00D71764" w:rsidRPr="000C13B2" w:rsidRDefault="00593061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0,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236" w:type="dxa"/>
            <w:noWrap/>
          </w:tcPr>
          <w:p w:rsidR="00D71764" w:rsidRPr="000C13B2" w:rsidRDefault="00593061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-0,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236" w:type="dxa"/>
            <w:noWrap/>
          </w:tcPr>
          <w:p w:rsidR="00D71764" w:rsidRPr="000C13B2" w:rsidRDefault="00593061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-0,5</w:t>
            </w:r>
          </w:p>
        </w:tc>
        <w:tc>
          <w:tcPr>
            <w:tcW w:w="1275" w:type="dxa"/>
            <w:noWrap/>
          </w:tcPr>
          <w:p w:rsidR="00D71764" w:rsidRPr="000C13B2" w:rsidRDefault="00593061" w:rsidP="00D71764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RS"/>
              </w:rPr>
              <w:t>-0,5</w:t>
            </w:r>
          </w:p>
        </w:tc>
      </w:tr>
      <w:tr w:rsidR="00033F95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E77DA" w:rsidRPr="000C13B2" w:rsidRDefault="00DE77DA" w:rsidP="00DE77DA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Консолидовани приходи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en-US"/>
              </w:rPr>
              <w:t xml:space="preserve"> 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(% БДП)</w:t>
            </w:r>
          </w:p>
        </w:tc>
        <w:tc>
          <w:tcPr>
            <w:tcW w:w="1236" w:type="dxa"/>
            <w:noWrap/>
            <w:vAlign w:val="center"/>
            <w:hideMark/>
          </w:tcPr>
          <w:p w:rsidR="00DE77DA" w:rsidRPr="000C13B2" w:rsidRDefault="008A4E80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1,1</w:t>
            </w:r>
          </w:p>
        </w:tc>
        <w:tc>
          <w:tcPr>
            <w:tcW w:w="1236" w:type="dxa"/>
            <w:noWrap/>
            <w:vAlign w:val="center"/>
          </w:tcPr>
          <w:p w:rsidR="00DE77DA" w:rsidRPr="000C13B2" w:rsidRDefault="00033F95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39,9</w:t>
            </w:r>
          </w:p>
        </w:tc>
        <w:tc>
          <w:tcPr>
            <w:tcW w:w="1236" w:type="dxa"/>
            <w:noWrap/>
            <w:vAlign w:val="center"/>
          </w:tcPr>
          <w:p w:rsidR="00DE77DA" w:rsidRPr="000C13B2" w:rsidRDefault="008A4E80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39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,2</w:t>
            </w:r>
          </w:p>
        </w:tc>
        <w:tc>
          <w:tcPr>
            <w:tcW w:w="1275" w:type="dxa"/>
            <w:noWrap/>
            <w:vAlign w:val="center"/>
          </w:tcPr>
          <w:p w:rsidR="00DE77DA" w:rsidRPr="000C13B2" w:rsidRDefault="008A4E80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8,7</w:t>
            </w:r>
          </w:p>
        </w:tc>
      </w:tr>
      <w:tr w:rsidR="00033F95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E77DA" w:rsidRPr="000C13B2" w:rsidRDefault="00DE77DA" w:rsidP="00DE77DA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Консолидовани расходи (%</w:t>
            </w:r>
            <w:r w:rsidR="00B8618B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БДП)</w:t>
            </w:r>
          </w:p>
        </w:tc>
        <w:tc>
          <w:tcPr>
            <w:tcW w:w="1236" w:type="dxa"/>
            <w:noWrap/>
            <w:vAlign w:val="center"/>
          </w:tcPr>
          <w:p w:rsidR="00DE77DA" w:rsidRPr="000C13B2" w:rsidRDefault="00593061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  <w:t>4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0,6</w:t>
            </w:r>
          </w:p>
        </w:tc>
        <w:tc>
          <w:tcPr>
            <w:tcW w:w="1236" w:type="dxa"/>
            <w:noWrap/>
            <w:vAlign w:val="center"/>
          </w:tcPr>
          <w:p w:rsidR="00DE77DA" w:rsidRPr="000C13B2" w:rsidRDefault="00331321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  <w:t>4</w:t>
            </w:r>
            <w:r w:rsidR="00033F95"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0,4</w:t>
            </w:r>
          </w:p>
        </w:tc>
        <w:tc>
          <w:tcPr>
            <w:tcW w:w="1236" w:type="dxa"/>
            <w:noWrap/>
            <w:vAlign w:val="center"/>
          </w:tcPr>
          <w:p w:rsidR="00DE77DA" w:rsidRPr="000C13B2" w:rsidRDefault="00033F95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39,7</w:t>
            </w:r>
          </w:p>
        </w:tc>
        <w:tc>
          <w:tcPr>
            <w:tcW w:w="1275" w:type="dxa"/>
            <w:noWrap/>
            <w:vAlign w:val="center"/>
          </w:tcPr>
          <w:p w:rsidR="00DE77DA" w:rsidRPr="000C13B2" w:rsidRDefault="00033F95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39,2</w:t>
            </w:r>
          </w:p>
        </w:tc>
      </w:tr>
      <w:tr w:rsidR="00DE77DA" w:rsidRPr="00E5548E" w:rsidTr="00CC6A02">
        <w:trPr>
          <w:trHeight w:val="281"/>
        </w:trPr>
        <w:tc>
          <w:tcPr>
            <w:tcW w:w="4140" w:type="dxa"/>
            <w:noWrap/>
            <w:hideMark/>
          </w:tcPr>
          <w:p w:rsidR="00DE77DA" w:rsidRPr="000C13B2" w:rsidRDefault="00DE77DA" w:rsidP="00DE77DA">
            <w:pPr>
              <w:spacing w:after="0"/>
              <w:ind w:firstLine="0"/>
              <w:jc w:val="left"/>
              <w:rPr>
                <w:rFonts w:ascii="Calibri" w:eastAsia="Calibri" w:hAnsi="Calibri" w:cs="Calibri"/>
                <w:bCs w:val="0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Бруто дуг сектора опште државе (% БДП)</w:t>
            </w:r>
          </w:p>
        </w:tc>
        <w:tc>
          <w:tcPr>
            <w:tcW w:w="1236" w:type="dxa"/>
            <w:noWrap/>
            <w:hideMark/>
          </w:tcPr>
          <w:p w:rsidR="00DE77DA" w:rsidRPr="000C13B2" w:rsidRDefault="00033F95" w:rsidP="00DE77DA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54,4</w:t>
            </w:r>
          </w:p>
        </w:tc>
        <w:tc>
          <w:tcPr>
            <w:tcW w:w="1236" w:type="dxa"/>
            <w:noWrap/>
            <w:hideMark/>
          </w:tcPr>
          <w:p w:rsidR="00DE77DA" w:rsidRPr="000C13B2" w:rsidRDefault="00033F95" w:rsidP="00DE77DA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51,7</w:t>
            </w:r>
          </w:p>
        </w:tc>
        <w:tc>
          <w:tcPr>
            <w:tcW w:w="1236" w:type="dxa"/>
            <w:noWrap/>
            <w:hideMark/>
          </w:tcPr>
          <w:p w:rsidR="00DE77DA" w:rsidRPr="000C13B2" w:rsidRDefault="00033F95" w:rsidP="00033F95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Latn-C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49,3</w:t>
            </w:r>
          </w:p>
        </w:tc>
        <w:tc>
          <w:tcPr>
            <w:tcW w:w="1275" w:type="dxa"/>
            <w:noWrap/>
            <w:hideMark/>
          </w:tcPr>
          <w:p w:rsidR="00DE77DA" w:rsidRPr="000C13B2" w:rsidRDefault="00033F95" w:rsidP="00DE77DA">
            <w:pPr>
              <w:spacing w:after="0"/>
              <w:ind w:firstLine="0"/>
              <w:jc w:val="right"/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</w:pPr>
            <w:r w:rsidRPr="000C13B2">
              <w:rPr>
                <w:rFonts w:ascii="Calibri" w:eastAsia="Calibri" w:hAnsi="Calibri" w:cs="Calibri"/>
                <w:color w:val="auto"/>
                <w:sz w:val="20"/>
                <w:szCs w:val="20"/>
                <w:lang w:val="sr-Cyrl-RS"/>
              </w:rPr>
              <w:t>46,9</w:t>
            </w:r>
          </w:p>
        </w:tc>
      </w:tr>
    </w:tbl>
    <w:p w:rsidR="00FA1436" w:rsidRPr="00033F95" w:rsidRDefault="00FA1436" w:rsidP="007B69FD">
      <w:pPr>
        <w:ind w:firstLine="0"/>
        <w:rPr>
          <w:color w:val="auto"/>
        </w:rPr>
      </w:pPr>
    </w:p>
    <w:sectPr w:rsidR="00FA1436" w:rsidRPr="00033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98"/>
    <w:rsid w:val="00033F95"/>
    <w:rsid w:val="000342FB"/>
    <w:rsid w:val="00056451"/>
    <w:rsid w:val="00060CD5"/>
    <w:rsid w:val="00062C89"/>
    <w:rsid w:val="000C13B2"/>
    <w:rsid w:val="001013A5"/>
    <w:rsid w:val="00146954"/>
    <w:rsid w:val="00155C94"/>
    <w:rsid w:val="00175AF9"/>
    <w:rsid w:val="00190198"/>
    <w:rsid w:val="001B32B9"/>
    <w:rsid w:val="0020071B"/>
    <w:rsid w:val="002841CB"/>
    <w:rsid w:val="002E5962"/>
    <w:rsid w:val="0031303E"/>
    <w:rsid w:val="00331321"/>
    <w:rsid w:val="00370EE7"/>
    <w:rsid w:val="003A1029"/>
    <w:rsid w:val="003D1141"/>
    <w:rsid w:val="00405D56"/>
    <w:rsid w:val="00593061"/>
    <w:rsid w:val="005B34C6"/>
    <w:rsid w:val="005D65D9"/>
    <w:rsid w:val="005E3269"/>
    <w:rsid w:val="005E3F49"/>
    <w:rsid w:val="006A35FD"/>
    <w:rsid w:val="006B1489"/>
    <w:rsid w:val="00726400"/>
    <w:rsid w:val="00756A0F"/>
    <w:rsid w:val="00760B2E"/>
    <w:rsid w:val="007B643F"/>
    <w:rsid w:val="007B69FD"/>
    <w:rsid w:val="007F49EB"/>
    <w:rsid w:val="00800B33"/>
    <w:rsid w:val="0080618F"/>
    <w:rsid w:val="00815A11"/>
    <w:rsid w:val="00862451"/>
    <w:rsid w:val="00883F6D"/>
    <w:rsid w:val="00886A7F"/>
    <w:rsid w:val="008A4E80"/>
    <w:rsid w:val="008D784A"/>
    <w:rsid w:val="00935E31"/>
    <w:rsid w:val="009C7DD5"/>
    <w:rsid w:val="00A150BD"/>
    <w:rsid w:val="00A74260"/>
    <w:rsid w:val="00A811A0"/>
    <w:rsid w:val="00A85249"/>
    <w:rsid w:val="00B80742"/>
    <w:rsid w:val="00B80AEF"/>
    <w:rsid w:val="00B83E9D"/>
    <w:rsid w:val="00B8618B"/>
    <w:rsid w:val="00B91D30"/>
    <w:rsid w:val="00B932A5"/>
    <w:rsid w:val="00BC7AFF"/>
    <w:rsid w:val="00C65C0D"/>
    <w:rsid w:val="00C83849"/>
    <w:rsid w:val="00C8773F"/>
    <w:rsid w:val="00CC6A02"/>
    <w:rsid w:val="00CF44E9"/>
    <w:rsid w:val="00D444BA"/>
    <w:rsid w:val="00D71764"/>
    <w:rsid w:val="00D71E16"/>
    <w:rsid w:val="00D77B88"/>
    <w:rsid w:val="00D95811"/>
    <w:rsid w:val="00DE77DA"/>
    <w:rsid w:val="00E5548E"/>
    <w:rsid w:val="00E571A1"/>
    <w:rsid w:val="00E7082C"/>
    <w:rsid w:val="00EB2065"/>
    <w:rsid w:val="00EF6C04"/>
    <w:rsid w:val="00F276FC"/>
    <w:rsid w:val="00F55F4F"/>
    <w:rsid w:val="00F84418"/>
    <w:rsid w:val="00FA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6FE97"/>
  <w15:docId w15:val="{17288A84-8CC7-4374-8E81-DFD57ED5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  <w:style w:type="table" w:customStyle="1" w:styleId="GridTable6Colorful-Accent61">
    <w:name w:val="Grid Table 6 Colorful - Accent 61"/>
    <w:basedOn w:val="TableNormal"/>
    <w:uiPriority w:val="51"/>
    <w:rsid w:val="00A7426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A7426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Lisica</dc:creator>
  <cp:lastModifiedBy>Ljubinka Stojkovic</cp:lastModifiedBy>
  <cp:revision>4</cp:revision>
  <cp:lastPrinted>2016-11-28T07:12:00Z</cp:lastPrinted>
  <dcterms:created xsi:type="dcterms:W3CDTF">2018-11-15T10:57:00Z</dcterms:created>
  <dcterms:modified xsi:type="dcterms:W3CDTF">2018-11-15T12:42:00Z</dcterms:modified>
</cp:coreProperties>
</file>