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9394E8" w14:textId="07C38023" w:rsidR="00BF6F8B" w:rsidRPr="00B64F63" w:rsidRDefault="00BF6F8B" w:rsidP="00CD625C">
      <w:pPr>
        <w:spacing w:before="240"/>
        <w:ind w:firstLine="720"/>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На основу члана 27в став 1. Закона о буџетском систему (</w:t>
      </w:r>
      <w:r w:rsidR="00B64F63" w:rsidRPr="00B64F63">
        <w:rPr>
          <w:rFonts w:cstheme="minorHAnsi"/>
          <w:bCs/>
          <w:color w:val="44546A" w:themeColor="text2"/>
          <w:sz w:val="20"/>
          <w:szCs w:val="72"/>
          <w:lang w:val="sr-Cyrl-RS"/>
        </w:rPr>
        <w:t>„</w:t>
      </w:r>
      <w:r w:rsidRPr="00A37BCE">
        <w:rPr>
          <w:rFonts w:cstheme="minorHAnsi"/>
          <w:bCs/>
          <w:color w:val="44546A" w:themeColor="text2"/>
          <w:sz w:val="20"/>
          <w:szCs w:val="72"/>
          <w:lang w:val="sr-Cyrl-RS"/>
        </w:rPr>
        <w:t>Службени гласник РС</w:t>
      </w:r>
      <w:bookmarkStart w:id="0" w:name="_Hlk530126325"/>
      <w:r w:rsidRPr="00A37BCE">
        <w:rPr>
          <w:rFonts w:cstheme="minorHAnsi"/>
          <w:bCs/>
          <w:color w:val="44546A" w:themeColor="text2"/>
          <w:sz w:val="20"/>
          <w:szCs w:val="72"/>
          <w:lang w:val="sr-Cyrl-RS"/>
        </w:rPr>
        <w:t>ˮ</w:t>
      </w:r>
      <w:bookmarkEnd w:id="0"/>
      <w:r w:rsidRPr="00A37BCE">
        <w:rPr>
          <w:rFonts w:cstheme="minorHAnsi"/>
          <w:bCs/>
          <w:color w:val="44546A" w:themeColor="text2"/>
          <w:sz w:val="20"/>
          <w:szCs w:val="72"/>
          <w:lang w:val="sr-Cyrl-RS"/>
        </w:rPr>
        <w:t>, бр. 54/09, 73/10, 101/10, 101/11, 93/12, 62/13, 63/13-исправка, 108/13, 142/14, 68/15-др. закон, 103/15, 99/16 и 113/17),</w:t>
      </w:r>
    </w:p>
    <w:p w14:paraId="18D650AC" w14:textId="5F8ED457" w:rsidR="00363ACB" w:rsidRPr="00A37BCE" w:rsidRDefault="001B4899" w:rsidP="00B64F63">
      <w:pPr>
        <w:ind w:firstLine="720"/>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Влада усваја</w:t>
      </w:r>
    </w:p>
    <w:p w14:paraId="3ED02F5B" w14:textId="77777777" w:rsidR="00AF2359" w:rsidRPr="00A37BCE" w:rsidRDefault="00AF2359" w:rsidP="008420D4">
      <w:pPr>
        <w:spacing w:after="0" w:line="240" w:lineRule="auto"/>
        <w:jc w:val="center"/>
        <w:rPr>
          <w:rFonts w:cstheme="minorHAnsi"/>
          <w:b/>
          <w:bCs/>
          <w:color w:val="44546A" w:themeColor="text2"/>
          <w:sz w:val="26"/>
          <w:szCs w:val="26"/>
          <w:lang w:val="sr-Cyrl-RS"/>
        </w:rPr>
      </w:pPr>
      <w:r w:rsidRPr="00A37BCE">
        <w:rPr>
          <w:rFonts w:cstheme="minorHAnsi"/>
          <w:b/>
          <w:bCs/>
          <w:color w:val="44546A" w:themeColor="text2"/>
          <w:sz w:val="26"/>
          <w:szCs w:val="26"/>
          <w:lang w:val="sr-Cyrl-RS"/>
        </w:rPr>
        <w:t>ФИСКАЛНУ СТРАТЕГИЈУ</w:t>
      </w:r>
    </w:p>
    <w:p w14:paraId="2F8D780F" w14:textId="3D88218B" w:rsidR="00AF2359" w:rsidRPr="00A37BCE" w:rsidRDefault="00AF2359" w:rsidP="008420D4">
      <w:pPr>
        <w:spacing w:after="0" w:line="240" w:lineRule="auto"/>
        <w:jc w:val="center"/>
        <w:rPr>
          <w:rFonts w:cstheme="minorHAnsi"/>
          <w:b/>
          <w:bCs/>
          <w:color w:val="44546A" w:themeColor="text2"/>
          <w:sz w:val="26"/>
          <w:szCs w:val="26"/>
          <w:lang w:val="sr-Cyrl-RS"/>
        </w:rPr>
      </w:pPr>
      <w:r w:rsidRPr="00A37BCE">
        <w:rPr>
          <w:rFonts w:cstheme="minorHAnsi"/>
          <w:b/>
          <w:bCs/>
          <w:color w:val="44546A" w:themeColor="text2"/>
          <w:sz w:val="26"/>
          <w:szCs w:val="26"/>
          <w:lang w:val="sr-Cyrl-RS"/>
        </w:rPr>
        <w:t>ЗА 201</w:t>
      </w:r>
      <w:r w:rsidR="008420D4" w:rsidRPr="00A37BCE">
        <w:rPr>
          <w:rFonts w:cstheme="minorHAnsi"/>
          <w:b/>
          <w:bCs/>
          <w:color w:val="44546A" w:themeColor="text2"/>
          <w:sz w:val="26"/>
          <w:szCs w:val="26"/>
          <w:lang w:val="sr-Cyrl-RS"/>
        </w:rPr>
        <w:t>9</w:t>
      </w:r>
      <w:r w:rsidRPr="00A37BCE">
        <w:rPr>
          <w:rFonts w:cstheme="minorHAnsi"/>
          <w:b/>
          <w:bCs/>
          <w:color w:val="44546A" w:themeColor="text2"/>
          <w:sz w:val="26"/>
          <w:szCs w:val="26"/>
          <w:lang w:val="sr-Cyrl-RS"/>
        </w:rPr>
        <w:t>. ГОДИНУ СА ПРОЈЕКЦИЈАМА ЗА 20</w:t>
      </w:r>
      <w:r w:rsidR="008420D4" w:rsidRPr="00A37BCE">
        <w:rPr>
          <w:rFonts w:cstheme="minorHAnsi"/>
          <w:b/>
          <w:bCs/>
          <w:color w:val="44546A" w:themeColor="text2"/>
          <w:sz w:val="26"/>
          <w:szCs w:val="26"/>
          <w:lang w:val="sr-Cyrl-RS"/>
        </w:rPr>
        <w:t>20</w:t>
      </w:r>
      <w:r w:rsidRPr="00A37BCE">
        <w:rPr>
          <w:rFonts w:cstheme="minorHAnsi"/>
          <w:b/>
          <w:bCs/>
          <w:color w:val="44546A" w:themeColor="text2"/>
          <w:sz w:val="26"/>
          <w:szCs w:val="26"/>
          <w:lang w:val="sr-Cyrl-RS"/>
        </w:rPr>
        <w:t>. И 202</w:t>
      </w:r>
      <w:r w:rsidR="008420D4" w:rsidRPr="00A37BCE">
        <w:rPr>
          <w:rFonts w:cstheme="minorHAnsi"/>
          <w:b/>
          <w:bCs/>
          <w:color w:val="44546A" w:themeColor="text2"/>
          <w:sz w:val="26"/>
          <w:szCs w:val="26"/>
          <w:lang w:val="sr-Cyrl-RS"/>
        </w:rPr>
        <w:t>1</w:t>
      </w:r>
      <w:r w:rsidRPr="00A37BCE">
        <w:rPr>
          <w:rFonts w:cstheme="minorHAnsi"/>
          <w:b/>
          <w:bCs/>
          <w:color w:val="44546A" w:themeColor="text2"/>
          <w:sz w:val="26"/>
          <w:szCs w:val="26"/>
          <w:lang w:val="sr-Cyrl-RS"/>
        </w:rPr>
        <w:t>. ГОДИНУ</w:t>
      </w:r>
    </w:p>
    <w:p w14:paraId="2A7BA485" w14:textId="77777777" w:rsidR="008420D4" w:rsidRPr="00A37BCE" w:rsidRDefault="008420D4" w:rsidP="008420D4">
      <w:pPr>
        <w:spacing w:after="0" w:line="240" w:lineRule="auto"/>
        <w:jc w:val="center"/>
        <w:rPr>
          <w:rFonts w:cstheme="minorHAnsi"/>
          <w:b/>
          <w:bCs/>
          <w:color w:val="3B3838" w:themeColor="background2" w:themeShade="40"/>
          <w:sz w:val="24"/>
          <w:szCs w:val="72"/>
          <w:lang w:val="sr-Cyrl-RS"/>
        </w:rPr>
      </w:pPr>
    </w:p>
    <w:p w14:paraId="5EA51ECB" w14:textId="22BFF5F3" w:rsidR="002C5CC6" w:rsidRPr="00A37BCE" w:rsidRDefault="00AF2359" w:rsidP="00D20C27">
      <w:pPr>
        <w:pStyle w:val="Heading1"/>
        <w:jc w:val="center"/>
        <w:rPr>
          <w:rFonts w:asciiTheme="minorHAnsi" w:hAnsiTheme="minorHAnsi" w:cstheme="minorHAnsi"/>
          <w:b/>
          <w:sz w:val="26"/>
          <w:szCs w:val="26"/>
          <w:lang w:val="sr-Cyrl-RS"/>
        </w:rPr>
      </w:pPr>
      <w:bookmarkStart w:id="1" w:name="_Toc530041991"/>
      <w:r w:rsidRPr="00A37BCE">
        <w:rPr>
          <w:rFonts w:asciiTheme="minorHAnsi" w:hAnsiTheme="minorHAnsi" w:cstheme="minorHAnsi"/>
          <w:b/>
          <w:sz w:val="26"/>
          <w:szCs w:val="26"/>
          <w:lang w:val="sr-Cyrl-RS"/>
        </w:rPr>
        <w:t>I. МАКРОЕКОНОМСКИ ОКВИР ЗА ПЕРИОД ОД 2019. ДО 2021. ГОДИНЕ</w:t>
      </w:r>
      <w:bookmarkEnd w:id="1"/>
    </w:p>
    <w:p w14:paraId="394B3F0C" w14:textId="16BE8C0C" w:rsidR="00AF2359" w:rsidRPr="00A37BCE" w:rsidRDefault="00AF2359" w:rsidP="00D20C27">
      <w:pPr>
        <w:jc w:val="center"/>
        <w:rPr>
          <w:rFonts w:cstheme="minorHAnsi"/>
          <w:sz w:val="18"/>
          <w:lang w:val="sr-Cyrl-RS"/>
        </w:rPr>
      </w:pPr>
    </w:p>
    <w:p w14:paraId="270F7649" w14:textId="0EBEB162" w:rsidR="00AF2359" w:rsidRPr="00A37BCE" w:rsidRDefault="00AF2359" w:rsidP="00D20C27">
      <w:pPr>
        <w:pStyle w:val="Heading2"/>
        <w:jc w:val="center"/>
        <w:rPr>
          <w:rFonts w:asciiTheme="minorHAnsi" w:hAnsiTheme="minorHAnsi" w:cstheme="minorHAnsi"/>
          <w:b/>
          <w:sz w:val="24"/>
          <w:lang w:val="sr-Cyrl-RS"/>
        </w:rPr>
      </w:pPr>
      <w:bookmarkStart w:id="2" w:name="_Toc530041992"/>
      <w:r w:rsidRPr="00A37BCE">
        <w:rPr>
          <w:rFonts w:asciiTheme="minorHAnsi" w:hAnsiTheme="minorHAnsi" w:cstheme="minorHAnsi"/>
          <w:b/>
          <w:sz w:val="22"/>
          <w:lang w:val="sr-Cyrl-RS"/>
        </w:rPr>
        <w:t xml:space="preserve">1. </w:t>
      </w:r>
      <w:r w:rsidRPr="00A37BCE">
        <w:rPr>
          <w:rFonts w:asciiTheme="minorHAnsi" w:hAnsiTheme="minorHAnsi" w:cstheme="minorHAnsi"/>
          <w:b/>
          <w:sz w:val="24"/>
          <w:lang w:val="sr-Cyrl-RS"/>
        </w:rPr>
        <w:t>Општи оквир и главни циљеви и смернице економске политике</w:t>
      </w:r>
      <w:bookmarkEnd w:id="2"/>
    </w:p>
    <w:p w14:paraId="44A7AD61" w14:textId="6FB34597" w:rsidR="00AF2359" w:rsidRPr="00A37BCE" w:rsidRDefault="00AF2359" w:rsidP="00AF2359">
      <w:pPr>
        <w:rPr>
          <w:rFonts w:cstheme="minorHAnsi"/>
          <w:sz w:val="18"/>
          <w:lang w:val="sr-Cyrl-RS"/>
        </w:rPr>
      </w:pPr>
    </w:p>
    <w:p w14:paraId="6031B9B0" w14:textId="77777777" w:rsidR="00AF2359" w:rsidRPr="00A37BCE" w:rsidRDefault="00AF2359" w:rsidP="00AF2359">
      <w:pPr>
        <w:jc w:val="both"/>
        <w:rPr>
          <w:rFonts w:cstheme="minorHAnsi"/>
          <w:sz w:val="20"/>
          <w:lang w:val="sr-Cyrl-RS"/>
        </w:rPr>
        <w:sectPr w:rsidR="00AF2359" w:rsidRPr="00A37BCE" w:rsidSect="00D20C27">
          <w:headerReference w:type="default" r:id="rId8"/>
          <w:footerReference w:type="even" r:id="rId9"/>
          <w:footerReference w:type="default" r:id="rId10"/>
          <w:pgSz w:w="12240" w:h="15840"/>
          <w:pgMar w:top="1440" w:right="1440" w:bottom="1440" w:left="1440" w:header="720" w:footer="720" w:gutter="0"/>
          <w:pgNumType w:start="0"/>
          <w:cols w:space="720"/>
          <w:titlePg/>
          <w:docGrid w:linePitch="360"/>
        </w:sectPr>
      </w:pPr>
    </w:p>
    <w:p w14:paraId="199EB8DD" w14:textId="1FAEBE39" w:rsidR="008B1F84" w:rsidRPr="00A37BCE" w:rsidRDefault="008B1F84" w:rsidP="008B1F84">
      <w:pPr>
        <w:jc w:val="both"/>
        <w:rPr>
          <w:rFonts w:cstheme="minorHAnsi"/>
          <w:color w:val="4472C4" w:themeColor="accent1"/>
          <w:sz w:val="20"/>
          <w:lang w:val="sr-Cyrl-RS"/>
        </w:rPr>
      </w:pPr>
      <w:r w:rsidRPr="00A37BCE">
        <w:rPr>
          <w:rFonts w:cstheme="minorHAnsi"/>
          <w:color w:val="4472C4" w:themeColor="accent1"/>
          <w:sz w:val="20"/>
          <w:lang w:val="sr-Cyrl-RS"/>
        </w:rPr>
        <w:lastRenderedPageBreak/>
        <w:t xml:space="preserve">Комплексним сетом адекватно одмерених, правовремено спроведених и међусобно синхронизованих макроекономских мера заустављен је </w:t>
      </w:r>
      <w:r w:rsidRPr="0022672A">
        <w:rPr>
          <w:rFonts w:cstheme="minorHAnsi"/>
          <w:color w:val="4472C4" w:themeColor="accent1"/>
          <w:sz w:val="20"/>
          <w:lang w:val="sr-Cyrl-RS"/>
        </w:rPr>
        <w:t>circulus vitiosus</w:t>
      </w:r>
      <w:r w:rsidRPr="00A37BCE">
        <w:rPr>
          <w:rFonts w:cstheme="minorHAnsi"/>
          <w:color w:val="4472C4" w:themeColor="accent1"/>
          <w:sz w:val="20"/>
          <w:lang w:val="sr-Cyrl-RS"/>
        </w:rPr>
        <w:t xml:space="preserve"> у ком се српска привреда нашла почетком текуће деценије. Близаначки дефицит, претећи висок јавни дуг, незапосл</w:t>
      </w:r>
      <w:r w:rsidR="00BC1484" w:rsidRPr="00A37BCE">
        <w:rPr>
          <w:rFonts w:cstheme="minorHAnsi"/>
          <w:color w:val="4472C4" w:themeColor="accent1"/>
          <w:sz w:val="20"/>
          <w:lang w:val="sr-Cyrl-RS"/>
        </w:rPr>
        <w:t xml:space="preserve">еност међу највећим у Европи и </w:t>
      </w:r>
      <w:r w:rsidRPr="00A37BCE">
        <w:rPr>
          <w:rFonts w:cstheme="minorHAnsi"/>
          <w:color w:val="4472C4" w:themeColor="accent1"/>
          <w:sz w:val="20"/>
          <w:lang w:val="sr-Cyrl-RS"/>
        </w:rPr>
        <w:t>двоцифрена инфлација били су изазови који су у релативно кратком року успешно апсорбовани. Након достигнуте фискалне стабилности и успостављањем динамичних стопа привредног раста, Влада</w:t>
      </w:r>
      <w:r w:rsidR="00B64F63">
        <w:rPr>
          <w:rFonts w:cstheme="minorHAnsi"/>
          <w:color w:val="4472C4" w:themeColor="accent1"/>
          <w:sz w:val="20"/>
          <w:lang w:val="sr-Latn-RS"/>
        </w:rPr>
        <w:t xml:space="preserve"> </w:t>
      </w:r>
      <w:r w:rsidRPr="00A37BCE">
        <w:rPr>
          <w:rFonts w:cstheme="minorHAnsi"/>
          <w:color w:val="4472C4" w:themeColor="accent1"/>
          <w:sz w:val="20"/>
          <w:lang w:val="sr-Cyrl-RS"/>
        </w:rPr>
        <w:t>је фокусирана на интензивирање започетих системских реформи, како би се обезбедило структурно уравнотежење привреде. Овим актив</w:t>
      </w:r>
      <w:r w:rsidR="00A37BCE">
        <w:rPr>
          <w:rFonts w:cstheme="minorHAnsi"/>
          <w:color w:val="4472C4" w:themeColor="accent1"/>
          <w:sz w:val="20"/>
          <w:lang w:val="sr-Cyrl-RS"/>
        </w:rPr>
        <w:t>ностима ће функционални недоста</w:t>
      </w:r>
      <w:r w:rsidRPr="00A37BCE">
        <w:rPr>
          <w:rFonts w:cstheme="minorHAnsi"/>
          <w:color w:val="4472C4" w:themeColor="accent1"/>
          <w:sz w:val="20"/>
          <w:lang w:val="sr-Cyrl-RS"/>
        </w:rPr>
        <w:t>ци и ограничења бити неутралисани, а расположиви ресурси и капацитети ефикасније ангажовани, што ће убрзати конвергенцију ка развијеним државама и у крајњој инстанци обезбедити виши животни стандард становништ</w:t>
      </w:r>
      <w:r w:rsidR="009D3C98">
        <w:rPr>
          <w:rFonts w:cstheme="minorHAnsi"/>
          <w:color w:val="4472C4" w:themeColor="accent1"/>
          <w:sz w:val="20"/>
          <w:lang w:val="sr-Cyrl-RS"/>
        </w:rPr>
        <w:t>ва.</w:t>
      </w:r>
    </w:p>
    <w:p w14:paraId="7926B419" w14:textId="38789409" w:rsidR="008B1F84" w:rsidRPr="00A37BCE" w:rsidRDefault="008B1F84" w:rsidP="008B1F84">
      <w:pPr>
        <w:jc w:val="both"/>
        <w:rPr>
          <w:rFonts w:cstheme="minorHAnsi"/>
          <w:color w:val="4472C4" w:themeColor="accent1"/>
          <w:sz w:val="20"/>
          <w:lang w:val="sr-Cyrl-RS"/>
        </w:rPr>
      </w:pPr>
      <w:r w:rsidRPr="00A37BCE">
        <w:rPr>
          <w:rFonts w:cstheme="minorHAnsi"/>
          <w:color w:val="4472C4" w:themeColor="accent1"/>
          <w:sz w:val="20"/>
          <w:lang w:val="sr-Cyrl-RS"/>
        </w:rPr>
        <w:t>Средњорочни макроекономски оквир креиран је у складу са напорима очувања до сада остварених резултата уз конкретне стимулансе инвестиционим активностима. Континуирани раст прилива страних директних инвестиција (у даљем тексту: СДИ) и значајно повећана ефикасност спровођења јавних инфраструктурних пројеката биће у наредном периоду праћен снажнијим домаћим ин</w:t>
      </w:r>
      <w:r w:rsidR="00BB1E30" w:rsidRPr="00A37BCE">
        <w:rPr>
          <w:rFonts w:cstheme="minorHAnsi"/>
          <w:color w:val="4472C4" w:themeColor="accent1"/>
          <w:sz w:val="20"/>
          <w:lang w:val="sr-Cyrl-RS"/>
        </w:rPr>
        <w:t>в</w:t>
      </w:r>
      <w:r w:rsidR="00A37BCE">
        <w:rPr>
          <w:rFonts w:cstheme="minorHAnsi"/>
          <w:color w:val="4472C4" w:themeColor="accent1"/>
          <w:sz w:val="20"/>
          <w:lang w:val="sr-Cyrl-RS"/>
        </w:rPr>
        <w:t>е</w:t>
      </w:r>
      <w:r w:rsidRPr="00A37BCE">
        <w:rPr>
          <w:rFonts w:cstheme="minorHAnsi"/>
          <w:color w:val="4472C4" w:themeColor="accent1"/>
          <w:sz w:val="20"/>
          <w:lang w:val="sr-Cyrl-RS"/>
        </w:rPr>
        <w:t>стицијама, пре свега из сегм</w:t>
      </w:r>
      <w:r w:rsidR="00BB1E30">
        <w:rPr>
          <w:rFonts w:cstheme="minorHAnsi"/>
          <w:color w:val="4472C4" w:themeColor="accent1"/>
          <w:sz w:val="20"/>
          <w:lang w:val="sr-Cyrl-RS"/>
        </w:rPr>
        <w:t>ента малих и средњих предузећа.</w:t>
      </w:r>
    </w:p>
    <w:p w14:paraId="5CD81DAA" w14:textId="5B4487D3" w:rsidR="008B1F84" w:rsidRPr="00A37BCE" w:rsidRDefault="008B1F84" w:rsidP="008B1F84">
      <w:pPr>
        <w:jc w:val="both"/>
        <w:rPr>
          <w:rFonts w:cstheme="minorHAnsi"/>
          <w:color w:val="4472C4" w:themeColor="accent1"/>
          <w:sz w:val="20"/>
          <w:lang w:val="sr-Cyrl-RS"/>
        </w:rPr>
      </w:pPr>
      <w:r w:rsidRPr="00A37BCE">
        <w:rPr>
          <w:rFonts w:cstheme="minorHAnsi"/>
          <w:color w:val="4472C4" w:themeColor="accent1"/>
          <w:sz w:val="20"/>
          <w:lang w:val="sr-Cyrl-RS"/>
        </w:rPr>
        <w:t xml:space="preserve">У светлу четврте индустријске револуције, поред конкретних реформских процеса, дигитализација </w:t>
      </w:r>
      <w:r w:rsidRPr="00A37BCE">
        <w:rPr>
          <w:rFonts w:cstheme="minorHAnsi"/>
          <w:color w:val="4472C4" w:themeColor="accent1"/>
          <w:sz w:val="20"/>
          <w:lang w:val="sr-Cyrl-RS"/>
        </w:rPr>
        <w:lastRenderedPageBreak/>
        <w:t>и иновативна активност су препознати као важни алати за усклађивање структуре привреде са потребама друштва и савременим цивилизацијским токовима. У складу са тим дефинисане су и предузете јасне мере, које имају за циљ убрзање процеса дигитализације и афир</w:t>
      </w:r>
      <w:r w:rsidR="00D82D2A">
        <w:rPr>
          <w:rFonts w:cstheme="minorHAnsi"/>
          <w:color w:val="4472C4" w:themeColor="accent1"/>
          <w:sz w:val="20"/>
          <w:lang w:val="sr-Cyrl-RS"/>
        </w:rPr>
        <w:t>мацију иновативних иницијатива.</w:t>
      </w:r>
    </w:p>
    <w:p w14:paraId="43FC3AAC" w14:textId="37971D9D" w:rsidR="008B1F84" w:rsidRPr="00A37BCE" w:rsidRDefault="008B1F84" w:rsidP="008B1F84">
      <w:pPr>
        <w:jc w:val="both"/>
        <w:rPr>
          <w:rFonts w:cstheme="minorHAnsi"/>
          <w:color w:val="4472C4" w:themeColor="accent1"/>
          <w:sz w:val="20"/>
          <w:lang w:val="sr-Cyrl-RS"/>
        </w:rPr>
      </w:pPr>
      <w:r w:rsidRPr="00A37BCE">
        <w:rPr>
          <w:rFonts w:cstheme="minorHAnsi"/>
          <w:color w:val="4472C4" w:themeColor="accent1"/>
          <w:sz w:val="20"/>
          <w:lang w:val="sr-Cyrl-RS"/>
        </w:rPr>
        <w:t>Социјалне неједнакости су идентификоване као важан ограничавајући фактор економском расту али и свеукупном друштвеном напретку. Реформа образовног система, регионална дисперзија СДИ, подстицаји запошљавању младих</w:t>
      </w:r>
      <w:r w:rsidR="00990EF6" w:rsidRPr="00A37BCE">
        <w:rPr>
          <w:rFonts w:cstheme="minorHAnsi"/>
          <w:color w:val="4472C4" w:themeColor="accent1"/>
          <w:sz w:val="20"/>
          <w:lang w:val="sr-Cyrl-RS"/>
        </w:rPr>
        <w:t>,</w:t>
      </w:r>
      <w:r w:rsidRPr="00A37BCE">
        <w:rPr>
          <w:rFonts w:cstheme="minorHAnsi"/>
          <w:color w:val="4472C4" w:themeColor="accent1"/>
          <w:sz w:val="20"/>
          <w:lang w:val="sr-Cyrl-RS"/>
        </w:rPr>
        <w:t xml:space="preserve"> као и рањивих категорија друштва, подршка социјално</w:t>
      </w:r>
      <w:r w:rsidR="000D408C">
        <w:rPr>
          <w:rFonts w:cstheme="minorHAnsi"/>
          <w:color w:val="4472C4" w:themeColor="accent1"/>
          <w:sz w:val="20"/>
          <w:lang w:val="sr-Cyrl-RS"/>
        </w:rPr>
        <w:t>м предузетништву, родно одго</w:t>
      </w:r>
      <w:r w:rsidRPr="00A37BCE">
        <w:rPr>
          <w:rFonts w:cstheme="minorHAnsi"/>
          <w:color w:val="4472C4" w:themeColor="accent1"/>
          <w:sz w:val="20"/>
          <w:lang w:val="sr-Cyrl-RS"/>
        </w:rPr>
        <w:t>в</w:t>
      </w:r>
      <w:r w:rsidR="00842EE5">
        <w:rPr>
          <w:rFonts w:cstheme="minorHAnsi"/>
          <w:color w:val="4472C4" w:themeColor="accent1"/>
          <w:sz w:val="20"/>
          <w:lang w:val="sr-Cyrl-RS"/>
        </w:rPr>
        <w:t>ор</w:t>
      </w:r>
      <w:r w:rsidRPr="00A37BCE">
        <w:rPr>
          <w:rFonts w:cstheme="minorHAnsi"/>
          <w:color w:val="4472C4" w:themeColor="accent1"/>
          <w:sz w:val="20"/>
          <w:lang w:val="sr-Cyrl-RS"/>
        </w:rPr>
        <w:t>но буџетирање и поновно подизање минималне цене рада само су неке од мера које треба да обезбеде инклузиван и у социјалном погледу правично дистрибуиран раст, који ће кроз успостављен амбијент друштвене кохезије резултирати смањењем сиромаштва.</w:t>
      </w:r>
    </w:p>
    <w:p w14:paraId="69F6E2E3" w14:textId="755AF949" w:rsidR="008B1F84" w:rsidRPr="00A37BCE" w:rsidRDefault="008B1F84" w:rsidP="008B1F84">
      <w:pPr>
        <w:jc w:val="both"/>
        <w:rPr>
          <w:rFonts w:cstheme="minorHAnsi"/>
          <w:color w:val="4472C4" w:themeColor="accent1"/>
          <w:sz w:val="20"/>
          <w:lang w:val="sr-Cyrl-RS"/>
        </w:rPr>
      </w:pPr>
      <w:r w:rsidRPr="00A37BCE">
        <w:rPr>
          <w:rFonts w:cstheme="minorHAnsi"/>
          <w:color w:val="4472C4" w:themeColor="accent1"/>
          <w:sz w:val="20"/>
          <w:lang w:val="sr-Cyrl-RS"/>
        </w:rPr>
        <w:t>Република Србија је у фебруару 2018. године успешно окончала</w:t>
      </w:r>
      <w:r w:rsidR="00FA6649" w:rsidRPr="00A37BCE">
        <w:rPr>
          <w:rFonts w:cstheme="minorHAnsi"/>
          <w:color w:val="4472C4" w:themeColor="accent1"/>
          <w:sz w:val="20"/>
          <w:lang w:val="sr-Cyrl-RS"/>
        </w:rPr>
        <w:t xml:space="preserve"> програм фискалне консолидације који је био окосница трогодишњег</w:t>
      </w:r>
      <w:r w:rsidRPr="00A37BCE">
        <w:rPr>
          <w:rFonts w:cstheme="minorHAnsi"/>
          <w:color w:val="4472C4" w:themeColor="accent1"/>
          <w:sz w:val="20"/>
          <w:lang w:val="sr-Cyrl-RS"/>
        </w:rPr>
        <w:t xml:space="preserve"> аранжман</w:t>
      </w:r>
      <w:r w:rsidR="00FA6649" w:rsidRPr="00A37BCE">
        <w:rPr>
          <w:rFonts w:cstheme="minorHAnsi"/>
          <w:color w:val="4472C4" w:themeColor="accent1"/>
          <w:sz w:val="20"/>
          <w:lang w:val="sr-Cyrl-RS"/>
        </w:rPr>
        <w:t>а</w:t>
      </w:r>
      <w:r w:rsidRPr="00A37BCE">
        <w:rPr>
          <w:rFonts w:cstheme="minorHAnsi"/>
          <w:color w:val="4472C4" w:themeColor="accent1"/>
          <w:sz w:val="20"/>
          <w:lang w:val="sr-Cyrl-RS"/>
        </w:rPr>
        <w:t xml:space="preserve"> из предострожности са ММФ. Циљеви који су били постављени, успешним спровођењем економског програма, достигнути су пре рокова. Нови економски програм и реформски напори Владе биће подржани Инструментом за координацију политике ММФ, под којим се подр</w:t>
      </w:r>
      <w:r w:rsidR="00A37BCE">
        <w:rPr>
          <w:rFonts w:cstheme="minorHAnsi"/>
          <w:color w:val="4472C4" w:themeColor="accent1"/>
          <w:sz w:val="20"/>
          <w:lang w:val="sr-Cyrl-RS"/>
        </w:rPr>
        <w:t>а</w:t>
      </w:r>
      <w:r w:rsidRPr="00A37BCE">
        <w:rPr>
          <w:rFonts w:cstheme="minorHAnsi"/>
          <w:color w:val="4472C4" w:themeColor="accent1"/>
          <w:sz w:val="20"/>
          <w:lang w:val="sr-Cyrl-RS"/>
        </w:rPr>
        <w:t xml:space="preserve">зумева саветодавна улога ове институције у периоду од 30 месеци, без финансијске подршке, </w:t>
      </w:r>
      <w:r w:rsidRPr="00A37BCE">
        <w:rPr>
          <w:rFonts w:cstheme="minorHAnsi"/>
          <w:color w:val="4472C4" w:themeColor="accent1"/>
          <w:sz w:val="20"/>
          <w:lang w:val="sr-Cyrl-RS"/>
        </w:rPr>
        <w:lastRenderedPageBreak/>
        <w:t>будући да су достигнута фискална унапређења трајног карактера.</w:t>
      </w:r>
    </w:p>
    <w:p w14:paraId="3F6B2064" w14:textId="00C412CD" w:rsidR="008B1F84" w:rsidRPr="00A37BCE" w:rsidRDefault="008B1F84" w:rsidP="008B1F84">
      <w:pPr>
        <w:jc w:val="both"/>
        <w:rPr>
          <w:rFonts w:cstheme="minorHAnsi"/>
          <w:color w:val="4472C4" w:themeColor="accent1"/>
          <w:sz w:val="20"/>
          <w:lang w:val="sr-Cyrl-RS"/>
        </w:rPr>
      </w:pPr>
      <w:r w:rsidRPr="00A37BCE">
        <w:rPr>
          <w:rFonts w:cstheme="minorHAnsi"/>
          <w:color w:val="4472C4" w:themeColor="accent1"/>
          <w:sz w:val="20"/>
          <w:lang w:val="sr-Cyrl-RS"/>
        </w:rPr>
        <w:t>Управо је трајним карактером фискалних унапређења омогућено укидање Закона о привременом умањењу пензија, повећање зарада у јавном сектору али пре свега значајно повећање средстава нам</w:t>
      </w:r>
      <w:r w:rsidR="009D3C98">
        <w:rPr>
          <w:rFonts w:cstheme="minorHAnsi"/>
          <w:color w:val="4472C4" w:themeColor="accent1"/>
          <w:sz w:val="20"/>
          <w:lang w:val="sr-Cyrl-RS"/>
        </w:rPr>
        <w:t>ењених инвестиционим улагањима.</w:t>
      </w:r>
    </w:p>
    <w:p w14:paraId="0BC674D2" w14:textId="1608B66B" w:rsidR="008B1F84" w:rsidRPr="00A37BCE" w:rsidRDefault="008B1F84" w:rsidP="008B1F84">
      <w:pPr>
        <w:jc w:val="both"/>
        <w:rPr>
          <w:rFonts w:cstheme="minorHAnsi"/>
          <w:color w:val="4472C4" w:themeColor="accent1"/>
          <w:sz w:val="20"/>
          <w:lang w:val="sr-Cyrl-RS"/>
        </w:rPr>
      </w:pPr>
      <w:r w:rsidRPr="00A37BCE">
        <w:rPr>
          <w:rFonts w:cstheme="minorHAnsi"/>
          <w:color w:val="4472C4" w:themeColor="accent1"/>
          <w:sz w:val="20"/>
          <w:lang w:val="sr-Cyrl-RS"/>
        </w:rPr>
        <w:t>Растерећење привреде започето је конкретним мерама: подизањем неопорезивог дела зарада, умањењем стопе доприноса и променом начина обрачуна пореске амортизације. Ове интенције биће настављене сетом нових мера, међу ко</w:t>
      </w:r>
      <w:r w:rsidR="00A37BCE">
        <w:rPr>
          <w:rFonts w:cstheme="minorHAnsi"/>
          <w:color w:val="4472C4" w:themeColor="accent1"/>
          <w:sz w:val="20"/>
          <w:lang w:val="sr-Cyrl-RS"/>
        </w:rPr>
        <w:t>јима је и усвајање Закона о нак</w:t>
      </w:r>
      <w:r w:rsidRPr="00A37BCE">
        <w:rPr>
          <w:rFonts w:cstheme="minorHAnsi"/>
          <w:color w:val="4472C4" w:themeColor="accent1"/>
          <w:sz w:val="20"/>
          <w:lang w:val="sr-Cyrl-RS"/>
        </w:rPr>
        <w:t xml:space="preserve">надама за коришћење јавних добара, чиме ће бити обезбеђена </w:t>
      </w:r>
      <w:r w:rsidR="00A37BCE" w:rsidRPr="00A37BCE">
        <w:rPr>
          <w:rFonts w:cstheme="minorHAnsi"/>
          <w:color w:val="4472C4" w:themeColor="accent1"/>
          <w:sz w:val="20"/>
          <w:lang w:val="sr-Cyrl-RS"/>
        </w:rPr>
        <w:t>транспарентност</w:t>
      </w:r>
      <w:r w:rsidRPr="00A37BCE">
        <w:rPr>
          <w:rFonts w:cstheme="minorHAnsi"/>
          <w:color w:val="4472C4" w:themeColor="accent1"/>
          <w:sz w:val="20"/>
          <w:lang w:val="sr-Cyrl-RS"/>
        </w:rPr>
        <w:t xml:space="preserve">, предвидивост и релативно нижи ниво </w:t>
      </w:r>
      <w:r w:rsidR="00A37BCE" w:rsidRPr="00A37BCE">
        <w:rPr>
          <w:rFonts w:cstheme="minorHAnsi"/>
          <w:color w:val="4472C4" w:themeColor="accent1"/>
          <w:sz w:val="20"/>
          <w:lang w:val="sr-Cyrl-RS"/>
        </w:rPr>
        <w:t>парафискалних</w:t>
      </w:r>
      <w:r w:rsidRPr="00A37BCE">
        <w:rPr>
          <w:rFonts w:cstheme="minorHAnsi"/>
          <w:color w:val="4472C4" w:themeColor="accent1"/>
          <w:sz w:val="20"/>
          <w:lang w:val="sr-Cyrl-RS"/>
        </w:rPr>
        <w:t xml:space="preserve"> трошкова привреде. Поред тога, реформа Управе царина и Пореске управе ће подржати процес растерећења привредних </w:t>
      </w:r>
      <w:r w:rsidRPr="00A37BCE">
        <w:rPr>
          <w:rFonts w:cstheme="minorHAnsi"/>
          <w:color w:val="4472C4" w:themeColor="accent1"/>
          <w:sz w:val="20"/>
          <w:lang w:val="sr-Cyrl-RS"/>
        </w:rPr>
        <w:lastRenderedPageBreak/>
        <w:t>субјеката, али и обезбедити ефикасније сузбијање сиве економије.</w:t>
      </w:r>
    </w:p>
    <w:p w14:paraId="5A06A19A" w14:textId="70F3B5C6" w:rsidR="008B1F84" w:rsidRPr="00A37BCE" w:rsidRDefault="008B1F84" w:rsidP="008B1F84">
      <w:pPr>
        <w:jc w:val="both"/>
        <w:rPr>
          <w:rFonts w:cstheme="minorHAnsi"/>
          <w:color w:val="4472C4" w:themeColor="accent1"/>
          <w:sz w:val="20"/>
          <w:lang w:val="sr-Cyrl-RS"/>
        </w:rPr>
      </w:pPr>
      <w:r w:rsidRPr="00A37BCE">
        <w:rPr>
          <w:rFonts w:cstheme="minorHAnsi"/>
          <w:color w:val="4472C4" w:themeColor="accent1"/>
          <w:sz w:val="20"/>
          <w:lang w:val="sr-Cyrl-RS"/>
        </w:rPr>
        <w:t xml:space="preserve">Такође, Влада остаје посвећена пуноправном чланству у Европској унији (у даљем тексту: ЕУ) као стратешки постављеном циљу. Средином године отворена су поглавља 13 </w:t>
      </w:r>
      <w:r w:rsidR="009D3C98" w:rsidRPr="009D3C98">
        <w:rPr>
          <w:rFonts w:cstheme="minorHAnsi"/>
          <w:color w:val="4472C4" w:themeColor="accent1"/>
          <w:sz w:val="20"/>
          <w:lang w:val="sr-Cyrl-RS"/>
        </w:rPr>
        <w:t>–</w:t>
      </w:r>
      <w:r w:rsidRPr="00A37BCE">
        <w:rPr>
          <w:rFonts w:cstheme="minorHAnsi"/>
          <w:color w:val="4472C4" w:themeColor="accent1"/>
          <w:sz w:val="20"/>
          <w:lang w:val="sr-Cyrl-RS"/>
        </w:rPr>
        <w:t xml:space="preserve"> </w:t>
      </w:r>
      <w:r w:rsidR="0022672A">
        <w:rPr>
          <w:rFonts w:cstheme="minorHAnsi"/>
          <w:color w:val="4472C4" w:themeColor="accent1"/>
          <w:sz w:val="20"/>
          <w:lang w:val="sr-Cyrl-RS"/>
        </w:rPr>
        <w:t>Р</w:t>
      </w:r>
      <w:r w:rsidRPr="00A37BCE">
        <w:rPr>
          <w:rFonts w:cstheme="minorHAnsi"/>
          <w:color w:val="4472C4" w:themeColor="accent1"/>
          <w:sz w:val="20"/>
          <w:lang w:val="sr-Cyrl-RS"/>
        </w:rPr>
        <w:t xml:space="preserve">ибарство и 33 – </w:t>
      </w:r>
      <w:r w:rsidR="0022672A">
        <w:rPr>
          <w:rFonts w:cstheme="minorHAnsi"/>
          <w:color w:val="4472C4" w:themeColor="accent1"/>
          <w:sz w:val="20"/>
          <w:lang w:val="sr-Cyrl-RS"/>
        </w:rPr>
        <w:t>Б</w:t>
      </w:r>
      <w:r w:rsidRPr="00A37BCE">
        <w:rPr>
          <w:rFonts w:cstheme="minorHAnsi"/>
          <w:color w:val="4472C4" w:themeColor="accent1"/>
          <w:sz w:val="20"/>
          <w:lang w:val="sr-Cyrl-RS"/>
        </w:rPr>
        <w:t>уџетске и финансијске одредбе, а очекује се да би крајем године могла бити отвор</w:t>
      </w:r>
      <w:r w:rsidR="0022672A">
        <w:rPr>
          <w:rFonts w:cstheme="minorHAnsi"/>
          <w:color w:val="4472C4" w:themeColor="accent1"/>
          <w:sz w:val="20"/>
          <w:lang w:val="sr-Cyrl-RS"/>
        </w:rPr>
        <w:t>ена бар још три поглавља: 9 – Ф</w:t>
      </w:r>
      <w:r w:rsidRPr="00A37BCE">
        <w:rPr>
          <w:rFonts w:cstheme="minorHAnsi"/>
          <w:color w:val="4472C4" w:themeColor="accent1"/>
          <w:sz w:val="20"/>
          <w:lang w:val="sr-Cyrl-RS"/>
        </w:rPr>
        <w:t>инансијск</w:t>
      </w:r>
      <w:r w:rsidR="0022672A">
        <w:rPr>
          <w:rFonts w:cstheme="minorHAnsi"/>
          <w:color w:val="4472C4" w:themeColor="accent1"/>
          <w:sz w:val="20"/>
          <w:lang w:val="sr-Cyrl-RS"/>
        </w:rPr>
        <w:t>е</w:t>
      </w:r>
      <w:r w:rsidRPr="00A37BCE">
        <w:rPr>
          <w:rFonts w:cstheme="minorHAnsi"/>
          <w:color w:val="4472C4" w:themeColor="accent1"/>
          <w:sz w:val="20"/>
          <w:lang w:val="sr-Cyrl-RS"/>
        </w:rPr>
        <w:t xml:space="preserve"> услуг</w:t>
      </w:r>
      <w:r w:rsidR="0022672A">
        <w:rPr>
          <w:rFonts w:cstheme="minorHAnsi"/>
          <w:color w:val="4472C4" w:themeColor="accent1"/>
          <w:sz w:val="20"/>
          <w:lang w:val="sr-Cyrl-RS"/>
        </w:rPr>
        <w:t>е, 17  –  Економска</w:t>
      </w:r>
      <w:r w:rsidRPr="00A37BCE">
        <w:rPr>
          <w:rFonts w:cstheme="minorHAnsi"/>
          <w:color w:val="4472C4" w:themeColor="accent1"/>
          <w:sz w:val="20"/>
          <w:lang w:val="sr-Cyrl-RS"/>
        </w:rPr>
        <w:t xml:space="preserve"> и монетарн</w:t>
      </w:r>
      <w:r w:rsidR="0022672A">
        <w:rPr>
          <w:rFonts w:cstheme="minorHAnsi"/>
          <w:color w:val="4472C4" w:themeColor="accent1"/>
          <w:sz w:val="20"/>
          <w:lang w:val="sr-Cyrl-RS"/>
        </w:rPr>
        <w:t>а политика</w:t>
      </w:r>
      <w:r w:rsidRPr="00A37BCE">
        <w:rPr>
          <w:rFonts w:cstheme="minorHAnsi"/>
          <w:color w:val="4472C4" w:themeColor="accent1"/>
          <w:sz w:val="20"/>
          <w:lang w:val="sr-Cyrl-RS"/>
        </w:rPr>
        <w:t xml:space="preserve"> и поглав</w:t>
      </w:r>
      <w:r w:rsidR="0022672A">
        <w:rPr>
          <w:rFonts w:cstheme="minorHAnsi"/>
          <w:color w:val="4472C4" w:themeColor="accent1"/>
          <w:sz w:val="20"/>
          <w:lang w:val="sr-Cyrl-RS"/>
        </w:rPr>
        <w:t>ље 18 –  Статистика</w:t>
      </w:r>
      <w:r w:rsidRPr="00A37BCE">
        <w:rPr>
          <w:rFonts w:cstheme="minorHAnsi"/>
          <w:color w:val="4472C4" w:themeColor="accent1"/>
          <w:sz w:val="20"/>
          <w:lang w:val="sr-Cyrl-RS"/>
        </w:rPr>
        <w:t>. Редован политички и економски дијалог о отвореним питањима из Споразума о стабилизацији и придруживању (у даљем тексту: ССП) између Европских заједница и њихових држава чланица, са једне стране, и Републике Србије са друге стране, као и доношење општих и секторских на</w:t>
      </w:r>
      <w:r w:rsidR="003E7703" w:rsidRPr="00A37BCE">
        <w:rPr>
          <w:rFonts w:cstheme="minorHAnsi"/>
          <w:color w:val="4472C4" w:themeColor="accent1"/>
          <w:sz w:val="20"/>
          <w:lang w:val="sr-Cyrl-RS"/>
        </w:rPr>
        <w:t xml:space="preserve">ционалних развојних стратегија </w:t>
      </w:r>
      <w:r w:rsidRPr="00A37BCE">
        <w:rPr>
          <w:rFonts w:cstheme="minorHAnsi"/>
          <w:color w:val="4472C4" w:themeColor="accent1"/>
          <w:sz w:val="20"/>
          <w:lang w:val="sr-Cyrl-RS"/>
        </w:rPr>
        <w:t>имају за циљ да Република Србија у што краћем року испуни економске предуслове чланства зацртане у acquis communautaire.</w:t>
      </w:r>
    </w:p>
    <w:p w14:paraId="1FB1F265" w14:textId="77777777" w:rsidR="00717FCD" w:rsidRPr="00A37BCE" w:rsidRDefault="00717FCD" w:rsidP="008420D4">
      <w:pPr>
        <w:jc w:val="both"/>
        <w:rPr>
          <w:rFonts w:cstheme="minorHAnsi"/>
          <w:color w:val="4472C4" w:themeColor="accent1"/>
          <w:sz w:val="20"/>
          <w:lang w:val="sr-Cyrl-RS"/>
        </w:rPr>
        <w:sectPr w:rsidR="00717FCD" w:rsidRPr="00A37BCE" w:rsidSect="00010C73">
          <w:type w:val="continuous"/>
          <w:pgSz w:w="12240" w:h="15840"/>
          <w:pgMar w:top="1440" w:right="1440" w:bottom="1440" w:left="1440" w:header="720" w:footer="720" w:gutter="0"/>
          <w:pgNumType w:start="1"/>
          <w:cols w:num="2" w:space="720"/>
          <w:docGrid w:linePitch="360"/>
        </w:sectPr>
      </w:pPr>
    </w:p>
    <w:p w14:paraId="6629E53B" w14:textId="284C5A97" w:rsidR="005B5934" w:rsidRPr="00A37BCE" w:rsidRDefault="005B5934" w:rsidP="005B5934">
      <w:pPr>
        <w:spacing w:after="0"/>
        <w:jc w:val="both"/>
        <w:rPr>
          <w:rFonts w:cstheme="minorHAnsi"/>
          <w:color w:val="4472C4" w:themeColor="accent1"/>
          <w:sz w:val="20"/>
          <w:lang w:val="sr-Cyrl-RS"/>
        </w:rPr>
        <w:sectPr w:rsidR="005B5934" w:rsidRPr="00A37BCE" w:rsidSect="00717FCD">
          <w:type w:val="continuous"/>
          <w:pgSz w:w="12240" w:h="15840"/>
          <w:pgMar w:top="1440" w:right="1440" w:bottom="1440" w:left="1440" w:header="720" w:footer="720" w:gutter="0"/>
          <w:cols w:num="2" w:space="720"/>
          <w:docGrid w:linePitch="360"/>
        </w:sectPr>
      </w:pPr>
    </w:p>
    <w:p w14:paraId="6D228465" w14:textId="77777777" w:rsidR="008B1F84" w:rsidRPr="00A37BCE" w:rsidRDefault="008B1F84">
      <w:pPr>
        <w:rPr>
          <w:rFonts w:eastAsiaTheme="majorEastAsia" w:cstheme="minorHAnsi"/>
          <w:b/>
          <w:color w:val="2F5496" w:themeColor="accent1" w:themeShade="BF"/>
          <w:sz w:val="24"/>
          <w:szCs w:val="26"/>
          <w:lang w:val="sr-Cyrl-RS"/>
        </w:rPr>
      </w:pPr>
      <w:r w:rsidRPr="00A37BCE">
        <w:rPr>
          <w:rFonts w:cstheme="minorHAnsi"/>
          <w:b/>
          <w:sz w:val="24"/>
          <w:lang w:val="sr-Cyrl-RS"/>
        </w:rPr>
        <w:lastRenderedPageBreak/>
        <w:br w:type="page"/>
      </w:r>
    </w:p>
    <w:p w14:paraId="255FD923" w14:textId="1A489255" w:rsidR="001748A7" w:rsidRPr="00A37BCE" w:rsidRDefault="008420D4" w:rsidP="004D52F8">
      <w:pPr>
        <w:pStyle w:val="Heading2"/>
        <w:jc w:val="center"/>
        <w:rPr>
          <w:rFonts w:asciiTheme="minorHAnsi" w:hAnsiTheme="minorHAnsi" w:cstheme="minorHAnsi"/>
          <w:b/>
          <w:sz w:val="22"/>
          <w:lang w:val="sr-Cyrl-RS"/>
        </w:rPr>
        <w:sectPr w:rsidR="001748A7" w:rsidRPr="00A37BCE" w:rsidSect="003851DF">
          <w:type w:val="continuous"/>
          <w:pgSz w:w="12240" w:h="15840"/>
          <w:pgMar w:top="1440" w:right="1440" w:bottom="1440" w:left="1440" w:header="720" w:footer="720" w:gutter="0"/>
          <w:cols w:space="720"/>
          <w:docGrid w:linePitch="360"/>
        </w:sectPr>
      </w:pPr>
      <w:bookmarkStart w:id="3" w:name="_Toc530041993"/>
      <w:r w:rsidRPr="00A37BCE">
        <w:rPr>
          <w:rFonts w:asciiTheme="minorHAnsi" w:hAnsiTheme="minorHAnsi" w:cstheme="minorHAnsi"/>
          <w:b/>
          <w:sz w:val="24"/>
          <w:lang w:val="sr-Cyrl-RS"/>
        </w:rPr>
        <w:lastRenderedPageBreak/>
        <w:t xml:space="preserve">2. </w:t>
      </w:r>
      <w:r w:rsidR="00B43A2E" w:rsidRPr="00A37BCE">
        <w:rPr>
          <w:rFonts w:asciiTheme="minorHAnsi" w:hAnsiTheme="minorHAnsi" w:cstheme="minorHAnsi"/>
          <w:b/>
          <w:sz w:val="24"/>
          <w:lang w:val="sr-Cyrl-RS"/>
        </w:rPr>
        <w:t>Процене међународног економског окружења</w:t>
      </w:r>
      <w:bookmarkEnd w:id="3"/>
      <w:r w:rsidR="004D52F8" w:rsidRPr="00A37BCE">
        <w:rPr>
          <w:rFonts w:asciiTheme="minorHAnsi" w:hAnsiTheme="minorHAnsi" w:cstheme="minorHAnsi"/>
          <w:b/>
          <w:sz w:val="22"/>
          <w:lang w:val="sr-Cyrl-RS"/>
        </w:rPr>
        <w:br/>
      </w:r>
    </w:p>
    <w:p w14:paraId="6A18995E" w14:textId="4B4DECC2" w:rsidR="003A4087" w:rsidRPr="00A37BCE" w:rsidRDefault="008C57F6" w:rsidP="000E72F0">
      <w:pPr>
        <w:jc w:val="both"/>
        <w:rPr>
          <w:rFonts w:cstheme="minorHAnsi"/>
          <w:sz w:val="20"/>
          <w:lang w:val="sr-Cyrl-RS"/>
        </w:rPr>
        <w:sectPr w:rsidR="003A4087" w:rsidRPr="00A37BCE" w:rsidSect="003A4087">
          <w:type w:val="continuous"/>
          <w:pgSz w:w="12240" w:h="15840"/>
          <w:pgMar w:top="1440" w:right="1440" w:bottom="1440" w:left="1440" w:header="720" w:footer="720" w:gutter="0"/>
          <w:cols w:num="2" w:space="720"/>
          <w:docGrid w:linePitch="360"/>
        </w:sectPr>
      </w:pPr>
      <w:r w:rsidRPr="00A37BCE">
        <w:rPr>
          <w:rFonts w:cstheme="minorHAnsi"/>
          <w:noProof/>
          <w:sz w:val="28"/>
        </w:rPr>
        <w:lastRenderedPageBreak/>
        <mc:AlternateContent>
          <mc:Choice Requires="wps">
            <w:drawing>
              <wp:anchor distT="0" distB="0" distL="114300" distR="114300" simplePos="0" relativeHeight="251672576" behindDoc="1" locked="0" layoutInCell="1" allowOverlap="1" wp14:anchorId="7387B04B" wp14:editId="45189749">
                <wp:simplePos x="0" y="0"/>
                <wp:positionH relativeFrom="margin">
                  <wp:posOffset>-38100</wp:posOffset>
                </wp:positionH>
                <wp:positionV relativeFrom="paragraph">
                  <wp:posOffset>5715</wp:posOffset>
                </wp:positionV>
                <wp:extent cx="6028055" cy="3352800"/>
                <wp:effectExtent l="0" t="0" r="0" b="0"/>
                <wp:wrapNone/>
                <wp:docPr id="9" name="Rectangle 9"/>
                <wp:cNvGraphicFramePr/>
                <a:graphic xmlns:a="http://schemas.openxmlformats.org/drawingml/2006/main">
                  <a:graphicData uri="http://schemas.microsoft.com/office/word/2010/wordprocessingShape">
                    <wps:wsp>
                      <wps:cNvSpPr/>
                      <wps:spPr>
                        <a:xfrm>
                          <a:off x="0" y="0"/>
                          <a:ext cx="6028055" cy="3352800"/>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1A5602CA" id="Rectangle 9" o:spid="_x0000_s1026" style="position:absolute;margin-left:-3pt;margin-top:.45pt;width:474.65pt;height:264pt;z-index:-2516439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S1XtAIAAPIFAAAOAAAAZHJzL2Uyb0RvYy54bWysVFFP2zAQfp+0/2D5fSQtlEFFiioQ0yQG&#10;CJh4dh27iWT7PNtt2v36ne0kRQzxMO3F8dnf3X33xXcXlzutyFY434Kp6OSopEQYDnVr1hX9+Xzz&#10;5YwSH5ipmQIjKroXnl4uPn+66OxcTKEBVQtHMIjx885WtAnBzovC80Zo5o/ACoOXEpxmAU23LmrH&#10;OoyuVTEty9OiA1dbB1x4j6fX+ZIuUnwpBQ/3UnoRiKoocgtpdWldxbVYXLD52jHbtLynwf6BhWat&#10;waRjqGsWGNm49q9QuuUOPMhwxEEXIGXLRaoBq5mUb6p5apgVqRYUx9tRJv//wvK77YMjbV3Rc0oM&#10;0/iLHlE0ZtZKkPMoT2f9HFFP9sH1lsdtrHUnnY5frILskqT7UVKxC4Tj4Wk5PStnM0o43h0fz9BK&#10;ohcHd+t8+CZAk7ipqMP0SUq2vfUBUyJ0gMRsloVw0yrVwy0P01nCy/WVSrzS4xFokC3D375aT9K9&#10;2ugfUOezs1k58hjhKdUYZfVBuMyqR0R+PafIT5m4GogcMy6eFFHGLFzahb0SGf0oJOqPUk0Ty5FN&#10;Jso4FybkAnzDapGPI/1Bx9Ej8VcGA8bIEvOPsfsAsasOwgyxM8seH11FapzRufyIWHYePVJmMGF0&#10;1q0B914AhVX1mTN+EClLE1VaQb3H1+kgt623/KbFN3LLfHhgDvsUOxpnT7jHRSroKgr9jpIG3O/3&#10;ziMe2wdvKemw7yvqf22YE5So7wYb63xychIHRTJOZl+naLjXN6vXN2ajrwDf2ASnnOVpG/FBDVvp&#10;QL/giFrGrHjFDMfcFeXBDcZVyPMIhxwXy2WC4XDAN3VrniyPwaOqsQeedy/M2f7lB+yxOxhmBJu/&#10;6ZeMjZ4GlpsAsk3NdNC11xsHS3o4/RCMk+u1nVCHUb34AwAA//8DAFBLAwQUAAYACAAAACEAQbzM&#10;dN8AAAAHAQAADwAAAGRycy9kb3ducmV2LnhtbEyPzU7DMBCE70i8g7VIXFDrkEKUhGwqfkrhhERB&#10;nN14SSLidWS7bejTY05wHM1o5ptqOZlB7Mn53jLC5TwBQdxY3XOL8P72OMtB+KBYq8EyIXyTh2V9&#10;elKpUtsDv9J+E1oRS9iXCqELYSyl9E1HRvm5HYmj92mdUSFK10rt1CGWm0GmSZJJo3qOC50a6b6j&#10;5muzMwj5S7d6eF717XF91+inzH24i2OKeH423d6ACDSFvzD84kd0qCPT1u5YezEgzLJ4JSAUIKJb&#10;XC0WILYI12legKwr+Z+//gEAAP//AwBQSwECLQAUAAYACAAAACEAtoM4kv4AAADhAQAAEwAAAAAA&#10;AAAAAAAAAAAAAAAAW0NvbnRlbnRfVHlwZXNdLnhtbFBLAQItABQABgAIAAAAIQA4/SH/1gAAAJQB&#10;AAALAAAAAAAAAAAAAAAAAC8BAABfcmVscy8ucmVsc1BLAQItABQABgAIAAAAIQDLSS1XtAIAAPIF&#10;AAAOAAAAAAAAAAAAAAAAAC4CAABkcnMvZTJvRG9jLnhtbFBLAQItABQABgAIAAAAIQBBvMx03wAA&#10;AAcBAAAPAAAAAAAAAAAAAAAAAA4FAABkcnMvZG93bnJldi54bWxQSwUGAAAAAAQABADzAAAAGgYA&#10;AAAA&#10;" fillcolor="#d8d8d8 [2732]" stroked="f" strokeweight="1pt">
                <v:fill r:id="rId15" o:title="" color2="white [3212]" type="pattern"/>
                <w10:wrap anchorx="margin"/>
              </v:rect>
            </w:pict>
          </mc:Fallback>
        </mc:AlternateContent>
      </w:r>
      <w:r w:rsidRPr="00A37BCE">
        <w:rPr>
          <w:rFonts w:cstheme="minorHAnsi"/>
          <w:color w:val="4472C4" w:themeColor="accent1"/>
          <w:sz w:val="20"/>
          <w:lang w:val="sr-Cyrl-RS"/>
        </w:rPr>
        <w:t>Према јесењим пројекцијама релевантних међународних институција глобална економска активност ће у 2018. години забележити сличну динамику као и у претходној</w:t>
      </w:r>
      <w:r w:rsidR="00F44DE0" w:rsidRPr="00A37BCE">
        <w:rPr>
          <w:rFonts w:cstheme="minorHAnsi"/>
          <w:color w:val="4472C4" w:themeColor="accent1"/>
          <w:sz w:val="20"/>
          <w:lang w:val="sr-Cyrl-RS"/>
        </w:rPr>
        <w:t xml:space="preserve"> години</w:t>
      </w:r>
      <w:r w:rsidRPr="00A37BCE">
        <w:rPr>
          <w:rFonts w:cstheme="minorHAnsi"/>
          <w:color w:val="4472C4" w:themeColor="accent1"/>
          <w:sz w:val="20"/>
          <w:lang w:val="sr-Cyrl-RS"/>
        </w:rPr>
        <w:t xml:space="preserve">. </w:t>
      </w:r>
      <w:r w:rsidR="00AC0C4C" w:rsidRPr="00A37BCE">
        <w:rPr>
          <w:rFonts w:cstheme="minorHAnsi"/>
          <w:color w:val="4472C4" w:themeColor="accent1"/>
          <w:sz w:val="20"/>
          <w:lang w:val="sr-Cyrl-RS"/>
        </w:rPr>
        <w:t xml:space="preserve">Иако се првобитно </w:t>
      </w:r>
      <w:r w:rsidRPr="00A37BCE">
        <w:rPr>
          <w:rFonts w:cstheme="minorHAnsi"/>
          <w:color w:val="4472C4" w:themeColor="accent1"/>
          <w:sz w:val="20"/>
          <w:lang w:val="sr-Cyrl-RS"/>
        </w:rPr>
        <w:t>очекивало убрзање светске економије, трговинске тензије и с тим у вези предузете мере, геополитичка нестабилност услед нерешених питања у неким од зем</w:t>
      </w:r>
      <w:r w:rsidR="007A583B" w:rsidRPr="00A37BCE">
        <w:rPr>
          <w:rFonts w:cstheme="minorHAnsi"/>
          <w:color w:val="4472C4" w:themeColor="accent1"/>
          <w:sz w:val="20"/>
          <w:lang w:val="sr-Cyrl-RS"/>
        </w:rPr>
        <w:t xml:space="preserve">аља у развоју и раст цена нафте, </w:t>
      </w:r>
      <w:r w:rsidRPr="00A37BCE">
        <w:rPr>
          <w:rFonts w:cstheme="minorHAnsi"/>
          <w:color w:val="4472C4" w:themeColor="accent1"/>
          <w:sz w:val="20"/>
          <w:lang w:val="sr-Cyrl-RS"/>
        </w:rPr>
        <w:t xml:space="preserve">имали су за последицу ревидирање годишњих стопа раста наниже и у развијеним земљама и у земљама у успону. Са друге стране, простор за побољшање изгледа је умањен услед већих трговинских трошкова, споре примене раније предложених реформи, рестриктивне монетарне политике у неким деловима света и опадајућег замајца раста. Иако финансијска тржишта у развијеним земљама остају </w:t>
      </w:r>
      <w:r w:rsidR="0051621D" w:rsidRPr="00A37BCE">
        <w:rPr>
          <w:rFonts w:cstheme="minorHAnsi"/>
          <w:color w:val="4472C4" w:themeColor="accent1"/>
          <w:sz w:val="20"/>
          <w:lang w:val="sr-Cyrl-RS"/>
        </w:rPr>
        <w:t>акомодативна</w:t>
      </w:r>
      <w:r w:rsidRPr="00A37BCE">
        <w:rPr>
          <w:rFonts w:cstheme="minorHAnsi"/>
          <w:color w:val="4472C4" w:themeColor="accent1"/>
          <w:sz w:val="20"/>
          <w:lang w:val="sr-Cyrl-RS"/>
        </w:rPr>
        <w:t>, у случају интензивирања негативних трговинских мера или инфлаторних шокова, могло би доћи до нагл</w:t>
      </w:r>
      <w:r w:rsidR="00AC0C4C" w:rsidRPr="00A37BCE">
        <w:rPr>
          <w:rFonts w:cstheme="minorHAnsi"/>
          <w:color w:val="4472C4" w:themeColor="accent1"/>
          <w:sz w:val="20"/>
          <w:lang w:val="sr-Cyrl-RS"/>
        </w:rPr>
        <w:t xml:space="preserve">их ограничавајућих </w:t>
      </w:r>
      <w:r w:rsidR="00AC0C4C" w:rsidRPr="00A37BCE">
        <w:rPr>
          <w:rFonts w:cstheme="minorHAnsi"/>
          <w:color w:val="4472C4" w:themeColor="accent1"/>
          <w:sz w:val="20"/>
          <w:lang w:val="sr-Cyrl-RS"/>
        </w:rPr>
        <w:lastRenderedPageBreak/>
        <w:t xml:space="preserve">одлука </w:t>
      </w:r>
      <w:r w:rsidRPr="00A37BCE">
        <w:rPr>
          <w:rFonts w:cstheme="minorHAnsi"/>
          <w:color w:val="4472C4" w:themeColor="accent1"/>
          <w:sz w:val="20"/>
          <w:lang w:val="sr-Cyrl-RS"/>
        </w:rPr>
        <w:t>монетарне политике, што би</w:t>
      </w:r>
      <w:r w:rsidR="00AC0C4C" w:rsidRPr="00A37BCE">
        <w:rPr>
          <w:rFonts w:cstheme="minorHAnsi"/>
          <w:color w:val="4472C4" w:themeColor="accent1"/>
          <w:sz w:val="20"/>
          <w:lang w:val="sr-Cyrl-RS"/>
        </w:rPr>
        <w:t xml:space="preserve"> се</w:t>
      </w:r>
      <w:r w:rsidRPr="00A37BCE">
        <w:rPr>
          <w:rFonts w:cstheme="minorHAnsi"/>
          <w:color w:val="4472C4" w:themeColor="accent1"/>
          <w:sz w:val="20"/>
          <w:lang w:val="sr-Cyrl-RS"/>
        </w:rPr>
        <w:t xml:space="preserve"> уз снажан одговор Савезних резерви САД (у даљем тексту: ФЕД), одразило на паритет светских валута, нивоe капиталних прилива као и</w:t>
      </w:r>
      <w:r w:rsidR="00AC0C4C" w:rsidRPr="00A37BCE">
        <w:rPr>
          <w:rFonts w:cstheme="minorHAnsi"/>
          <w:color w:val="4472C4" w:themeColor="accent1"/>
          <w:sz w:val="20"/>
          <w:lang w:val="sr-Cyrl-RS"/>
        </w:rPr>
        <w:t xml:space="preserve"> на</w:t>
      </w:r>
      <w:r w:rsidRPr="00A37BCE">
        <w:rPr>
          <w:rFonts w:cstheme="minorHAnsi"/>
          <w:color w:val="4472C4" w:themeColor="accent1"/>
          <w:sz w:val="20"/>
          <w:lang w:val="sr-Cyrl-RS"/>
        </w:rPr>
        <w:t xml:space="preserve"> нивое јавног дуга земаља у успону. Стагнација глобалног раста од почетка године праћена је растом цена примарних произв</w:t>
      </w:r>
      <w:r w:rsidR="00EB7922" w:rsidRPr="00A37BCE">
        <w:rPr>
          <w:rFonts w:cstheme="minorHAnsi"/>
          <w:color w:val="4472C4" w:themeColor="accent1"/>
          <w:sz w:val="20"/>
          <w:lang w:val="sr-Cyrl-RS"/>
        </w:rPr>
        <w:t xml:space="preserve">ода, првенствено нафте, метала </w:t>
      </w:r>
      <w:r w:rsidRPr="00A37BCE">
        <w:rPr>
          <w:rFonts w:cstheme="minorHAnsi"/>
          <w:color w:val="4472C4" w:themeColor="accent1"/>
          <w:sz w:val="20"/>
          <w:lang w:val="sr-Cyrl-RS"/>
        </w:rPr>
        <w:t>и житарица, а њихова стабилизација се очекује у средњoрочном периоду. Глобални опоравак у претходн</w:t>
      </w:r>
      <w:r w:rsidR="007A583B" w:rsidRPr="00A37BCE">
        <w:rPr>
          <w:rFonts w:cstheme="minorHAnsi"/>
          <w:color w:val="4472C4" w:themeColor="accent1"/>
          <w:sz w:val="20"/>
          <w:lang w:val="sr-Cyrl-RS"/>
        </w:rPr>
        <w:t>их неколико година</w:t>
      </w:r>
      <w:r w:rsidRPr="00A37BCE">
        <w:rPr>
          <w:rFonts w:cstheme="minorHAnsi"/>
          <w:color w:val="4472C4" w:themeColor="accent1"/>
          <w:sz w:val="20"/>
          <w:lang w:val="sr-Cyrl-RS"/>
        </w:rPr>
        <w:t xml:space="preserve"> допринео је побољшању тржишта рада кроз раст зарада и запослености, јачању платнобилансних позиција али и проширио простор за изгр</w:t>
      </w:r>
      <w:r w:rsidR="00AC0C4C" w:rsidRPr="00A37BCE">
        <w:rPr>
          <w:rFonts w:cstheme="minorHAnsi"/>
          <w:color w:val="4472C4" w:themeColor="accent1"/>
          <w:sz w:val="20"/>
          <w:lang w:val="sr-Cyrl-RS"/>
        </w:rPr>
        <w:t>адњу механизама заштите</w:t>
      </w:r>
      <w:r w:rsidR="00490D10" w:rsidRPr="00A37BCE">
        <w:rPr>
          <w:rFonts w:cstheme="minorHAnsi"/>
          <w:color w:val="4472C4" w:themeColor="accent1"/>
          <w:sz w:val="20"/>
          <w:lang w:val="sr-Cyrl-RS"/>
        </w:rPr>
        <w:t xml:space="preserve"> од непредвиђених шокова</w:t>
      </w:r>
      <w:r w:rsidR="00AC0C4C" w:rsidRPr="00A37BCE">
        <w:rPr>
          <w:rFonts w:cstheme="minorHAnsi"/>
          <w:color w:val="4472C4" w:themeColor="accent1"/>
          <w:sz w:val="20"/>
          <w:lang w:val="sr-Cyrl-RS"/>
        </w:rPr>
        <w:t>. Ипак</w:t>
      </w:r>
      <w:r w:rsidRPr="00A37BCE">
        <w:rPr>
          <w:rFonts w:cstheme="minorHAnsi"/>
          <w:color w:val="4472C4" w:themeColor="accent1"/>
          <w:sz w:val="20"/>
          <w:lang w:val="sr-Cyrl-RS"/>
        </w:rPr>
        <w:t>, како су могућности за материјализацију ризика повећане, да би се осигурао снажан раст и глобална експанзија, неопходно је доследно примењивати адекватне политике и спроводити структу</w:t>
      </w:r>
      <w:r w:rsidR="00735A07" w:rsidRPr="00A37BCE">
        <w:rPr>
          <w:rFonts w:cstheme="minorHAnsi"/>
          <w:color w:val="4472C4" w:themeColor="accent1"/>
          <w:sz w:val="20"/>
          <w:lang w:val="sr-Cyrl-RS"/>
        </w:rPr>
        <w:t>р</w:t>
      </w:r>
      <w:r w:rsidRPr="00A37BCE">
        <w:rPr>
          <w:rFonts w:cstheme="minorHAnsi"/>
          <w:color w:val="4472C4" w:themeColor="accent1"/>
          <w:sz w:val="20"/>
          <w:lang w:val="sr-Cyrl-RS"/>
        </w:rPr>
        <w:t>не реформе.</w:t>
      </w:r>
    </w:p>
    <w:p w14:paraId="54715A4D" w14:textId="669C9FDB" w:rsidR="000E72F0" w:rsidRPr="00A37BCE" w:rsidRDefault="000E72F0" w:rsidP="00AF78EE">
      <w:pPr>
        <w:jc w:val="both"/>
        <w:rPr>
          <w:rFonts w:cstheme="minorHAnsi"/>
          <w:sz w:val="20"/>
          <w:lang w:val="sr-Cyrl-RS"/>
        </w:rPr>
        <w:sectPr w:rsidR="000E72F0" w:rsidRPr="00A37BCE" w:rsidSect="00B43A2E">
          <w:type w:val="continuous"/>
          <w:pgSz w:w="12240" w:h="15840"/>
          <w:pgMar w:top="1440" w:right="1440" w:bottom="1440" w:left="1440" w:header="720" w:footer="720" w:gutter="0"/>
          <w:cols w:space="720"/>
          <w:docGrid w:linePitch="360"/>
        </w:sectPr>
      </w:pPr>
    </w:p>
    <w:p w14:paraId="219C2663" w14:textId="11F06578" w:rsidR="00AF78EE" w:rsidRPr="00A37BCE" w:rsidRDefault="00AF78EE" w:rsidP="00D20C27">
      <w:pPr>
        <w:rPr>
          <w:rFonts w:cstheme="minorHAnsi"/>
          <w:b/>
          <w:color w:val="2F5496" w:themeColor="accent1" w:themeShade="BF"/>
          <w:lang w:val="sr-Cyrl-RS"/>
        </w:rPr>
      </w:pPr>
      <w:r w:rsidRPr="00A37BCE">
        <w:rPr>
          <w:rFonts w:cstheme="minorHAnsi"/>
          <w:b/>
          <w:color w:val="2F5496" w:themeColor="accent1" w:themeShade="BF"/>
          <w:lang w:val="sr-Cyrl-RS"/>
        </w:rPr>
        <w:lastRenderedPageBreak/>
        <w:t>Макроекономске процене Међународног монетарног фонда</w:t>
      </w:r>
    </w:p>
    <w:p w14:paraId="28994908" w14:textId="62630639" w:rsidR="00AF78EE" w:rsidRPr="00A37BCE" w:rsidRDefault="008C57F6" w:rsidP="00AF78EE">
      <w:pPr>
        <w:jc w:val="both"/>
        <w:rPr>
          <w:rFonts w:cstheme="minorHAnsi"/>
          <w:color w:val="44546A" w:themeColor="text2"/>
          <w:sz w:val="20"/>
          <w:lang w:val="sr-Cyrl-RS"/>
        </w:rPr>
        <w:sectPr w:rsidR="00AF78EE" w:rsidRPr="00A37BCE" w:rsidSect="00AF78EE">
          <w:type w:val="continuous"/>
          <w:pgSz w:w="12240" w:h="15840"/>
          <w:pgMar w:top="1440" w:right="1440" w:bottom="1440" w:left="1440" w:header="720" w:footer="720" w:gutter="0"/>
          <w:cols w:num="2" w:space="720"/>
          <w:docGrid w:linePitch="360"/>
        </w:sectPr>
      </w:pPr>
      <w:r w:rsidRPr="00A37BCE">
        <w:rPr>
          <w:rFonts w:cstheme="minorHAnsi"/>
          <w:color w:val="44546A" w:themeColor="text2"/>
          <w:sz w:val="20"/>
          <w:lang w:val="sr-Cyrl-RS"/>
        </w:rPr>
        <w:t>Раст глобалне економске активности забележен у 2017. години наставља се нешто споријим темпом и у 2018. години. Успоравање је последица трговинског протекционизма, заоштравања услова финансирања и последично повећане финансијске волатилности у земљама у успону. У САД замах привредног раста је и даље снажан и подржан је значајним фискалним стимулансом. Међутим, већ за наредну годину пројекција је спуштена услед заоштравања трговинских односа између најзначајни</w:t>
      </w:r>
      <w:r w:rsidR="008542E1" w:rsidRPr="00A37BCE">
        <w:rPr>
          <w:rFonts w:cstheme="minorHAnsi"/>
          <w:color w:val="44546A" w:themeColor="text2"/>
          <w:sz w:val="20"/>
          <w:lang w:val="sr-Cyrl-RS"/>
        </w:rPr>
        <w:t>ји</w:t>
      </w:r>
      <w:r w:rsidRPr="00A37BCE">
        <w:rPr>
          <w:rFonts w:cstheme="minorHAnsi"/>
          <w:color w:val="44546A" w:themeColor="text2"/>
          <w:sz w:val="20"/>
          <w:lang w:val="sr-Cyrl-RS"/>
        </w:rPr>
        <w:t>х уче</w:t>
      </w:r>
      <w:r w:rsidR="001E5B42" w:rsidRPr="00A37BCE">
        <w:rPr>
          <w:rFonts w:cstheme="minorHAnsi"/>
          <w:color w:val="44546A" w:themeColor="text2"/>
          <w:sz w:val="20"/>
          <w:lang w:val="sr-Cyrl-RS"/>
        </w:rPr>
        <w:t xml:space="preserve">сника на међународним тржиштима, </w:t>
      </w:r>
      <w:r w:rsidRPr="00A37BCE">
        <w:rPr>
          <w:rFonts w:cstheme="minorHAnsi"/>
          <w:color w:val="44546A" w:themeColor="text2"/>
          <w:sz w:val="20"/>
          <w:lang w:val="sr-Cyrl-RS"/>
        </w:rPr>
        <w:t>као и услед очекиваног раста каматних стопа.</w:t>
      </w:r>
      <w:r w:rsidR="0023793B" w:rsidRPr="00A37BCE">
        <w:rPr>
          <w:rFonts w:cstheme="minorHAnsi"/>
          <w:color w:val="44546A" w:themeColor="text2"/>
          <w:sz w:val="20"/>
          <w:lang w:val="sr-Cyrl-RS"/>
        </w:rPr>
        <w:t xml:space="preserve"> Слабљење глобалне трговине смањило је спољну тражњу за производима из еврозоне, до</w:t>
      </w:r>
      <w:r w:rsidR="000727B2" w:rsidRPr="00A37BCE">
        <w:rPr>
          <w:rFonts w:cstheme="minorHAnsi"/>
          <w:color w:val="44546A" w:themeColor="text2"/>
          <w:sz w:val="20"/>
          <w:lang w:val="sr-Cyrl-RS"/>
        </w:rPr>
        <w:t>к</w:t>
      </w:r>
      <w:r w:rsidR="0023793B" w:rsidRPr="00A37BCE">
        <w:rPr>
          <w:rFonts w:cstheme="minorHAnsi"/>
          <w:color w:val="44546A" w:themeColor="text2"/>
          <w:sz w:val="20"/>
          <w:lang w:val="sr-Cyrl-RS"/>
        </w:rPr>
        <w:t xml:space="preserve"> је процес Бр</w:t>
      </w:r>
      <w:r w:rsidR="00735A07" w:rsidRPr="00A37BCE">
        <w:rPr>
          <w:rFonts w:cstheme="minorHAnsi"/>
          <w:color w:val="44546A" w:themeColor="text2"/>
          <w:sz w:val="20"/>
          <w:lang w:val="sr-Cyrl-RS"/>
        </w:rPr>
        <w:t>е</w:t>
      </w:r>
      <w:r w:rsidR="0023793B" w:rsidRPr="00A37BCE">
        <w:rPr>
          <w:rFonts w:cstheme="minorHAnsi"/>
          <w:color w:val="44546A" w:themeColor="text2"/>
          <w:sz w:val="20"/>
          <w:lang w:val="sr-Cyrl-RS"/>
        </w:rPr>
        <w:t>гзита креирао</w:t>
      </w:r>
      <w:r w:rsidR="000727B2" w:rsidRPr="00A37BCE">
        <w:rPr>
          <w:rFonts w:cstheme="minorHAnsi"/>
          <w:color w:val="44546A" w:themeColor="text2"/>
          <w:sz w:val="20"/>
          <w:lang w:val="sr-Cyrl-RS"/>
        </w:rPr>
        <w:t xml:space="preserve"> додатну </w:t>
      </w:r>
      <w:r w:rsidR="001E5B42" w:rsidRPr="00A37BCE">
        <w:rPr>
          <w:rFonts w:cstheme="minorHAnsi"/>
          <w:color w:val="44546A" w:themeColor="text2"/>
          <w:sz w:val="20"/>
          <w:lang w:val="sr-Cyrl-RS"/>
        </w:rPr>
        <w:t xml:space="preserve">неизвесност, </w:t>
      </w:r>
      <w:r w:rsidR="0023793B" w:rsidRPr="00A37BCE">
        <w:rPr>
          <w:rFonts w:cstheme="minorHAnsi"/>
          <w:color w:val="44546A" w:themeColor="text2"/>
          <w:sz w:val="20"/>
          <w:lang w:val="sr-Cyrl-RS"/>
        </w:rPr>
        <w:t xml:space="preserve">што је имало за последицу </w:t>
      </w:r>
      <w:r w:rsidR="000727B2" w:rsidRPr="00A37BCE">
        <w:rPr>
          <w:rFonts w:cstheme="minorHAnsi"/>
          <w:color w:val="44546A" w:themeColor="text2"/>
          <w:sz w:val="20"/>
          <w:lang w:val="sr-Cyrl-RS"/>
        </w:rPr>
        <w:t xml:space="preserve">значајну ревизију наниже пројектованих стопа раста еврозоне и </w:t>
      </w:r>
      <w:r w:rsidR="007A583B" w:rsidRPr="00F53B85">
        <w:rPr>
          <w:rFonts w:cstheme="minorHAnsi"/>
          <w:color w:val="44546A" w:themeColor="text2"/>
          <w:sz w:val="20"/>
          <w:lang w:val="sr-Cyrl-RS"/>
        </w:rPr>
        <w:t>Уједињеног Краљевства (у даљем тексту: УК)</w:t>
      </w:r>
      <w:r w:rsidR="000727B2" w:rsidRPr="00F53B85">
        <w:rPr>
          <w:rFonts w:cstheme="minorHAnsi"/>
          <w:color w:val="44546A" w:themeColor="text2"/>
          <w:sz w:val="20"/>
          <w:lang w:val="sr-Cyrl-RS"/>
        </w:rPr>
        <w:t xml:space="preserve">. </w:t>
      </w:r>
      <w:r w:rsidR="000727B2" w:rsidRPr="00A37BCE">
        <w:rPr>
          <w:rFonts w:cstheme="minorHAnsi"/>
          <w:color w:val="44546A" w:themeColor="text2"/>
          <w:sz w:val="20"/>
          <w:lang w:val="sr-Cyrl-RS"/>
        </w:rPr>
        <w:t>Раст цена нафте резултирао је подизањем изгледа раста за поједине</w:t>
      </w:r>
      <w:r w:rsidR="003825BA" w:rsidRPr="00A37BCE">
        <w:rPr>
          <w:rFonts w:cstheme="minorHAnsi"/>
          <w:color w:val="44546A" w:themeColor="text2"/>
          <w:sz w:val="20"/>
          <w:lang w:val="sr-Cyrl-RS"/>
        </w:rPr>
        <w:t xml:space="preserve"> </w:t>
      </w:r>
      <w:r w:rsidR="001367C0" w:rsidRPr="00A37BCE">
        <w:rPr>
          <w:rFonts w:cstheme="minorHAnsi"/>
          <w:color w:val="44546A" w:themeColor="text2"/>
          <w:sz w:val="20"/>
          <w:lang w:val="sr-Cyrl-RS"/>
        </w:rPr>
        <w:t>земљ</w:t>
      </w:r>
      <w:r w:rsidR="000727B2" w:rsidRPr="00A37BCE">
        <w:rPr>
          <w:rFonts w:cstheme="minorHAnsi"/>
          <w:color w:val="44546A" w:themeColor="text2"/>
          <w:sz w:val="20"/>
          <w:lang w:val="sr-Cyrl-RS"/>
        </w:rPr>
        <w:t>е</w:t>
      </w:r>
      <w:r w:rsidR="001367C0" w:rsidRPr="00A37BCE">
        <w:rPr>
          <w:rFonts w:cstheme="minorHAnsi"/>
          <w:color w:val="44546A" w:themeColor="text2"/>
          <w:sz w:val="20"/>
          <w:lang w:val="sr-Cyrl-RS"/>
        </w:rPr>
        <w:t xml:space="preserve"> у успону</w:t>
      </w:r>
      <w:r w:rsidR="000727B2" w:rsidRPr="00A37BCE">
        <w:rPr>
          <w:rFonts w:cstheme="minorHAnsi"/>
          <w:color w:val="44546A" w:themeColor="text2"/>
          <w:sz w:val="20"/>
          <w:lang w:val="sr-Cyrl-RS"/>
        </w:rPr>
        <w:t xml:space="preserve">, међутим, </w:t>
      </w:r>
      <w:r w:rsidR="001367C0" w:rsidRPr="00A37BCE">
        <w:rPr>
          <w:rFonts w:cstheme="minorHAnsi"/>
          <w:color w:val="44546A" w:themeColor="text2"/>
          <w:sz w:val="20"/>
          <w:lang w:val="sr-Cyrl-RS"/>
        </w:rPr>
        <w:t>за Аргентину, Бразил, Иран и Турску раст</w:t>
      </w:r>
      <w:r w:rsidR="000727B2" w:rsidRPr="00A37BCE">
        <w:rPr>
          <w:rFonts w:cstheme="minorHAnsi"/>
          <w:color w:val="44546A" w:themeColor="text2"/>
          <w:sz w:val="20"/>
          <w:lang w:val="sr-Cyrl-RS"/>
        </w:rPr>
        <w:t xml:space="preserve"> је</w:t>
      </w:r>
      <w:r w:rsidR="001367C0" w:rsidRPr="00A37BCE">
        <w:rPr>
          <w:rFonts w:cstheme="minorHAnsi"/>
          <w:color w:val="44546A" w:themeColor="text2"/>
          <w:sz w:val="20"/>
          <w:lang w:val="sr-Cyrl-RS"/>
        </w:rPr>
        <w:t xml:space="preserve"> ревидиран наниже</w:t>
      </w:r>
      <w:r w:rsidR="000727B2" w:rsidRPr="00A37BCE">
        <w:rPr>
          <w:rFonts w:cstheme="minorHAnsi"/>
          <w:color w:val="44546A" w:themeColor="text2"/>
          <w:sz w:val="20"/>
          <w:lang w:val="sr-Cyrl-RS"/>
        </w:rPr>
        <w:t xml:space="preserve">, </w:t>
      </w:r>
      <w:r w:rsidR="001367C0" w:rsidRPr="00A37BCE">
        <w:rPr>
          <w:rFonts w:cstheme="minorHAnsi"/>
          <w:color w:val="44546A" w:themeColor="text2"/>
          <w:sz w:val="20"/>
          <w:lang w:val="sr-Cyrl-RS"/>
        </w:rPr>
        <w:t>рефлектујући</w:t>
      </w:r>
      <w:r w:rsidR="000727B2" w:rsidRPr="00A37BCE">
        <w:rPr>
          <w:rFonts w:cstheme="minorHAnsi"/>
          <w:color w:val="44546A" w:themeColor="text2"/>
          <w:sz w:val="20"/>
          <w:lang w:val="sr-Cyrl-RS"/>
        </w:rPr>
        <w:t xml:space="preserve"> </w:t>
      </w:r>
      <w:r w:rsidR="000727B2" w:rsidRPr="00A37BCE">
        <w:rPr>
          <w:rFonts w:cstheme="minorHAnsi"/>
          <w:color w:val="44546A" w:themeColor="text2"/>
          <w:sz w:val="20"/>
          <w:lang w:val="sr-Cyrl-RS"/>
        </w:rPr>
        <w:lastRenderedPageBreak/>
        <w:t>заоштрене</w:t>
      </w:r>
      <w:r w:rsidR="001367C0" w:rsidRPr="00A37BCE">
        <w:rPr>
          <w:rFonts w:cstheme="minorHAnsi"/>
          <w:color w:val="44546A" w:themeColor="text2"/>
          <w:sz w:val="20"/>
          <w:lang w:val="sr-Cyrl-RS"/>
        </w:rPr>
        <w:t xml:space="preserve"> геополитичк</w:t>
      </w:r>
      <w:r w:rsidR="000727B2" w:rsidRPr="00A37BCE">
        <w:rPr>
          <w:rFonts w:cstheme="minorHAnsi"/>
          <w:color w:val="44546A" w:themeColor="text2"/>
          <w:sz w:val="20"/>
          <w:lang w:val="sr-Cyrl-RS"/>
        </w:rPr>
        <w:t>е однос</w:t>
      </w:r>
      <w:r w:rsidR="00326551" w:rsidRPr="00A37BCE">
        <w:rPr>
          <w:rFonts w:cstheme="minorHAnsi"/>
          <w:color w:val="44546A" w:themeColor="text2"/>
          <w:sz w:val="20"/>
          <w:lang w:val="sr-Cyrl-RS"/>
        </w:rPr>
        <w:t>е</w:t>
      </w:r>
      <w:r w:rsidR="000727B2" w:rsidRPr="00A37BCE">
        <w:rPr>
          <w:rFonts w:cstheme="minorHAnsi"/>
          <w:color w:val="44546A" w:themeColor="text2"/>
          <w:sz w:val="20"/>
          <w:lang w:val="sr-Cyrl-RS"/>
        </w:rPr>
        <w:t>, н</w:t>
      </w:r>
      <w:r w:rsidR="00326551" w:rsidRPr="00A37BCE">
        <w:rPr>
          <w:rFonts w:cstheme="minorHAnsi"/>
          <w:color w:val="44546A" w:themeColor="text2"/>
          <w:sz w:val="20"/>
          <w:lang w:val="sr-Cyrl-RS"/>
        </w:rPr>
        <w:t>еповољније услове задуживања као</w:t>
      </w:r>
      <w:r w:rsidR="000727B2" w:rsidRPr="00A37BCE">
        <w:rPr>
          <w:rFonts w:cstheme="minorHAnsi"/>
          <w:color w:val="44546A" w:themeColor="text2"/>
          <w:sz w:val="20"/>
          <w:lang w:val="sr-Cyrl-RS"/>
        </w:rPr>
        <w:t xml:space="preserve"> и </w:t>
      </w:r>
      <w:r w:rsidR="001367C0" w:rsidRPr="00A37BCE">
        <w:rPr>
          <w:rFonts w:cstheme="minorHAnsi"/>
          <w:color w:val="44546A" w:themeColor="text2"/>
          <w:sz w:val="20"/>
          <w:lang w:val="sr-Cyrl-RS"/>
        </w:rPr>
        <w:t>специфичне</w:t>
      </w:r>
      <w:r w:rsidR="000727B2" w:rsidRPr="00A37BCE">
        <w:rPr>
          <w:rFonts w:cstheme="minorHAnsi"/>
          <w:color w:val="44546A" w:themeColor="text2"/>
          <w:sz w:val="20"/>
          <w:lang w:val="sr-Cyrl-RS"/>
        </w:rPr>
        <w:t xml:space="preserve"> факторе за сваку од ових држава</w:t>
      </w:r>
      <w:r w:rsidR="001367C0" w:rsidRPr="00A37BCE">
        <w:rPr>
          <w:rFonts w:cstheme="minorHAnsi"/>
          <w:color w:val="44546A" w:themeColor="text2"/>
          <w:sz w:val="20"/>
          <w:lang w:val="sr-Cyrl-RS"/>
        </w:rPr>
        <w:t>. Кина и већи број азијских економија</w:t>
      </w:r>
      <w:r w:rsidR="00326551" w:rsidRPr="00A37BCE">
        <w:rPr>
          <w:rFonts w:cstheme="minorHAnsi"/>
          <w:color w:val="44546A" w:themeColor="text2"/>
          <w:sz w:val="20"/>
          <w:lang w:val="sr-Cyrl-RS"/>
        </w:rPr>
        <w:t>,</w:t>
      </w:r>
      <w:r w:rsidR="001367C0" w:rsidRPr="00A37BCE">
        <w:rPr>
          <w:rFonts w:cstheme="minorHAnsi"/>
          <w:color w:val="44546A" w:themeColor="text2"/>
          <w:sz w:val="20"/>
          <w:lang w:val="sr-Cyrl-RS"/>
        </w:rPr>
        <w:t xml:space="preserve"> погођених трговинским мерама САД</w:t>
      </w:r>
      <w:r w:rsidR="00326551" w:rsidRPr="00A37BCE">
        <w:rPr>
          <w:rFonts w:cstheme="minorHAnsi"/>
          <w:color w:val="44546A" w:themeColor="text2"/>
          <w:sz w:val="20"/>
          <w:lang w:val="sr-Cyrl-RS"/>
        </w:rPr>
        <w:t>,</w:t>
      </w:r>
      <w:r w:rsidR="001367C0" w:rsidRPr="00A37BCE">
        <w:rPr>
          <w:rFonts w:cstheme="minorHAnsi"/>
          <w:color w:val="44546A" w:themeColor="text2"/>
          <w:sz w:val="20"/>
          <w:lang w:val="sr-Cyrl-RS"/>
        </w:rPr>
        <w:t xml:space="preserve"> ће такође остварити нешто спорији раст. Релативно дуг период глобалног</w:t>
      </w:r>
      <w:r w:rsidR="007A583B" w:rsidRPr="00A37BCE">
        <w:rPr>
          <w:rFonts w:cstheme="minorHAnsi"/>
          <w:color w:val="44546A" w:themeColor="text2"/>
          <w:sz w:val="20"/>
          <w:lang w:val="sr-Cyrl-RS"/>
        </w:rPr>
        <w:t xml:space="preserve"> убрзања економске активности</w:t>
      </w:r>
      <w:r w:rsidR="00326551" w:rsidRPr="00A37BCE">
        <w:rPr>
          <w:rFonts w:cstheme="minorHAnsi"/>
          <w:color w:val="44546A" w:themeColor="text2"/>
          <w:sz w:val="20"/>
          <w:lang w:val="sr-Cyrl-RS"/>
        </w:rPr>
        <w:t xml:space="preserve"> одразио се</w:t>
      </w:r>
      <w:r w:rsidR="001367C0" w:rsidRPr="00A37BCE">
        <w:rPr>
          <w:rFonts w:cstheme="minorHAnsi"/>
          <w:color w:val="44546A" w:themeColor="text2"/>
          <w:sz w:val="20"/>
          <w:lang w:val="sr-Cyrl-RS"/>
        </w:rPr>
        <w:t xml:space="preserve"> на побољшање стања на тржишту рада у већини земаља света. Тако су у САД и Јапану стопе незапослености н</w:t>
      </w:r>
      <w:r w:rsidR="00326551" w:rsidRPr="00A37BCE">
        <w:rPr>
          <w:rFonts w:cstheme="minorHAnsi"/>
          <w:color w:val="44546A" w:themeColor="text2"/>
          <w:sz w:val="20"/>
          <w:lang w:val="sr-Cyrl-RS"/>
        </w:rPr>
        <w:t xml:space="preserve">а најнижим нивоима још од 2000. године, </w:t>
      </w:r>
      <w:r w:rsidR="001367C0" w:rsidRPr="00A37BCE">
        <w:rPr>
          <w:rFonts w:cstheme="minorHAnsi"/>
          <w:color w:val="44546A" w:themeColor="text2"/>
          <w:sz w:val="20"/>
          <w:lang w:val="sr-Cyrl-RS"/>
        </w:rPr>
        <w:t xml:space="preserve">односно 1993. године, док </w:t>
      </w:r>
      <w:r w:rsidR="00F53B85">
        <w:rPr>
          <w:rFonts w:cstheme="minorHAnsi"/>
          <w:color w:val="44546A" w:themeColor="text2"/>
          <w:sz w:val="20"/>
          <w:lang w:val="sr-Cyrl-RS"/>
        </w:rPr>
        <w:t>је</w:t>
      </w:r>
      <w:r w:rsidR="001367C0" w:rsidRPr="00A37BCE">
        <w:rPr>
          <w:rFonts w:cstheme="minorHAnsi"/>
          <w:color w:val="44546A" w:themeColor="text2"/>
          <w:sz w:val="20"/>
          <w:lang w:val="sr-Cyrl-RS"/>
        </w:rPr>
        <w:t xml:space="preserve"> у Немачкој и УК на нивоу од око 4%. Повећање цена енергената одлучујуће је ут</w:t>
      </w:r>
      <w:r w:rsidR="00D82375" w:rsidRPr="00A37BCE">
        <w:rPr>
          <w:rFonts w:cstheme="minorHAnsi"/>
          <w:color w:val="44546A" w:themeColor="text2"/>
          <w:sz w:val="20"/>
          <w:lang w:val="sr-Cyrl-RS"/>
        </w:rPr>
        <w:t xml:space="preserve">ицало на убрзање инфлације и у развијеним земљама </w:t>
      </w:r>
      <w:r w:rsidR="001367C0" w:rsidRPr="00A37BCE">
        <w:rPr>
          <w:rFonts w:cstheme="minorHAnsi"/>
          <w:color w:val="44546A" w:themeColor="text2"/>
          <w:sz w:val="20"/>
          <w:lang w:val="sr-Cyrl-RS"/>
        </w:rPr>
        <w:t xml:space="preserve">и у земљама у успону. </w:t>
      </w:r>
      <w:r w:rsidR="000727B2" w:rsidRPr="00A37BCE">
        <w:rPr>
          <w:rFonts w:cstheme="minorHAnsi"/>
          <w:color w:val="44546A" w:themeColor="text2"/>
          <w:sz w:val="20"/>
          <w:lang w:val="sr-Cyrl-RS"/>
        </w:rPr>
        <w:t xml:space="preserve">Међутим, базна инфлација је изразито </w:t>
      </w:r>
      <w:r w:rsidR="001367C0" w:rsidRPr="00A37BCE">
        <w:rPr>
          <w:rFonts w:cstheme="minorHAnsi"/>
          <w:color w:val="44546A" w:themeColor="text2"/>
          <w:sz w:val="20"/>
          <w:lang w:val="sr-Cyrl-RS"/>
        </w:rPr>
        <w:t>диференцирана међу развијеним земљама – значајно</w:t>
      </w:r>
      <w:r w:rsidR="000727B2" w:rsidRPr="00A37BCE">
        <w:rPr>
          <w:rFonts w:cstheme="minorHAnsi"/>
          <w:color w:val="44546A" w:themeColor="text2"/>
          <w:sz w:val="20"/>
          <w:lang w:val="sr-Cyrl-RS"/>
        </w:rPr>
        <w:t xml:space="preserve"> је</w:t>
      </w:r>
      <w:r w:rsidR="001367C0" w:rsidRPr="00A37BCE">
        <w:rPr>
          <w:rFonts w:cstheme="minorHAnsi"/>
          <w:color w:val="44546A" w:themeColor="text2"/>
          <w:sz w:val="20"/>
          <w:lang w:val="sr-Cyrl-RS"/>
        </w:rPr>
        <w:t xml:space="preserve"> испод циља у еврозони и Јапану,</w:t>
      </w:r>
      <w:r w:rsidR="00326551" w:rsidRPr="00A37BCE">
        <w:rPr>
          <w:rFonts w:cstheme="minorHAnsi"/>
          <w:color w:val="44546A" w:themeColor="text2"/>
          <w:sz w:val="20"/>
          <w:lang w:val="sr-Cyrl-RS"/>
        </w:rPr>
        <w:t xml:space="preserve"> док је </w:t>
      </w:r>
      <w:r w:rsidR="00EB7922" w:rsidRPr="00A37BCE">
        <w:rPr>
          <w:rFonts w:cstheme="minorHAnsi"/>
          <w:color w:val="44546A" w:themeColor="text2"/>
          <w:sz w:val="20"/>
          <w:lang w:val="sr-Cyrl-RS"/>
        </w:rPr>
        <w:t xml:space="preserve">близу таргета у </w:t>
      </w:r>
      <w:r w:rsidR="001367C0" w:rsidRPr="00A37BCE">
        <w:rPr>
          <w:rFonts w:cstheme="minorHAnsi"/>
          <w:color w:val="44546A" w:themeColor="text2"/>
          <w:sz w:val="20"/>
          <w:lang w:val="sr-Cyrl-RS"/>
        </w:rPr>
        <w:t>САД и УК. Ме</w:t>
      </w:r>
      <w:r w:rsidR="00D82375" w:rsidRPr="00A37BCE">
        <w:rPr>
          <w:rFonts w:cstheme="minorHAnsi"/>
          <w:color w:val="44546A" w:themeColor="text2"/>
          <w:sz w:val="20"/>
          <w:lang w:val="sr-Cyrl-RS"/>
        </w:rPr>
        <w:t>ђу земљама у успону, изузев Венецуеле</w:t>
      </w:r>
      <w:r w:rsidR="001367C0" w:rsidRPr="00A37BCE">
        <w:rPr>
          <w:rFonts w:cstheme="minorHAnsi"/>
          <w:color w:val="44546A" w:themeColor="text2"/>
          <w:sz w:val="20"/>
          <w:lang w:val="sr-Cyrl-RS"/>
        </w:rPr>
        <w:t xml:space="preserve"> у којој се бележи хиперинфлација, базна инфлација је махом испод вишегодишњег просека</w:t>
      </w:r>
      <w:r w:rsidR="00EF5E2D" w:rsidRPr="00A37BCE">
        <w:rPr>
          <w:rFonts w:cstheme="minorHAnsi"/>
          <w:color w:val="44546A" w:themeColor="text2"/>
          <w:sz w:val="20"/>
          <w:lang w:val="sr-Cyrl-RS"/>
        </w:rPr>
        <w:t xml:space="preserve">, са регистрованим убрзањем у неколико претходних месеци. </w:t>
      </w:r>
      <w:r w:rsidR="00156BFA" w:rsidRPr="00A37BCE">
        <w:rPr>
          <w:rFonts w:cstheme="minorHAnsi"/>
          <w:color w:val="44546A" w:themeColor="text2"/>
          <w:sz w:val="20"/>
          <w:lang w:val="sr-Cyrl-RS"/>
        </w:rPr>
        <w:t>Монетарн</w:t>
      </w:r>
      <w:r w:rsidR="00D82375" w:rsidRPr="00A37BCE">
        <w:rPr>
          <w:rFonts w:cstheme="minorHAnsi"/>
          <w:color w:val="44546A" w:themeColor="text2"/>
          <w:sz w:val="20"/>
          <w:lang w:val="sr-Cyrl-RS"/>
        </w:rPr>
        <w:t>е</w:t>
      </w:r>
      <w:r w:rsidR="00156BFA" w:rsidRPr="00A37BCE">
        <w:rPr>
          <w:rFonts w:cstheme="minorHAnsi"/>
          <w:color w:val="44546A" w:themeColor="text2"/>
          <w:sz w:val="20"/>
          <w:lang w:val="sr-Cyrl-RS"/>
        </w:rPr>
        <w:t xml:space="preserve"> политик</w:t>
      </w:r>
      <w:r w:rsidR="00D82375" w:rsidRPr="00A37BCE">
        <w:rPr>
          <w:rFonts w:cstheme="minorHAnsi"/>
          <w:color w:val="44546A" w:themeColor="text2"/>
          <w:sz w:val="20"/>
          <w:lang w:val="sr-Cyrl-RS"/>
        </w:rPr>
        <w:t>е</w:t>
      </w:r>
      <w:r w:rsidR="00156BFA" w:rsidRPr="00A37BCE">
        <w:rPr>
          <w:rFonts w:cstheme="minorHAnsi"/>
          <w:color w:val="44546A" w:themeColor="text2"/>
          <w:sz w:val="20"/>
          <w:lang w:val="sr-Cyrl-RS"/>
        </w:rPr>
        <w:t xml:space="preserve"> Европске централне банке (у даљем тексту: ЕЦБ) и ФЕД</w:t>
      </w:r>
      <w:r w:rsidR="00D82375" w:rsidRPr="00A37BCE">
        <w:rPr>
          <w:rFonts w:cstheme="minorHAnsi"/>
          <w:color w:val="44546A" w:themeColor="text2"/>
          <w:sz w:val="20"/>
          <w:lang w:val="sr-Cyrl-RS"/>
        </w:rPr>
        <w:t xml:space="preserve"> и даље су</w:t>
      </w:r>
      <w:r w:rsidR="00156BFA" w:rsidRPr="00A37BCE">
        <w:rPr>
          <w:rFonts w:cstheme="minorHAnsi"/>
          <w:color w:val="44546A" w:themeColor="text2"/>
          <w:sz w:val="20"/>
          <w:lang w:val="sr-Cyrl-RS"/>
        </w:rPr>
        <w:t xml:space="preserve"> </w:t>
      </w:r>
      <w:r w:rsidR="001367C0" w:rsidRPr="00A37BCE">
        <w:rPr>
          <w:rFonts w:cstheme="minorHAnsi"/>
          <w:color w:val="44546A" w:themeColor="text2"/>
          <w:sz w:val="20"/>
          <w:lang w:val="sr-Cyrl-RS"/>
        </w:rPr>
        <w:t>дивергентн</w:t>
      </w:r>
      <w:r w:rsidR="00D82375" w:rsidRPr="00A37BCE">
        <w:rPr>
          <w:rFonts w:cstheme="minorHAnsi"/>
          <w:color w:val="44546A" w:themeColor="text2"/>
          <w:sz w:val="20"/>
          <w:lang w:val="sr-Cyrl-RS"/>
        </w:rPr>
        <w:t>е</w:t>
      </w:r>
      <w:r w:rsidR="00156BFA" w:rsidRPr="00A37BCE">
        <w:rPr>
          <w:rFonts w:cstheme="minorHAnsi"/>
          <w:color w:val="44546A" w:themeColor="text2"/>
          <w:sz w:val="20"/>
          <w:lang w:val="sr-Cyrl-RS"/>
        </w:rPr>
        <w:t>. Д</w:t>
      </w:r>
      <w:r w:rsidR="00D82375" w:rsidRPr="00A37BCE">
        <w:rPr>
          <w:rFonts w:cstheme="minorHAnsi"/>
          <w:color w:val="44546A" w:themeColor="text2"/>
          <w:sz w:val="20"/>
          <w:lang w:val="sr-Cyrl-RS"/>
        </w:rPr>
        <w:t>ок се у САД градацијски</w:t>
      </w:r>
      <w:r w:rsidR="001367C0" w:rsidRPr="00A37BCE">
        <w:rPr>
          <w:rFonts w:cstheme="minorHAnsi"/>
          <w:color w:val="44546A" w:themeColor="text2"/>
          <w:sz w:val="20"/>
          <w:lang w:val="sr-Cyrl-RS"/>
        </w:rPr>
        <w:t xml:space="preserve"> повећава референтна каматна стопа, у еврозони су и током </w:t>
      </w:r>
      <w:r w:rsidR="001367C0" w:rsidRPr="00A37BCE">
        <w:rPr>
          <w:rFonts w:cstheme="minorHAnsi"/>
          <w:color w:val="44546A" w:themeColor="text2"/>
          <w:sz w:val="20"/>
          <w:lang w:val="sr-Cyrl-RS"/>
        </w:rPr>
        <w:lastRenderedPageBreak/>
        <w:t>2018. године спровођене мере квантитативне ре</w:t>
      </w:r>
      <w:r w:rsidR="00D82375" w:rsidRPr="00A37BCE">
        <w:rPr>
          <w:rFonts w:cstheme="minorHAnsi"/>
          <w:color w:val="44546A" w:themeColor="text2"/>
          <w:sz w:val="20"/>
          <w:lang w:val="sr-Cyrl-RS"/>
        </w:rPr>
        <w:t xml:space="preserve">лаксације, додуше у мањем обиму. Из ЕЦБ је </w:t>
      </w:r>
      <w:r w:rsidR="00D82375" w:rsidRPr="00A37BCE">
        <w:rPr>
          <w:rFonts w:cstheme="minorHAnsi"/>
          <w:color w:val="44546A" w:themeColor="text2"/>
          <w:sz w:val="20"/>
          <w:lang w:val="sr-Cyrl-RS"/>
        </w:rPr>
        <w:lastRenderedPageBreak/>
        <w:t xml:space="preserve">најављено </w:t>
      </w:r>
      <w:r w:rsidR="001367C0" w:rsidRPr="00A37BCE">
        <w:rPr>
          <w:rFonts w:cstheme="minorHAnsi"/>
          <w:color w:val="44546A" w:themeColor="text2"/>
          <w:sz w:val="20"/>
          <w:lang w:val="sr-Cyrl-RS"/>
        </w:rPr>
        <w:t>да се каматне стопе неће мењати најмање</w:t>
      </w:r>
      <w:r w:rsidR="00D82375" w:rsidRPr="00A37BCE">
        <w:rPr>
          <w:rFonts w:cstheme="minorHAnsi"/>
          <w:color w:val="44546A" w:themeColor="text2"/>
          <w:sz w:val="20"/>
          <w:lang w:val="sr-Cyrl-RS"/>
        </w:rPr>
        <w:t xml:space="preserve"> </w:t>
      </w:r>
      <w:r w:rsidR="001367C0" w:rsidRPr="00A37BCE">
        <w:rPr>
          <w:rFonts w:cstheme="minorHAnsi"/>
          <w:color w:val="44546A" w:themeColor="text2"/>
          <w:sz w:val="20"/>
          <w:lang w:val="sr-Cyrl-RS"/>
        </w:rPr>
        <w:t>до</w:t>
      </w:r>
      <w:r w:rsidR="00D82375" w:rsidRPr="00A37BCE">
        <w:rPr>
          <w:rFonts w:cstheme="minorHAnsi"/>
          <w:color w:val="44546A" w:themeColor="text2"/>
          <w:sz w:val="20"/>
          <w:lang w:val="sr-Cyrl-RS"/>
        </w:rPr>
        <w:t xml:space="preserve"> </w:t>
      </w:r>
      <w:r w:rsidR="001367C0" w:rsidRPr="00A37BCE">
        <w:rPr>
          <w:rFonts w:cstheme="minorHAnsi"/>
          <w:color w:val="44546A" w:themeColor="text2"/>
          <w:sz w:val="20"/>
          <w:lang w:val="sr-Cyrl-RS"/>
        </w:rPr>
        <w:t>лета 2019. године.</w:t>
      </w:r>
      <w:r w:rsidR="00AA31B1" w:rsidRPr="00A37BCE">
        <w:rPr>
          <w:rFonts w:cstheme="minorHAnsi"/>
          <w:color w:val="44546A" w:themeColor="text2"/>
          <w:sz w:val="20"/>
          <w:lang w:val="sr-Cyrl-RS"/>
        </w:rPr>
        <w:t xml:space="preserve"> </w:t>
      </w:r>
      <w:r w:rsidR="001367C0" w:rsidRPr="00A37BCE">
        <w:rPr>
          <w:rFonts w:cstheme="minorHAnsi"/>
          <w:color w:val="44546A" w:themeColor="text2"/>
          <w:sz w:val="20"/>
          <w:lang w:val="sr-Cyrl-RS"/>
        </w:rPr>
        <w:br/>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16"/>
        <w:gridCol w:w="1033"/>
        <w:gridCol w:w="1035"/>
        <w:gridCol w:w="1035"/>
        <w:gridCol w:w="1041"/>
      </w:tblGrid>
      <w:tr w:rsidR="00B85C6C" w:rsidRPr="00A37BCE" w14:paraId="00FFCE8B" w14:textId="77777777" w:rsidTr="000931AB">
        <w:trPr>
          <w:trHeight w:val="414"/>
        </w:trPr>
        <w:tc>
          <w:tcPr>
            <w:tcW w:w="5000" w:type="pct"/>
            <w:gridSpan w:val="5"/>
            <w:tcBorders>
              <w:bottom w:val="single" w:sz="4" w:space="0" w:color="002060"/>
            </w:tcBorders>
          </w:tcPr>
          <w:p w14:paraId="6334F09E" w14:textId="21215FBE" w:rsidR="00CB0452" w:rsidRPr="00A37BCE" w:rsidRDefault="00B85C6C" w:rsidP="00CB0452">
            <w:pPr>
              <w:spacing w:before="100" w:beforeAutospacing="1"/>
              <w:jc w:val="center"/>
              <w:rPr>
                <w:rFonts w:cstheme="minorHAnsi"/>
                <w:b/>
                <w:color w:val="002060"/>
                <w:sz w:val="20"/>
                <w:lang w:val="sr-Cyrl-RS"/>
              </w:rPr>
            </w:pPr>
            <w:r w:rsidRPr="00A37BCE">
              <w:rPr>
                <w:rFonts w:cstheme="minorHAnsi"/>
                <w:b/>
                <w:color w:val="002060"/>
                <w:sz w:val="20"/>
                <w:lang w:val="sr-Cyrl-RS"/>
              </w:rPr>
              <w:lastRenderedPageBreak/>
              <w:t>Табела 1. Међународно окружење – макроекономски показатељи</w:t>
            </w:r>
          </w:p>
        </w:tc>
      </w:tr>
      <w:tr w:rsidR="00B85C6C" w:rsidRPr="00A37BCE" w14:paraId="55E1E3A7" w14:textId="77777777" w:rsidTr="00C75D50">
        <w:tc>
          <w:tcPr>
            <w:tcW w:w="2786" w:type="pct"/>
            <w:tcBorders>
              <w:top w:val="single" w:sz="4" w:space="0" w:color="002060"/>
              <w:left w:val="single" w:sz="2" w:space="0" w:color="FFFFFF" w:themeColor="background1"/>
              <w:bottom w:val="single" w:sz="2" w:space="0" w:color="FFFFFF" w:themeColor="background1"/>
              <w:right w:val="single" w:sz="2" w:space="0" w:color="FFFFFF" w:themeColor="background1"/>
            </w:tcBorders>
          </w:tcPr>
          <w:p w14:paraId="2A9FA708" w14:textId="77777777" w:rsidR="00B85C6C" w:rsidRPr="00A37BCE" w:rsidRDefault="00B85C6C" w:rsidP="001E0313">
            <w:pPr>
              <w:jc w:val="both"/>
              <w:rPr>
                <w:rFonts w:cstheme="minorHAnsi"/>
                <w:color w:val="002060"/>
                <w:sz w:val="18"/>
                <w:lang w:val="sr-Cyrl-RS"/>
              </w:rPr>
            </w:pPr>
          </w:p>
        </w:tc>
        <w:tc>
          <w:tcPr>
            <w:tcW w:w="552" w:type="pct"/>
            <w:tcBorders>
              <w:top w:val="single" w:sz="4" w:space="0" w:color="002060"/>
              <w:left w:val="single" w:sz="2" w:space="0" w:color="FFFFFF" w:themeColor="background1"/>
              <w:bottom w:val="single" w:sz="4" w:space="0" w:color="002060"/>
              <w:right w:val="single" w:sz="2" w:space="0" w:color="FFFFFF" w:themeColor="background1"/>
            </w:tcBorders>
          </w:tcPr>
          <w:p w14:paraId="728319A3" w14:textId="77777777" w:rsidR="00B85C6C" w:rsidRPr="00A37BCE" w:rsidRDefault="00B85C6C" w:rsidP="001E0313">
            <w:pPr>
              <w:jc w:val="center"/>
              <w:rPr>
                <w:rFonts w:cstheme="minorHAnsi"/>
                <w:color w:val="002060"/>
                <w:sz w:val="18"/>
                <w:lang w:val="sr-Cyrl-RS"/>
              </w:rPr>
            </w:pPr>
            <w:r w:rsidRPr="00A37BCE">
              <w:rPr>
                <w:rFonts w:cstheme="minorHAnsi"/>
                <w:color w:val="002060"/>
                <w:sz w:val="18"/>
                <w:lang w:val="sr-Cyrl-RS"/>
              </w:rPr>
              <w:t>2017</w:t>
            </w:r>
          </w:p>
        </w:tc>
        <w:tc>
          <w:tcPr>
            <w:tcW w:w="553" w:type="pct"/>
            <w:tcBorders>
              <w:top w:val="single" w:sz="4" w:space="0" w:color="002060"/>
              <w:left w:val="single" w:sz="2" w:space="0" w:color="FFFFFF" w:themeColor="background1"/>
              <w:bottom w:val="single" w:sz="4" w:space="0" w:color="002060"/>
              <w:right w:val="single" w:sz="2" w:space="0" w:color="FFFFFF" w:themeColor="background1"/>
            </w:tcBorders>
          </w:tcPr>
          <w:p w14:paraId="2A7B6652" w14:textId="77777777" w:rsidR="00B85C6C" w:rsidRPr="00A37BCE" w:rsidRDefault="00B85C6C" w:rsidP="001E0313">
            <w:pPr>
              <w:jc w:val="center"/>
              <w:rPr>
                <w:rFonts w:cstheme="minorHAnsi"/>
                <w:color w:val="002060"/>
                <w:sz w:val="18"/>
                <w:lang w:val="sr-Cyrl-RS"/>
              </w:rPr>
            </w:pPr>
            <w:r w:rsidRPr="00A37BCE">
              <w:rPr>
                <w:rFonts w:cstheme="minorHAnsi"/>
                <w:color w:val="002060"/>
                <w:sz w:val="18"/>
                <w:lang w:val="sr-Cyrl-RS"/>
              </w:rPr>
              <w:t>2018</w:t>
            </w:r>
          </w:p>
        </w:tc>
        <w:tc>
          <w:tcPr>
            <w:tcW w:w="553" w:type="pct"/>
            <w:tcBorders>
              <w:top w:val="single" w:sz="4" w:space="0" w:color="002060"/>
              <w:left w:val="single" w:sz="2" w:space="0" w:color="FFFFFF" w:themeColor="background1"/>
              <w:bottom w:val="single" w:sz="4" w:space="0" w:color="002060"/>
              <w:right w:val="single" w:sz="2" w:space="0" w:color="FFFFFF" w:themeColor="background1"/>
            </w:tcBorders>
          </w:tcPr>
          <w:p w14:paraId="5B11250A" w14:textId="77777777" w:rsidR="00B85C6C" w:rsidRPr="00A37BCE" w:rsidRDefault="00B85C6C" w:rsidP="001E0313">
            <w:pPr>
              <w:jc w:val="center"/>
              <w:rPr>
                <w:rFonts w:cstheme="minorHAnsi"/>
                <w:color w:val="002060"/>
                <w:sz w:val="18"/>
                <w:lang w:val="sr-Cyrl-RS"/>
              </w:rPr>
            </w:pPr>
            <w:r w:rsidRPr="00A37BCE">
              <w:rPr>
                <w:rFonts w:cstheme="minorHAnsi"/>
                <w:color w:val="002060"/>
                <w:sz w:val="18"/>
                <w:lang w:val="sr-Cyrl-RS"/>
              </w:rPr>
              <w:t>2019</w:t>
            </w:r>
          </w:p>
        </w:tc>
        <w:tc>
          <w:tcPr>
            <w:tcW w:w="553" w:type="pct"/>
            <w:tcBorders>
              <w:top w:val="single" w:sz="4" w:space="0" w:color="002060"/>
              <w:left w:val="single" w:sz="2" w:space="0" w:color="FFFFFF" w:themeColor="background1"/>
              <w:bottom w:val="single" w:sz="4" w:space="0" w:color="002060"/>
              <w:right w:val="single" w:sz="2" w:space="0" w:color="FFFFFF" w:themeColor="background1"/>
            </w:tcBorders>
          </w:tcPr>
          <w:p w14:paraId="3BC6D4E3" w14:textId="77777777" w:rsidR="00B85C6C" w:rsidRPr="00A37BCE" w:rsidRDefault="00B85C6C" w:rsidP="001E0313">
            <w:pPr>
              <w:jc w:val="center"/>
              <w:rPr>
                <w:rFonts w:cstheme="minorHAnsi"/>
                <w:color w:val="002060"/>
                <w:sz w:val="18"/>
                <w:lang w:val="sr-Cyrl-RS"/>
              </w:rPr>
            </w:pPr>
            <w:r w:rsidRPr="00A37BCE">
              <w:rPr>
                <w:rFonts w:cstheme="minorHAnsi"/>
                <w:color w:val="002060"/>
                <w:sz w:val="18"/>
                <w:lang w:val="sr-Cyrl-RS"/>
              </w:rPr>
              <w:t>2020</w:t>
            </w:r>
          </w:p>
        </w:tc>
      </w:tr>
      <w:tr w:rsidR="00F20588" w:rsidRPr="00A37BCE" w14:paraId="798BC5EC" w14:textId="77777777" w:rsidTr="00C75D50">
        <w:tc>
          <w:tcPr>
            <w:tcW w:w="4997" w:type="pct"/>
            <w:gridSpan w:val="5"/>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Pr>
          <w:p w14:paraId="72CB3A62" w14:textId="5AEF230E" w:rsidR="00F20588" w:rsidRPr="00A37BCE" w:rsidRDefault="00F20588" w:rsidP="001E0313">
            <w:pPr>
              <w:rPr>
                <w:rFonts w:cstheme="minorHAnsi"/>
                <w:color w:val="002060"/>
                <w:sz w:val="18"/>
                <w:lang w:val="sr-Cyrl-RS"/>
              </w:rPr>
            </w:pPr>
            <w:r w:rsidRPr="00A37BCE">
              <w:rPr>
                <w:rFonts w:cstheme="minorHAnsi"/>
                <w:color w:val="002060"/>
                <w:sz w:val="18"/>
                <w:lang w:val="sr-Cyrl-RS"/>
              </w:rPr>
              <w:t>Реални раст бруто домаћег производа</w:t>
            </w:r>
            <w:r w:rsidRPr="00A37BCE">
              <w:rPr>
                <w:rFonts w:cstheme="minorHAnsi"/>
                <w:color w:val="002060"/>
                <w:sz w:val="18"/>
                <w:vertAlign w:val="superscript"/>
                <w:lang w:val="sr-Cyrl-RS"/>
              </w:rPr>
              <w:t>1</w:t>
            </w:r>
            <w:r w:rsidRPr="00A37BCE">
              <w:rPr>
                <w:rFonts w:cstheme="minorHAnsi"/>
                <w:color w:val="002060"/>
                <w:sz w:val="18"/>
                <w:lang w:val="sr-Cyrl-RS"/>
              </w:rPr>
              <w:t>, %</w:t>
            </w:r>
          </w:p>
        </w:tc>
      </w:tr>
      <w:tr w:rsidR="001367C0" w:rsidRPr="00A37BCE" w14:paraId="2BA7BD8B" w14:textId="77777777" w:rsidTr="00C75D50">
        <w:tc>
          <w:tcPr>
            <w:tcW w:w="2786" w:type="pct"/>
            <w:tcBorders>
              <w:top w:val="single" w:sz="2" w:space="0" w:color="FFFFFF" w:themeColor="background1"/>
            </w:tcBorders>
          </w:tcPr>
          <w:p w14:paraId="0234E68C" w14:textId="1261A449" w:rsidR="001367C0" w:rsidRPr="00A37BCE" w:rsidRDefault="001367C0" w:rsidP="001367C0">
            <w:pPr>
              <w:ind w:left="255"/>
              <w:jc w:val="both"/>
              <w:rPr>
                <w:rFonts w:cstheme="minorHAnsi"/>
                <w:color w:val="002060"/>
                <w:sz w:val="18"/>
                <w:lang w:val="sr-Cyrl-RS"/>
              </w:rPr>
            </w:pPr>
            <w:r w:rsidRPr="00A37BCE">
              <w:rPr>
                <w:rFonts w:cstheme="minorHAnsi"/>
                <w:color w:val="002060"/>
                <w:sz w:val="18"/>
                <w:lang w:val="sr-Cyrl-RS"/>
              </w:rPr>
              <w:t>Свет укупно</w:t>
            </w:r>
          </w:p>
        </w:tc>
        <w:tc>
          <w:tcPr>
            <w:tcW w:w="552" w:type="pct"/>
            <w:tcBorders>
              <w:top w:val="single" w:sz="2" w:space="0" w:color="FFFFFF" w:themeColor="background1"/>
            </w:tcBorders>
          </w:tcPr>
          <w:p w14:paraId="5C0FE36E" w14:textId="66A4BDA1"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3,7</w:t>
            </w:r>
          </w:p>
        </w:tc>
        <w:tc>
          <w:tcPr>
            <w:tcW w:w="553" w:type="pct"/>
            <w:tcBorders>
              <w:top w:val="single" w:sz="2" w:space="0" w:color="FFFFFF" w:themeColor="background1"/>
            </w:tcBorders>
          </w:tcPr>
          <w:p w14:paraId="6894D078" w14:textId="3006CDDC"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3,7</w:t>
            </w:r>
          </w:p>
        </w:tc>
        <w:tc>
          <w:tcPr>
            <w:tcW w:w="553" w:type="pct"/>
            <w:tcBorders>
              <w:top w:val="single" w:sz="2" w:space="0" w:color="FFFFFF" w:themeColor="background1"/>
            </w:tcBorders>
          </w:tcPr>
          <w:p w14:paraId="300E7FCF" w14:textId="732F0769"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3,7</w:t>
            </w:r>
          </w:p>
        </w:tc>
        <w:tc>
          <w:tcPr>
            <w:tcW w:w="553" w:type="pct"/>
            <w:tcBorders>
              <w:top w:val="single" w:sz="2" w:space="0" w:color="FFFFFF" w:themeColor="background1"/>
            </w:tcBorders>
          </w:tcPr>
          <w:p w14:paraId="3749F779" w14:textId="15B2DF50"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3,7</w:t>
            </w:r>
          </w:p>
        </w:tc>
      </w:tr>
      <w:tr w:rsidR="001367C0" w:rsidRPr="00A37BCE" w14:paraId="259DEB4C" w14:textId="77777777" w:rsidTr="00C75D50">
        <w:tc>
          <w:tcPr>
            <w:tcW w:w="2786" w:type="pct"/>
          </w:tcPr>
          <w:p w14:paraId="5D1F3624" w14:textId="097A01BD" w:rsidR="001367C0" w:rsidRPr="00A37BCE" w:rsidRDefault="001367C0" w:rsidP="001367C0">
            <w:pPr>
              <w:ind w:left="255"/>
              <w:jc w:val="both"/>
              <w:rPr>
                <w:rFonts w:cstheme="minorHAnsi"/>
                <w:color w:val="002060"/>
                <w:sz w:val="18"/>
                <w:lang w:val="sr-Cyrl-RS"/>
              </w:rPr>
            </w:pPr>
            <w:r w:rsidRPr="00A37BCE">
              <w:rPr>
                <w:rFonts w:cstheme="minorHAnsi"/>
                <w:color w:val="002060"/>
                <w:sz w:val="18"/>
                <w:lang w:val="sr-Cyrl-RS"/>
              </w:rPr>
              <w:t>Развијене економије</w:t>
            </w:r>
          </w:p>
        </w:tc>
        <w:tc>
          <w:tcPr>
            <w:tcW w:w="552" w:type="pct"/>
          </w:tcPr>
          <w:p w14:paraId="1A3B5FD6" w14:textId="15C94CC2"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2,3</w:t>
            </w:r>
          </w:p>
        </w:tc>
        <w:tc>
          <w:tcPr>
            <w:tcW w:w="553" w:type="pct"/>
          </w:tcPr>
          <w:p w14:paraId="72D85674" w14:textId="185D23F9"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2,4</w:t>
            </w:r>
          </w:p>
        </w:tc>
        <w:tc>
          <w:tcPr>
            <w:tcW w:w="553" w:type="pct"/>
          </w:tcPr>
          <w:p w14:paraId="70798571" w14:textId="68F07E10"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2,1</w:t>
            </w:r>
          </w:p>
        </w:tc>
        <w:tc>
          <w:tcPr>
            <w:tcW w:w="553" w:type="pct"/>
          </w:tcPr>
          <w:p w14:paraId="01013013" w14:textId="2C466B44"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1,7</w:t>
            </w:r>
          </w:p>
        </w:tc>
      </w:tr>
      <w:tr w:rsidR="00C75D50" w:rsidRPr="00A37BCE" w14:paraId="7CF91775" w14:textId="77777777" w:rsidTr="00C75D50">
        <w:tc>
          <w:tcPr>
            <w:tcW w:w="2786" w:type="pct"/>
          </w:tcPr>
          <w:p w14:paraId="36588466" w14:textId="7725EABA" w:rsidR="00C75D50" w:rsidRPr="00A37BCE" w:rsidRDefault="00C75D50" w:rsidP="00C75D50">
            <w:pPr>
              <w:ind w:left="615" w:hanging="180"/>
              <w:jc w:val="both"/>
              <w:rPr>
                <w:rFonts w:cstheme="minorHAnsi"/>
                <w:color w:val="002060"/>
                <w:sz w:val="18"/>
                <w:lang w:val="sr-Cyrl-RS"/>
              </w:rPr>
            </w:pPr>
            <w:r w:rsidRPr="00A37BCE">
              <w:rPr>
                <w:rFonts w:cstheme="minorHAnsi"/>
                <w:color w:val="002060"/>
                <w:sz w:val="18"/>
                <w:lang w:val="sr-Cyrl-RS"/>
              </w:rPr>
              <w:t>САД</w:t>
            </w:r>
          </w:p>
        </w:tc>
        <w:tc>
          <w:tcPr>
            <w:tcW w:w="552" w:type="pct"/>
          </w:tcPr>
          <w:p w14:paraId="2123BF74" w14:textId="27629482" w:rsidR="00C75D50" w:rsidRPr="00A37BCE" w:rsidRDefault="00C75D50" w:rsidP="00C75D50">
            <w:pPr>
              <w:jc w:val="center"/>
              <w:rPr>
                <w:rFonts w:cstheme="minorHAnsi"/>
                <w:color w:val="002060"/>
                <w:sz w:val="18"/>
                <w:lang w:val="sr-Cyrl-RS"/>
              </w:rPr>
            </w:pPr>
            <w:r w:rsidRPr="00A37BCE">
              <w:rPr>
                <w:rFonts w:cstheme="minorHAnsi"/>
                <w:color w:val="002060"/>
                <w:sz w:val="18"/>
                <w:lang w:val="sr-Cyrl-RS"/>
              </w:rPr>
              <w:t>2,2</w:t>
            </w:r>
          </w:p>
        </w:tc>
        <w:tc>
          <w:tcPr>
            <w:tcW w:w="553" w:type="pct"/>
          </w:tcPr>
          <w:p w14:paraId="73747EE8" w14:textId="60DD20F1" w:rsidR="00C75D50" w:rsidRPr="00A37BCE" w:rsidRDefault="00C75D50" w:rsidP="00C75D50">
            <w:pPr>
              <w:jc w:val="center"/>
              <w:rPr>
                <w:rFonts w:cstheme="minorHAnsi"/>
                <w:color w:val="002060"/>
                <w:sz w:val="18"/>
                <w:lang w:val="sr-Cyrl-RS"/>
              </w:rPr>
            </w:pPr>
            <w:r w:rsidRPr="00A37BCE">
              <w:rPr>
                <w:rFonts w:cstheme="minorHAnsi"/>
                <w:color w:val="002060"/>
                <w:sz w:val="18"/>
                <w:lang w:val="sr-Cyrl-RS"/>
              </w:rPr>
              <w:t>2,9</w:t>
            </w:r>
          </w:p>
        </w:tc>
        <w:tc>
          <w:tcPr>
            <w:tcW w:w="553" w:type="pct"/>
          </w:tcPr>
          <w:p w14:paraId="57358C35" w14:textId="72CFDAD4" w:rsidR="00C75D50" w:rsidRPr="00A37BCE" w:rsidRDefault="00C75D50" w:rsidP="00C75D50">
            <w:pPr>
              <w:jc w:val="center"/>
              <w:rPr>
                <w:rFonts w:cstheme="minorHAnsi"/>
                <w:color w:val="002060"/>
                <w:sz w:val="18"/>
                <w:lang w:val="sr-Cyrl-RS"/>
              </w:rPr>
            </w:pPr>
            <w:r w:rsidRPr="00A37BCE">
              <w:rPr>
                <w:rFonts w:cstheme="minorHAnsi"/>
                <w:color w:val="002060"/>
                <w:sz w:val="18"/>
                <w:lang w:val="sr-Cyrl-RS"/>
              </w:rPr>
              <w:t>2,5</w:t>
            </w:r>
          </w:p>
        </w:tc>
        <w:tc>
          <w:tcPr>
            <w:tcW w:w="553" w:type="pct"/>
          </w:tcPr>
          <w:p w14:paraId="3C50A5E5" w14:textId="5CA72917" w:rsidR="00C75D50" w:rsidRPr="00A37BCE" w:rsidRDefault="00C75D50" w:rsidP="00C75D50">
            <w:pPr>
              <w:jc w:val="center"/>
              <w:rPr>
                <w:rFonts w:cstheme="minorHAnsi"/>
                <w:color w:val="002060"/>
                <w:sz w:val="18"/>
                <w:lang w:val="sr-Cyrl-RS"/>
              </w:rPr>
            </w:pPr>
            <w:r w:rsidRPr="00A37BCE">
              <w:rPr>
                <w:rFonts w:cstheme="minorHAnsi"/>
                <w:color w:val="002060"/>
                <w:sz w:val="18"/>
                <w:lang w:val="sr-Cyrl-RS"/>
              </w:rPr>
              <w:t>1,8</w:t>
            </w:r>
          </w:p>
        </w:tc>
      </w:tr>
      <w:tr w:rsidR="00C75D50" w:rsidRPr="00A37BCE" w14:paraId="3250E37E" w14:textId="77777777" w:rsidTr="00C75D50">
        <w:tc>
          <w:tcPr>
            <w:tcW w:w="2786" w:type="pct"/>
          </w:tcPr>
          <w:p w14:paraId="7B05D877" w14:textId="6FB99804" w:rsidR="00C75D50" w:rsidRPr="00A37BCE" w:rsidRDefault="00C75D50" w:rsidP="00C75D50">
            <w:pPr>
              <w:ind w:left="615" w:hanging="180"/>
              <w:rPr>
                <w:rFonts w:cstheme="minorHAnsi"/>
                <w:color w:val="002060"/>
                <w:sz w:val="18"/>
                <w:lang w:val="sr-Cyrl-RS"/>
              </w:rPr>
            </w:pPr>
            <w:r w:rsidRPr="00A37BCE">
              <w:rPr>
                <w:rFonts w:cstheme="minorHAnsi"/>
                <w:color w:val="002060"/>
                <w:sz w:val="18"/>
                <w:lang w:val="sr-Cyrl-RS"/>
              </w:rPr>
              <w:t>Еврозона</w:t>
            </w:r>
          </w:p>
        </w:tc>
        <w:tc>
          <w:tcPr>
            <w:tcW w:w="552" w:type="pct"/>
          </w:tcPr>
          <w:p w14:paraId="165CCB56" w14:textId="3F7B48E5" w:rsidR="00C75D50" w:rsidRPr="00A37BCE" w:rsidRDefault="00C75D50" w:rsidP="00C75D50">
            <w:pPr>
              <w:jc w:val="center"/>
              <w:rPr>
                <w:rFonts w:cstheme="minorHAnsi"/>
                <w:color w:val="002060"/>
                <w:sz w:val="18"/>
                <w:lang w:val="sr-Cyrl-RS"/>
              </w:rPr>
            </w:pPr>
            <w:r w:rsidRPr="00A37BCE">
              <w:rPr>
                <w:rFonts w:cstheme="minorHAnsi"/>
                <w:color w:val="002060"/>
                <w:sz w:val="18"/>
                <w:lang w:val="sr-Cyrl-RS"/>
              </w:rPr>
              <w:t>2,4</w:t>
            </w:r>
          </w:p>
        </w:tc>
        <w:tc>
          <w:tcPr>
            <w:tcW w:w="553" w:type="pct"/>
          </w:tcPr>
          <w:p w14:paraId="00F1617C" w14:textId="0FF6468A" w:rsidR="00C75D50" w:rsidRPr="00A37BCE" w:rsidRDefault="00C75D50" w:rsidP="00C75D50">
            <w:pPr>
              <w:jc w:val="center"/>
              <w:rPr>
                <w:rFonts w:cstheme="minorHAnsi"/>
                <w:color w:val="002060"/>
                <w:sz w:val="18"/>
                <w:lang w:val="sr-Cyrl-RS"/>
              </w:rPr>
            </w:pPr>
            <w:r w:rsidRPr="00A37BCE">
              <w:rPr>
                <w:rFonts w:cstheme="minorHAnsi"/>
                <w:color w:val="002060"/>
                <w:sz w:val="18"/>
                <w:lang w:val="sr-Cyrl-RS"/>
              </w:rPr>
              <w:t>2,0</w:t>
            </w:r>
          </w:p>
        </w:tc>
        <w:tc>
          <w:tcPr>
            <w:tcW w:w="553" w:type="pct"/>
          </w:tcPr>
          <w:p w14:paraId="47359136" w14:textId="7D903288" w:rsidR="00C75D50" w:rsidRPr="00A37BCE" w:rsidRDefault="00C75D50" w:rsidP="00C75D50">
            <w:pPr>
              <w:jc w:val="center"/>
              <w:rPr>
                <w:rFonts w:cstheme="minorHAnsi"/>
                <w:color w:val="002060"/>
                <w:sz w:val="18"/>
                <w:lang w:val="sr-Cyrl-RS"/>
              </w:rPr>
            </w:pPr>
            <w:r w:rsidRPr="00A37BCE">
              <w:rPr>
                <w:rFonts w:cstheme="minorHAnsi"/>
                <w:color w:val="002060"/>
                <w:sz w:val="18"/>
                <w:lang w:val="sr-Cyrl-RS"/>
              </w:rPr>
              <w:t>1,9</w:t>
            </w:r>
          </w:p>
        </w:tc>
        <w:tc>
          <w:tcPr>
            <w:tcW w:w="553" w:type="pct"/>
          </w:tcPr>
          <w:p w14:paraId="6D10A32D" w14:textId="437B350A" w:rsidR="00C75D50" w:rsidRPr="00A37BCE" w:rsidRDefault="00C75D50" w:rsidP="00C75D50">
            <w:pPr>
              <w:jc w:val="center"/>
              <w:rPr>
                <w:rFonts w:cstheme="minorHAnsi"/>
                <w:color w:val="002060"/>
                <w:sz w:val="18"/>
                <w:lang w:val="sr-Cyrl-RS"/>
              </w:rPr>
            </w:pPr>
            <w:r w:rsidRPr="00A37BCE">
              <w:rPr>
                <w:rFonts w:cstheme="minorHAnsi"/>
                <w:color w:val="002060"/>
                <w:sz w:val="18"/>
                <w:lang w:val="sr-Cyrl-RS"/>
              </w:rPr>
              <w:t>1,7</w:t>
            </w:r>
          </w:p>
        </w:tc>
      </w:tr>
      <w:tr w:rsidR="00C75D50" w:rsidRPr="00A37BCE" w14:paraId="6255E63B" w14:textId="77777777" w:rsidTr="00C75D50">
        <w:tc>
          <w:tcPr>
            <w:tcW w:w="2786" w:type="pct"/>
          </w:tcPr>
          <w:p w14:paraId="38F2F952" w14:textId="7AACEA72" w:rsidR="00C75D50" w:rsidRPr="00A37BCE" w:rsidRDefault="00C75D50" w:rsidP="00C75D50">
            <w:pPr>
              <w:ind w:left="345" w:hanging="90"/>
              <w:rPr>
                <w:rFonts w:cstheme="minorHAnsi"/>
                <w:color w:val="002060"/>
                <w:sz w:val="18"/>
                <w:lang w:val="sr-Cyrl-RS"/>
              </w:rPr>
            </w:pPr>
            <w:r w:rsidRPr="00A37BCE">
              <w:rPr>
                <w:rFonts w:cstheme="minorHAnsi"/>
                <w:color w:val="002060"/>
                <w:sz w:val="18"/>
                <w:lang w:val="sr-Cyrl-RS"/>
              </w:rPr>
              <w:t>Земље у успону</w:t>
            </w:r>
          </w:p>
        </w:tc>
        <w:tc>
          <w:tcPr>
            <w:tcW w:w="552" w:type="pct"/>
          </w:tcPr>
          <w:p w14:paraId="5C539DB9" w14:textId="74204A6A" w:rsidR="00C75D50" w:rsidRPr="00A37BCE" w:rsidRDefault="00C75D50" w:rsidP="00C75D50">
            <w:pPr>
              <w:jc w:val="center"/>
              <w:rPr>
                <w:rFonts w:cstheme="minorHAnsi"/>
                <w:color w:val="002060"/>
                <w:sz w:val="18"/>
                <w:lang w:val="sr-Cyrl-RS"/>
              </w:rPr>
            </w:pPr>
            <w:r w:rsidRPr="00A37BCE">
              <w:rPr>
                <w:rFonts w:cstheme="minorHAnsi"/>
                <w:color w:val="002060"/>
                <w:sz w:val="18"/>
                <w:lang w:val="sr-Cyrl-RS"/>
              </w:rPr>
              <w:t>4,7</w:t>
            </w:r>
          </w:p>
        </w:tc>
        <w:tc>
          <w:tcPr>
            <w:tcW w:w="553" w:type="pct"/>
          </w:tcPr>
          <w:p w14:paraId="0ED6A15F" w14:textId="74099BA8" w:rsidR="00C75D50" w:rsidRPr="00A37BCE" w:rsidRDefault="00C75D50" w:rsidP="00C75D50">
            <w:pPr>
              <w:jc w:val="center"/>
              <w:rPr>
                <w:rFonts w:cstheme="minorHAnsi"/>
                <w:color w:val="002060"/>
                <w:sz w:val="18"/>
                <w:lang w:val="sr-Cyrl-RS"/>
              </w:rPr>
            </w:pPr>
            <w:r w:rsidRPr="00A37BCE">
              <w:rPr>
                <w:rFonts w:cstheme="minorHAnsi"/>
                <w:color w:val="002060"/>
                <w:sz w:val="18"/>
                <w:lang w:val="sr-Cyrl-RS"/>
              </w:rPr>
              <w:t>4,7</w:t>
            </w:r>
          </w:p>
        </w:tc>
        <w:tc>
          <w:tcPr>
            <w:tcW w:w="553" w:type="pct"/>
          </w:tcPr>
          <w:p w14:paraId="5AF960D9" w14:textId="7A8D7C43" w:rsidR="00C75D50" w:rsidRPr="00A37BCE" w:rsidRDefault="00C75D50" w:rsidP="00C75D50">
            <w:pPr>
              <w:jc w:val="center"/>
              <w:rPr>
                <w:rFonts w:cstheme="minorHAnsi"/>
                <w:color w:val="002060"/>
                <w:sz w:val="18"/>
                <w:lang w:val="sr-Cyrl-RS"/>
              </w:rPr>
            </w:pPr>
            <w:r w:rsidRPr="00A37BCE">
              <w:rPr>
                <w:rFonts w:cstheme="minorHAnsi"/>
                <w:color w:val="002060"/>
                <w:sz w:val="18"/>
                <w:lang w:val="sr-Cyrl-RS"/>
              </w:rPr>
              <w:t>4,7</w:t>
            </w:r>
          </w:p>
        </w:tc>
        <w:tc>
          <w:tcPr>
            <w:tcW w:w="553" w:type="pct"/>
          </w:tcPr>
          <w:p w14:paraId="2C054C89" w14:textId="0EFACBB1" w:rsidR="00C75D50" w:rsidRPr="00A37BCE" w:rsidRDefault="00C75D50" w:rsidP="00C75D50">
            <w:pPr>
              <w:jc w:val="center"/>
              <w:rPr>
                <w:rFonts w:cstheme="minorHAnsi"/>
                <w:color w:val="002060"/>
                <w:sz w:val="18"/>
                <w:lang w:val="sr-Cyrl-RS"/>
              </w:rPr>
            </w:pPr>
            <w:r w:rsidRPr="00A37BCE">
              <w:rPr>
                <w:rFonts w:cstheme="minorHAnsi"/>
                <w:color w:val="002060"/>
                <w:sz w:val="18"/>
                <w:lang w:val="sr-Cyrl-RS"/>
              </w:rPr>
              <w:t>4,9</w:t>
            </w:r>
          </w:p>
        </w:tc>
      </w:tr>
      <w:tr w:rsidR="00C75D50" w:rsidRPr="00A37BCE" w14:paraId="48B0F794" w14:textId="77777777" w:rsidTr="00C75D50">
        <w:tc>
          <w:tcPr>
            <w:tcW w:w="2786" w:type="pct"/>
          </w:tcPr>
          <w:p w14:paraId="4E92CCAB" w14:textId="222AB558" w:rsidR="00C75D50" w:rsidRPr="00A37BCE" w:rsidRDefault="00C75D50" w:rsidP="00C75D50">
            <w:pPr>
              <w:ind w:left="615" w:hanging="180"/>
              <w:rPr>
                <w:rFonts w:cstheme="minorHAnsi"/>
                <w:color w:val="002060"/>
                <w:sz w:val="18"/>
                <w:lang w:val="sr-Cyrl-RS"/>
              </w:rPr>
            </w:pPr>
            <w:r w:rsidRPr="00A37BCE">
              <w:rPr>
                <w:rFonts w:cstheme="minorHAnsi"/>
                <w:color w:val="002060"/>
                <w:sz w:val="18"/>
                <w:lang w:val="sr-Cyrl-RS"/>
              </w:rPr>
              <w:t>Кина</w:t>
            </w:r>
          </w:p>
        </w:tc>
        <w:tc>
          <w:tcPr>
            <w:tcW w:w="552" w:type="pct"/>
          </w:tcPr>
          <w:p w14:paraId="70C28AA5" w14:textId="19F6B0C3" w:rsidR="00C75D50" w:rsidRPr="00A37BCE" w:rsidRDefault="00C75D50" w:rsidP="00C75D50">
            <w:pPr>
              <w:jc w:val="center"/>
              <w:rPr>
                <w:rFonts w:cstheme="minorHAnsi"/>
                <w:color w:val="002060"/>
                <w:sz w:val="18"/>
                <w:lang w:val="sr-Cyrl-RS"/>
              </w:rPr>
            </w:pPr>
            <w:r w:rsidRPr="00A37BCE">
              <w:rPr>
                <w:rFonts w:cstheme="minorHAnsi"/>
                <w:color w:val="002060"/>
                <w:sz w:val="18"/>
                <w:lang w:val="sr-Cyrl-RS"/>
              </w:rPr>
              <w:t>6,9</w:t>
            </w:r>
          </w:p>
        </w:tc>
        <w:tc>
          <w:tcPr>
            <w:tcW w:w="553" w:type="pct"/>
          </w:tcPr>
          <w:p w14:paraId="724DC391" w14:textId="06DBEB81" w:rsidR="00C75D50" w:rsidRPr="00A37BCE" w:rsidRDefault="00C75D50" w:rsidP="00C75D50">
            <w:pPr>
              <w:jc w:val="center"/>
              <w:rPr>
                <w:rFonts w:cstheme="minorHAnsi"/>
                <w:color w:val="002060"/>
                <w:sz w:val="18"/>
                <w:lang w:val="sr-Cyrl-RS"/>
              </w:rPr>
            </w:pPr>
            <w:r w:rsidRPr="00A37BCE">
              <w:rPr>
                <w:rFonts w:cstheme="minorHAnsi"/>
                <w:color w:val="002060"/>
                <w:sz w:val="18"/>
                <w:lang w:val="sr-Cyrl-RS"/>
              </w:rPr>
              <w:t>6,6</w:t>
            </w:r>
          </w:p>
        </w:tc>
        <w:tc>
          <w:tcPr>
            <w:tcW w:w="553" w:type="pct"/>
          </w:tcPr>
          <w:p w14:paraId="2C54739C" w14:textId="4B5F230B" w:rsidR="00C75D50" w:rsidRPr="00A37BCE" w:rsidRDefault="00C75D50" w:rsidP="00C75D50">
            <w:pPr>
              <w:jc w:val="center"/>
              <w:rPr>
                <w:rFonts w:cstheme="minorHAnsi"/>
                <w:color w:val="002060"/>
                <w:sz w:val="18"/>
                <w:lang w:val="sr-Cyrl-RS"/>
              </w:rPr>
            </w:pPr>
            <w:r w:rsidRPr="00A37BCE">
              <w:rPr>
                <w:rFonts w:cstheme="minorHAnsi"/>
                <w:color w:val="002060"/>
                <w:sz w:val="18"/>
                <w:lang w:val="sr-Cyrl-RS"/>
              </w:rPr>
              <w:t>6,2</w:t>
            </w:r>
          </w:p>
        </w:tc>
        <w:tc>
          <w:tcPr>
            <w:tcW w:w="553" w:type="pct"/>
          </w:tcPr>
          <w:p w14:paraId="3EE3EABC" w14:textId="1F920D5F" w:rsidR="00C75D50" w:rsidRPr="00A37BCE" w:rsidRDefault="00C75D50" w:rsidP="00C75D50">
            <w:pPr>
              <w:jc w:val="center"/>
              <w:rPr>
                <w:rFonts w:cstheme="minorHAnsi"/>
                <w:color w:val="002060"/>
                <w:sz w:val="18"/>
                <w:lang w:val="sr-Cyrl-RS"/>
              </w:rPr>
            </w:pPr>
            <w:r w:rsidRPr="00A37BCE">
              <w:rPr>
                <w:rFonts w:cstheme="minorHAnsi"/>
                <w:color w:val="002060"/>
                <w:sz w:val="18"/>
                <w:lang w:val="sr-Cyrl-RS"/>
              </w:rPr>
              <w:t>6,2</w:t>
            </w:r>
          </w:p>
        </w:tc>
      </w:tr>
      <w:tr w:rsidR="00C75D50" w:rsidRPr="00A37BCE" w14:paraId="7BC32BF2" w14:textId="77777777" w:rsidTr="00C75D50">
        <w:tc>
          <w:tcPr>
            <w:tcW w:w="2786" w:type="pct"/>
          </w:tcPr>
          <w:p w14:paraId="17736174" w14:textId="4362F3FD" w:rsidR="00C75D50" w:rsidRPr="00A37BCE" w:rsidRDefault="00C75D50" w:rsidP="00C75D50">
            <w:pPr>
              <w:ind w:left="615" w:hanging="180"/>
              <w:rPr>
                <w:rFonts w:cstheme="minorHAnsi"/>
                <w:color w:val="002060"/>
                <w:sz w:val="18"/>
                <w:lang w:val="sr-Cyrl-RS"/>
              </w:rPr>
            </w:pPr>
            <w:r w:rsidRPr="00A37BCE">
              <w:rPr>
                <w:rFonts w:cstheme="minorHAnsi"/>
                <w:color w:val="002060"/>
                <w:sz w:val="18"/>
                <w:lang w:val="sr-Cyrl-RS"/>
              </w:rPr>
              <w:t xml:space="preserve">Русија </w:t>
            </w:r>
          </w:p>
        </w:tc>
        <w:tc>
          <w:tcPr>
            <w:tcW w:w="552" w:type="pct"/>
          </w:tcPr>
          <w:p w14:paraId="406E60DA" w14:textId="085000FC" w:rsidR="00C75D50" w:rsidRPr="00A37BCE" w:rsidRDefault="00C75D50" w:rsidP="00C75D50">
            <w:pPr>
              <w:jc w:val="center"/>
              <w:rPr>
                <w:rFonts w:cstheme="minorHAnsi"/>
                <w:color w:val="002060"/>
                <w:sz w:val="18"/>
                <w:lang w:val="sr-Cyrl-RS"/>
              </w:rPr>
            </w:pPr>
            <w:r w:rsidRPr="00A37BCE">
              <w:rPr>
                <w:rFonts w:cstheme="minorHAnsi"/>
                <w:color w:val="002060"/>
                <w:sz w:val="18"/>
                <w:lang w:val="sr-Cyrl-RS"/>
              </w:rPr>
              <w:t>1,5</w:t>
            </w:r>
          </w:p>
        </w:tc>
        <w:tc>
          <w:tcPr>
            <w:tcW w:w="553" w:type="pct"/>
          </w:tcPr>
          <w:p w14:paraId="6586707F" w14:textId="004277ED" w:rsidR="00C75D50" w:rsidRPr="00A37BCE" w:rsidRDefault="00C75D50" w:rsidP="00C75D50">
            <w:pPr>
              <w:jc w:val="center"/>
              <w:rPr>
                <w:rFonts w:cstheme="minorHAnsi"/>
                <w:color w:val="002060"/>
                <w:sz w:val="18"/>
                <w:lang w:val="sr-Cyrl-RS"/>
              </w:rPr>
            </w:pPr>
            <w:r w:rsidRPr="00A37BCE">
              <w:rPr>
                <w:rFonts w:cstheme="minorHAnsi"/>
                <w:color w:val="002060"/>
                <w:sz w:val="18"/>
                <w:lang w:val="sr-Cyrl-RS"/>
              </w:rPr>
              <w:t>1,7</w:t>
            </w:r>
          </w:p>
        </w:tc>
        <w:tc>
          <w:tcPr>
            <w:tcW w:w="553" w:type="pct"/>
          </w:tcPr>
          <w:p w14:paraId="7196A827" w14:textId="10FF714E" w:rsidR="00C75D50" w:rsidRPr="00A37BCE" w:rsidRDefault="00C75D50" w:rsidP="00C75D50">
            <w:pPr>
              <w:jc w:val="center"/>
              <w:rPr>
                <w:rFonts w:cstheme="minorHAnsi"/>
                <w:color w:val="002060"/>
                <w:sz w:val="18"/>
                <w:lang w:val="sr-Cyrl-RS"/>
              </w:rPr>
            </w:pPr>
            <w:r w:rsidRPr="00A37BCE">
              <w:rPr>
                <w:rFonts w:cstheme="minorHAnsi"/>
                <w:color w:val="002060"/>
                <w:sz w:val="18"/>
                <w:lang w:val="sr-Cyrl-RS"/>
              </w:rPr>
              <w:t>1,8</w:t>
            </w:r>
          </w:p>
        </w:tc>
        <w:tc>
          <w:tcPr>
            <w:tcW w:w="553" w:type="pct"/>
          </w:tcPr>
          <w:p w14:paraId="3BBDCF36" w14:textId="32AA6546" w:rsidR="00C75D50" w:rsidRPr="00A37BCE" w:rsidRDefault="00C75D50" w:rsidP="00C75D50">
            <w:pPr>
              <w:jc w:val="center"/>
              <w:rPr>
                <w:rFonts w:cstheme="minorHAnsi"/>
                <w:color w:val="002060"/>
                <w:sz w:val="18"/>
                <w:lang w:val="sr-Cyrl-RS"/>
              </w:rPr>
            </w:pPr>
            <w:r w:rsidRPr="00A37BCE">
              <w:rPr>
                <w:rFonts w:cstheme="minorHAnsi"/>
                <w:color w:val="002060"/>
                <w:sz w:val="18"/>
                <w:lang w:val="sr-Cyrl-RS"/>
              </w:rPr>
              <w:t>1,8</w:t>
            </w:r>
          </w:p>
        </w:tc>
      </w:tr>
      <w:tr w:rsidR="001367C0" w:rsidRPr="00A37BCE" w14:paraId="2369CF66" w14:textId="77777777" w:rsidTr="00C75D50">
        <w:tc>
          <w:tcPr>
            <w:tcW w:w="2786" w:type="pct"/>
          </w:tcPr>
          <w:p w14:paraId="2C1B2021" w14:textId="1A6F1DC2" w:rsidR="001367C0" w:rsidRPr="00A37BCE" w:rsidRDefault="001367C0" w:rsidP="00C75D50">
            <w:pPr>
              <w:ind w:left="345" w:hanging="90"/>
              <w:rPr>
                <w:rFonts w:cstheme="minorHAnsi"/>
                <w:color w:val="002060"/>
                <w:sz w:val="18"/>
                <w:lang w:val="sr-Cyrl-RS"/>
              </w:rPr>
            </w:pPr>
            <w:r w:rsidRPr="00A37BCE">
              <w:rPr>
                <w:rFonts w:cstheme="minorHAnsi"/>
                <w:color w:val="002060"/>
                <w:sz w:val="18"/>
                <w:lang w:val="sr-Cyrl-RS"/>
              </w:rPr>
              <w:t>Раст светске трговине, %</w:t>
            </w:r>
          </w:p>
        </w:tc>
        <w:tc>
          <w:tcPr>
            <w:tcW w:w="552" w:type="pct"/>
          </w:tcPr>
          <w:p w14:paraId="27AC6A55" w14:textId="72853BAB" w:rsidR="001367C0" w:rsidRPr="00A37BCE" w:rsidRDefault="005E3C9F" w:rsidP="001367C0">
            <w:pPr>
              <w:jc w:val="center"/>
              <w:rPr>
                <w:rFonts w:cstheme="minorHAnsi"/>
                <w:color w:val="002060"/>
                <w:sz w:val="18"/>
                <w:lang w:val="sr-Cyrl-RS"/>
              </w:rPr>
            </w:pPr>
            <w:r w:rsidRPr="00A37BCE">
              <w:rPr>
                <w:rFonts w:cstheme="minorHAnsi"/>
                <w:color w:val="002060"/>
                <w:sz w:val="18"/>
                <w:lang w:val="sr-Cyrl-RS"/>
              </w:rPr>
              <w:t>5,2</w:t>
            </w:r>
          </w:p>
        </w:tc>
        <w:tc>
          <w:tcPr>
            <w:tcW w:w="553" w:type="pct"/>
          </w:tcPr>
          <w:p w14:paraId="1C77F847" w14:textId="54B863F1" w:rsidR="001367C0" w:rsidRPr="00A37BCE" w:rsidRDefault="005E3C9F" w:rsidP="001367C0">
            <w:pPr>
              <w:jc w:val="center"/>
              <w:rPr>
                <w:rFonts w:cstheme="minorHAnsi"/>
                <w:color w:val="002060"/>
                <w:sz w:val="18"/>
                <w:lang w:val="sr-Cyrl-RS"/>
              </w:rPr>
            </w:pPr>
            <w:r w:rsidRPr="00A37BCE">
              <w:rPr>
                <w:rFonts w:cstheme="minorHAnsi"/>
                <w:color w:val="002060"/>
                <w:sz w:val="18"/>
                <w:lang w:val="sr-Cyrl-RS"/>
              </w:rPr>
              <w:t>4,2</w:t>
            </w:r>
          </w:p>
        </w:tc>
        <w:tc>
          <w:tcPr>
            <w:tcW w:w="553" w:type="pct"/>
          </w:tcPr>
          <w:p w14:paraId="417C7484" w14:textId="06775172" w:rsidR="001367C0" w:rsidRPr="00A37BCE" w:rsidRDefault="005E3C9F" w:rsidP="001367C0">
            <w:pPr>
              <w:jc w:val="center"/>
              <w:rPr>
                <w:rFonts w:cstheme="minorHAnsi"/>
                <w:color w:val="002060"/>
                <w:sz w:val="18"/>
                <w:lang w:val="sr-Cyrl-RS"/>
              </w:rPr>
            </w:pPr>
            <w:r w:rsidRPr="00A37BCE">
              <w:rPr>
                <w:rFonts w:cstheme="minorHAnsi"/>
                <w:color w:val="002060"/>
                <w:sz w:val="18"/>
                <w:lang w:val="sr-Cyrl-RS"/>
              </w:rPr>
              <w:t>4,0</w:t>
            </w:r>
          </w:p>
        </w:tc>
        <w:tc>
          <w:tcPr>
            <w:tcW w:w="553" w:type="pct"/>
          </w:tcPr>
          <w:p w14:paraId="5E8EB2AF" w14:textId="5BCDDE90" w:rsidR="001367C0" w:rsidRPr="00A37BCE" w:rsidRDefault="005E3C9F" w:rsidP="001367C0">
            <w:pPr>
              <w:jc w:val="center"/>
              <w:rPr>
                <w:rFonts w:cstheme="minorHAnsi"/>
                <w:color w:val="002060"/>
                <w:sz w:val="18"/>
                <w:lang w:val="sr-Cyrl-RS"/>
              </w:rPr>
            </w:pPr>
            <w:r w:rsidRPr="00A37BCE">
              <w:rPr>
                <w:rFonts w:cstheme="minorHAnsi"/>
                <w:color w:val="002060"/>
                <w:sz w:val="18"/>
                <w:lang w:val="sr-Cyrl-RS"/>
              </w:rPr>
              <w:t>4,1</w:t>
            </w:r>
          </w:p>
        </w:tc>
      </w:tr>
      <w:tr w:rsidR="00F20588" w:rsidRPr="00A37BCE" w14:paraId="4C3FEC17" w14:textId="77777777" w:rsidTr="00C75D50">
        <w:tc>
          <w:tcPr>
            <w:tcW w:w="4997" w:type="pct"/>
            <w:gridSpan w:val="5"/>
            <w:shd w:val="clear" w:color="auto" w:fill="E7E6E6" w:themeFill="background2"/>
          </w:tcPr>
          <w:p w14:paraId="3A3988BF" w14:textId="0C25A5FD" w:rsidR="00F20588" w:rsidRPr="00A37BCE" w:rsidRDefault="00F20588" w:rsidP="001E0313">
            <w:pPr>
              <w:jc w:val="both"/>
              <w:rPr>
                <w:rFonts w:cstheme="minorHAnsi"/>
                <w:color w:val="002060"/>
                <w:sz w:val="18"/>
                <w:lang w:val="sr-Cyrl-RS"/>
              </w:rPr>
            </w:pPr>
            <w:r w:rsidRPr="00A37BCE">
              <w:rPr>
                <w:rFonts w:cstheme="minorHAnsi"/>
                <w:color w:val="002060"/>
                <w:sz w:val="18"/>
                <w:lang w:val="sr-Cyrl-RS"/>
              </w:rPr>
              <w:t>Стопа незапослености, %</w:t>
            </w:r>
          </w:p>
        </w:tc>
      </w:tr>
      <w:tr w:rsidR="001367C0" w:rsidRPr="00A37BCE" w14:paraId="321879EF" w14:textId="77777777" w:rsidTr="00C75D50">
        <w:tc>
          <w:tcPr>
            <w:tcW w:w="2786" w:type="pct"/>
          </w:tcPr>
          <w:p w14:paraId="50837C31" w14:textId="3E09C66B" w:rsidR="001367C0" w:rsidRPr="00A37BCE" w:rsidRDefault="001367C0" w:rsidP="001367C0">
            <w:pPr>
              <w:ind w:left="440" w:hanging="180"/>
              <w:jc w:val="both"/>
              <w:rPr>
                <w:rFonts w:cstheme="minorHAnsi"/>
                <w:color w:val="002060"/>
                <w:sz w:val="18"/>
                <w:lang w:val="sr-Cyrl-RS"/>
              </w:rPr>
            </w:pPr>
            <w:r w:rsidRPr="00A37BCE">
              <w:rPr>
                <w:rFonts w:cstheme="minorHAnsi"/>
                <w:color w:val="002060"/>
                <w:sz w:val="18"/>
                <w:lang w:val="sr-Cyrl-RS"/>
              </w:rPr>
              <w:t>Еврозона</w:t>
            </w:r>
          </w:p>
        </w:tc>
        <w:tc>
          <w:tcPr>
            <w:tcW w:w="552" w:type="pct"/>
          </w:tcPr>
          <w:p w14:paraId="5F404F2C" w14:textId="0FC2EEFB"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9,1</w:t>
            </w:r>
          </w:p>
        </w:tc>
        <w:tc>
          <w:tcPr>
            <w:tcW w:w="553" w:type="pct"/>
          </w:tcPr>
          <w:p w14:paraId="412A2FFD" w14:textId="4F32BD06"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8,3</w:t>
            </w:r>
          </w:p>
        </w:tc>
        <w:tc>
          <w:tcPr>
            <w:tcW w:w="553" w:type="pct"/>
          </w:tcPr>
          <w:p w14:paraId="0A7FD10F" w14:textId="226A054A"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8,0</w:t>
            </w:r>
          </w:p>
        </w:tc>
        <w:tc>
          <w:tcPr>
            <w:tcW w:w="553" w:type="pct"/>
          </w:tcPr>
          <w:p w14:paraId="6483DF40" w14:textId="04B1DBAB"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7,7</w:t>
            </w:r>
          </w:p>
        </w:tc>
      </w:tr>
      <w:tr w:rsidR="001367C0" w:rsidRPr="00A37BCE" w14:paraId="3E62C1CA" w14:textId="77777777" w:rsidTr="00C75D50">
        <w:tc>
          <w:tcPr>
            <w:tcW w:w="2786" w:type="pct"/>
          </w:tcPr>
          <w:p w14:paraId="3C126C1D" w14:textId="2A4BA2F0" w:rsidR="001367C0" w:rsidRPr="00A37BCE" w:rsidRDefault="001367C0" w:rsidP="001367C0">
            <w:pPr>
              <w:ind w:left="440" w:hanging="180"/>
              <w:jc w:val="both"/>
              <w:rPr>
                <w:rFonts w:cstheme="minorHAnsi"/>
                <w:color w:val="002060"/>
                <w:sz w:val="18"/>
                <w:lang w:val="sr-Cyrl-RS"/>
              </w:rPr>
            </w:pPr>
            <w:r w:rsidRPr="00A37BCE">
              <w:rPr>
                <w:rFonts w:cstheme="minorHAnsi"/>
                <w:color w:val="002060"/>
                <w:sz w:val="18"/>
                <w:lang w:val="sr-Cyrl-RS"/>
              </w:rPr>
              <w:t>САД</w:t>
            </w:r>
          </w:p>
        </w:tc>
        <w:tc>
          <w:tcPr>
            <w:tcW w:w="552" w:type="pct"/>
          </w:tcPr>
          <w:p w14:paraId="29CA6BAE" w14:textId="0E259D32"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4,4</w:t>
            </w:r>
          </w:p>
        </w:tc>
        <w:tc>
          <w:tcPr>
            <w:tcW w:w="553" w:type="pct"/>
          </w:tcPr>
          <w:p w14:paraId="5591AF34" w14:textId="72582C96"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3,8</w:t>
            </w:r>
          </w:p>
        </w:tc>
        <w:tc>
          <w:tcPr>
            <w:tcW w:w="553" w:type="pct"/>
          </w:tcPr>
          <w:p w14:paraId="50FB322F" w14:textId="6D36CF58"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3,5</w:t>
            </w:r>
          </w:p>
        </w:tc>
        <w:tc>
          <w:tcPr>
            <w:tcW w:w="553" w:type="pct"/>
          </w:tcPr>
          <w:p w14:paraId="4FC11C2D" w14:textId="7D4D8F6B"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3,4</w:t>
            </w:r>
          </w:p>
        </w:tc>
      </w:tr>
      <w:tr w:rsidR="00F20588" w:rsidRPr="00A37BCE" w14:paraId="1D41C623" w14:textId="77777777" w:rsidTr="00C75D50">
        <w:tc>
          <w:tcPr>
            <w:tcW w:w="4997" w:type="pct"/>
            <w:gridSpan w:val="5"/>
            <w:shd w:val="clear" w:color="auto" w:fill="E7E6E6" w:themeFill="background2"/>
          </w:tcPr>
          <w:p w14:paraId="3FE3B273" w14:textId="55A4AEDC" w:rsidR="00F20588" w:rsidRPr="00A37BCE" w:rsidRDefault="00F20588" w:rsidP="001E0313">
            <w:pPr>
              <w:jc w:val="both"/>
              <w:rPr>
                <w:rFonts w:cstheme="minorHAnsi"/>
                <w:color w:val="002060"/>
                <w:sz w:val="18"/>
                <w:lang w:val="sr-Cyrl-RS"/>
              </w:rPr>
            </w:pPr>
            <w:r w:rsidRPr="00A37BCE">
              <w:rPr>
                <w:rFonts w:cstheme="minorHAnsi"/>
                <w:color w:val="002060"/>
                <w:sz w:val="18"/>
                <w:lang w:val="sr-Cyrl-RS"/>
              </w:rPr>
              <w:t>Потрошачке цене, просек периода, %</w:t>
            </w:r>
          </w:p>
        </w:tc>
      </w:tr>
      <w:tr w:rsidR="001367C0" w:rsidRPr="00A37BCE" w14:paraId="2789ACD1" w14:textId="77777777" w:rsidTr="00C75D50">
        <w:tc>
          <w:tcPr>
            <w:tcW w:w="2786" w:type="pct"/>
          </w:tcPr>
          <w:p w14:paraId="556421D9" w14:textId="180DBF2E" w:rsidR="001367C0" w:rsidRPr="00A37BCE" w:rsidRDefault="001367C0" w:rsidP="001367C0">
            <w:pPr>
              <w:ind w:left="350" w:hanging="90"/>
              <w:jc w:val="both"/>
              <w:rPr>
                <w:rFonts w:cstheme="minorHAnsi"/>
                <w:color w:val="002060"/>
                <w:sz w:val="18"/>
                <w:lang w:val="sr-Cyrl-RS"/>
              </w:rPr>
            </w:pPr>
            <w:r w:rsidRPr="00A37BCE">
              <w:rPr>
                <w:rFonts w:cstheme="minorHAnsi"/>
                <w:color w:val="002060"/>
                <w:sz w:val="18"/>
                <w:lang w:val="sr-Cyrl-RS"/>
              </w:rPr>
              <w:t>Еврозона</w:t>
            </w:r>
          </w:p>
        </w:tc>
        <w:tc>
          <w:tcPr>
            <w:tcW w:w="552" w:type="pct"/>
          </w:tcPr>
          <w:p w14:paraId="7D73725F" w14:textId="708829D9"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1,5</w:t>
            </w:r>
          </w:p>
        </w:tc>
        <w:tc>
          <w:tcPr>
            <w:tcW w:w="553" w:type="pct"/>
          </w:tcPr>
          <w:p w14:paraId="50F79FF8" w14:textId="3243C6E2"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1,7</w:t>
            </w:r>
          </w:p>
        </w:tc>
        <w:tc>
          <w:tcPr>
            <w:tcW w:w="553" w:type="pct"/>
          </w:tcPr>
          <w:p w14:paraId="46C0D7DE" w14:textId="22BB171E"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1,7</w:t>
            </w:r>
          </w:p>
        </w:tc>
        <w:tc>
          <w:tcPr>
            <w:tcW w:w="553" w:type="pct"/>
          </w:tcPr>
          <w:p w14:paraId="6F263344" w14:textId="0BAC2D4B"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1,8</w:t>
            </w:r>
          </w:p>
        </w:tc>
      </w:tr>
      <w:tr w:rsidR="001367C0" w:rsidRPr="00A37BCE" w14:paraId="5EA5A329" w14:textId="77777777" w:rsidTr="00C75D50">
        <w:tc>
          <w:tcPr>
            <w:tcW w:w="2786" w:type="pct"/>
          </w:tcPr>
          <w:p w14:paraId="4519EABB" w14:textId="3C852CA8" w:rsidR="001367C0" w:rsidRPr="00A37BCE" w:rsidRDefault="001367C0" w:rsidP="001367C0">
            <w:pPr>
              <w:ind w:left="350" w:hanging="90"/>
              <w:jc w:val="both"/>
              <w:rPr>
                <w:rFonts w:cstheme="minorHAnsi"/>
                <w:color w:val="002060"/>
                <w:sz w:val="18"/>
                <w:lang w:val="sr-Cyrl-RS"/>
              </w:rPr>
            </w:pPr>
            <w:r w:rsidRPr="00A37BCE">
              <w:rPr>
                <w:rFonts w:cstheme="minorHAnsi"/>
                <w:color w:val="002060"/>
                <w:sz w:val="18"/>
                <w:lang w:val="sr-Cyrl-RS"/>
              </w:rPr>
              <w:t>Развијене економије</w:t>
            </w:r>
          </w:p>
        </w:tc>
        <w:tc>
          <w:tcPr>
            <w:tcW w:w="552" w:type="pct"/>
          </w:tcPr>
          <w:p w14:paraId="0E4EDDE1" w14:textId="59959EE1"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1,7</w:t>
            </w:r>
          </w:p>
        </w:tc>
        <w:tc>
          <w:tcPr>
            <w:tcW w:w="553" w:type="pct"/>
          </w:tcPr>
          <w:p w14:paraId="02A2C155" w14:textId="1547DCB2"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2,0</w:t>
            </w:r>
          </w:p>
        </w:tc>
        <w:tc>
          <w:tcPr>
            <w:tcW w:w="553" w:type="pct"/>
          </w:tcPr>
          <w:p w14:paraId="38DF7D05" w14:textId="3915C021"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1,9</w:t>
            </w:r>
          </w:p>
        </w:tc>
        <w:tc>
          <w:tcPr>
            <w:tcW w:w="553" w:type="pct"/>
          </w:tcPr>
          <w:p w14:paraId="70CC09EC" w14:textId="32D600F7"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2,0</w:t>
            </w:r>
          </w:p>
        </w:tc>
      </w:tr>
      <w:tr w:rsidR="001367C0" w:rsidRPr="00A37BCE" w14:paraId="410F129D" w14:textId="77777777" w:rsidTr="00C75D50">
        <w:tc>
          <w:tcPr>
            <w:tcW w:w="2786" w:type="pct"/>
          </w:tcPr>
          <w:p w14:paraId="43A44DBC" w14:textId="1A35F8AE" w:rsidR="001367C0" w:rsidRPr="00A37BCE" w:rsidRDefault="001367C0" w:rsidP="001367C0">
            <w:pPr>
              <w:ind w:left="350" w:hanging="90"/>
              <w:jc w:val="both"/>
              <w:rPr>
                <w:rFonts w:cstheme="minorHAnsi"/>
                <w:color w:val="002060"/>
                <w:sz w:val="18"/>
                <w:lang w:val="sr-Cyrl-RS"/>
              </w:rPr>
            </w:pPr>
            <w:r w:rsidRPr="00A37BCE">
              <w:rPr>
                <w:rFonts w:cstheme="minorHAnsi"/>
                <w:color w:val="002060"/>
                <w:sz w:val="18"/>
                <w:lang w:val="sr-Cyrl-RS"/>
              </w:rPr>
              <w:t>Земље у успону</w:t>
            </w:r>
          </w:p>
        </w:tc>
        <w:tc>
          <w:tcPr>
            <w:tcW w:w="552" w:type="pct"/>
          </w:tcPr>
          <w:p w14:paraId="1147043D" w14:textId="4C41CE22"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4,3</w:t>
            </w:r>
          </w:p>
        </w:tc>
        <w:tc>
          <w:tcPr>
            <w:tcW w:w="553" w:type="pct"/>
          </w:tcPr>
          <w:p w14:paraId="6C7A4198" w14:textId="3F9984BE"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5,0</w:t>
            </w:r>
          </w:p>
        </w:tc>
        <w:tc>
          <w:tcPr>
            <w:tcW w:w="553" w:type="pct"/>
          </w:tcPr>
          <w:p w14:paraId="29334F38" w14:textId="5D50BE58"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5,2</w:t>
            </w:r>
          </w:p>
        </w:tc>
        <w:tc>
          <w:tcPr>
            <w:tcW w:w="553" w:type="pct"/>
          </w:tcPr>
          <w:p w14:paraId="3072D982" w14:textId="756E352D"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4,6</w:t>
            </w:r>
          </w:p>
        </w:tc>
      </w:tr>
      <w:tr w:rsidR="00F20588" w:rsidRPr="00A37BCE" w14:paraId="6F1ABB9B" w14:textId="77777777" w:rsidTr="00C75D50">
        <w:tc>
          <w:tcPr>
            <w:tcW w:w="2786" w:type="pct"/>
          </w:tcPr>
          <w:p w14:paraId="4A69FDB4" w14:textId="77777777" w:rsidR="00F20588" w:rsidRPr="00A37BCE" w:rsidRDefault="00F20588" w:rsidP="001E0313">
            <w:pPr>
              <w:jc w:val="both"/>
              <w:rPr>
                <w:rFonts w:cstheme="minorHAnsi"/>
                <w:color w:val="002060"/>
                <w:sz w:val="18"/>
                <w:lang w:val="sr-Cyrl-RS"/>
              </w:rPr>
            </w:pPr>
          </w:p>
        </w:tc>
        <w:tc>
          <w:tcPr>
            <w:tcW w:w="552" w:type="pct"/>
          </w:tcPr>
          <w:p w14:paraId="5F36B615" w14:textId="77777777" w:rsidR="00F20588" w:rsidRPr="00A37BCE" w:rsidRDefault="00F20588" w:rsidP="001E0313">
            <w:pPr>
              <w:jc w:val="both"/>
              <w:rPr>
                <w:rFonts w:cstheme="minorHAnsi"/>
                <w:color w:val="002060"/>
                <w:sz w:val="18"/>
                <w:lang w:val="sr-Cyrl-RS"/>
              </w:rPr>
            </w:pPr>
          </w:p>
        </w:tc>
        <w:tc>
          <w:tcPr>
            <w:tcW w:w="553" w:type="pct"/>
          </w:tcPr>
          <w:p w14:paraId="50F43FB6" w14:textId="77777777" w:rsidR="00F20588" w:rsidRPr="00A37BCE" w:rsidRDefault="00F20588" w:rsidP="001E0313">
            <w:pPr>
              <w:jc w:val="both"/>
              <w:rPr>
                <w:rFonts w:cstheme="minorHAnsi"/>
                <w:color w:val="002060"/>
                <w:sz w:val="18"/>
                <w:lang w:val="sr-Cyrl-RS"/>
              </w:rPr>
            </w:pPr>
          </w:p>
        </w:tc>
        <w:tc>
          <w:tcPr>
            <w:tcW w:w="553" w:type="pct"/>
          </w:tcPr>
          <w:p w14:paraId="453CFB2A" w14:textId="77777777" w:rsidR="00F20588" w:rsidRPr="00A37BCE" w:rsidRDefault="00F20588" w:rsidP="001E0313">
            <w:pPr>
              <w:jc w:val="both"/>
              <w:rPr>
                <w:rFonts w:cstheme="minorHAnsi"/>
                <w:color w:val="002060"/>
                <w:sz w:val="18"/>
                <w:lang w:val="sr-Cyrl-RS"/>
              </w:rPr>
            </w:pPr>
          </w:p>
        </w:tc>
        <w:tc>
          <w:tcPr>
            <w:tcW w:w="553" w:type="pct"/>
          </w:tcPr>
          <w:p w14:paraId="4F7C5020" w14:textId="77777777" w:rsidR="00F20588" w:rsidRPr="00A37BCE" w:rsidRDefault="00F20588" w:rsidP="001E0313">
            <w:pPr>
              <w:jc w:val="both"/>
              <w:rPr>
                <w:rFonts w:cstheme="minorHAnsi"/>
                <w:color w:val="002060"/>
                <w:sz w:val="18"/>
                <w:lang w:val="sr-Cyrl-RS"/>
              </w:rPr>
            </w:pPr>
          </w:p>
        </w:tc>
      </w:tr>
      <w:tr w:rsidR="001367C0" w:rsidRPr="00A37BCE" w14:paraId="636D1543" w14:textId="77777777" w:rsidTr="00C75D50">
        <w:tc>
          <w:tcPr>
            <w:tcW w:w="2786" w:type="pct"/>
          </w:tcPr>
          <w:p w14:paraId="299F31FA" w14:textId="35585300" w:rsidR="001367C0" w:rsidRPr="00A37BCE" w:rsidRDefault="001367C0" w:rsidP="001367C0">
            <w:pPr>
              <w:jc w:val="both"/>
              <w:rPr>
                <w:rFonts w:cstheme="minorHAnsi"/>
                <w:color w:val="002060"/>
                <w:sz w:val="18"/>
                <w:lang w:val="sr-Cyrl-RS"/>
              </w:rPr>
            </w:pPr>
            <w:r w:rsidRPr="00A37BCE">
              <w:rPr>
                <w:rFonts w:cstheme="minorHAnsi"/>
                <w:color w:val="002060"/>
                <w:sz w:val="18"/>
                <w:lang w:val="sr-Cyrl-RS"/>
              </w:rPr>
              <w:t>Девизни курс, евро/долар, крај периода</w:t>
            </w:r>
          </w:p>
        </w:tc>
        <w:tc>
          <w:tcPr>
            <w:tcW w:w="552" w:type="pct"/>
          </w:tcPr>
          <w:p w14:paraId="5B4CFD4A" w14:textId="3F0331B0"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1,1</w:t>
            </w:r>
          </w:p>
        </w:tc>
        <w:tc>
          <w:tcPr>
            <w:tcW w:w="553" w:type="pct"/>
          </w:tcPr>
          <w:p w14:paraId="339DE5F0" w14:textId="2CFF43F1"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1,1</w:t>
            </w:r>
          </w:p>
        </w:tc>
        <w:tc>
          <w:tcPr>
            <w:tcW w:w="553" w:type="pct"/>
          </w:tcPr>
          <w:p w14:paraId="4B8AEACC" w14:textId="05FF292D"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1,2</w:t>
            </w:r>
          </w:p>
        </w:tc>
        <w:tc>
          <w:tcPr>
            <w:tcW w:w="553" w:type="pct"/>
          </w:tcPr>
          <w:p w14:paraId="2B5E804F" w14:textId="0BA73506"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w:t>
            </w:r>
          </w:p>
        </w:tc>
      </w:tr>
      <w:tr w:rsidR="001367C0" w:rsidRPr="00A37BCE" w14:paraId="17EB0E68" w14:textId="77777777" w:rsidTr="00C75D50">
        <w:tc>
          <w:tcPr>
            <w:tcW w:w="2786" w:type="pct"/>
          </w:tcPr>
          <w:p w14:paraId="27F5650B" w14:textId="061F8B74" w:rsidR="001367C0" w:rsidRPr="00A37BCE" w:rsidRDefault="001367C0" w:rsidP="001367C0">
            <w:pPr>
              <w:jc w:val="both"/>
              <w:rPr>
                <w:rFonts w:cstheme="minorHAnsi"/>
                <w:color w:val="002060"/>
                <w:sz w:val="18"/>
                <w:lang w:val="sr-Cyrl-RS"/>
              </w:rPr>
            </w:pPr>
            <w:r w:rsidRPr="00A37BCE">
              <w:rPr>
                <w:rFonts w:cstheme="minorHAnsi"/>
                <w:color w:val="002060"/>
                <w:sz w:val="18"/>
                <w:lang w:val="sr-Cyrl-RS"/>
              </w:rPr>
              <w:t>Цене житарица, у доларима, годишње промене</w:t>
            </w:r>
            <w:r w:rsidRPr="00A37BCE">
              <w:rPr>
                <w:rFonts w:cstheme="minorHAnsi"/>
                <w:color w:val="002060"/>
                <w:sz w:val="18"/>
                <w:vertAlign w:val="superscript"/>
                <w:lang w:val="sr-Cyrl-RS"/>
              </w:rPr>
              <w:t>2</w:t>
            </w:r>
          </w:p>
        </w:tc>
        <w:tc>
          <w:tcPr>
            <w:tcW w:w="552" w:type="pct"/>
          </w:tcPr>
          <w:p w14:paraId="0C322D2B" w14:textId="53B98354"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0,2</w:t>
            </w:r>
          </w:p>
        </w:tc>
        <w:tc>
          <w:tcPr>
            <w:tcW w:w="553" w:type="pct"/>
          </w:tcPr>
          <w:p w14:paraId="7BFB79BF" w14:textId="285CEAFC"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15,7</w:t>
            </w:r>
          </w:p>
        </w:tc>
        <w:tc>
          <w:tcPr>
            <w:tcW w:w="553" w:type="pct"/>
          </w:tcPr>
          <w:p w14:paraId="797A9E40" w14:textId="5BAE36BC"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9,9</w:t>
            </w:r>
          </w:p>
        </w:tc>
        <w:tc>
          <w:tcPr>
            <w:tcW w:w="553" w:type="pct"/>
          </w:tcPr>
          <w:p w14:paraId="701605D7" w14:textId="7712DB63"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3,5</w:t>
            </w:r>
          </w:p>
        </w:tc>
      </w:tr>
      <w:tr w:rsidR="001367C0" w:rsidRPr="00A37BCE" w14:paraId="11FF9432" w14:textId="77777777" w:rsidTr="00C75D50">
        <w:tc>
          <w:tcPr>
            <w:tcW w:w="2786" w:type="pct"/>
          </w:tcPr>
          <w:p w14:paraId="2AA26CDD" w14:textId="4769237C" w:rsidR="001367C0" w:rsidRPr="00A37BCE" w:rsidRDefault="001367C0" w:rsidP="001367C0">
            <w:pPr>
              <w:jc w:val="both"/>
              <w:rPr>
                <w:rFonts w:cstheme="minorHAnsi"/>
                <w:color w:val="002060"/>
                <w:sz w:val="18"/>
                <w:lang w:val="sr-Cyrl-RS"/>
              </w:rPr>
            </w:pPr>
            <w:r w:rsidRPr="00A37BCE">
              <w:rPr>
                <w:rFonts w:cstheme="minorHAnsi"/>
                <w:color w:val="002060"/>
                <w:sz w:val="18"/>
                <w:lang w:val="sr-Cyrl-RS"/>
              </w:rPr>
              <w:t>Цене метала, у доларима, годишње промене</w:t>
            </w:r>
            <w:r w:rsidRPr="00A37BCE">
              <w:rPr>
                <w:rFonts w:cstheme="minorHAnsi"/>
                <w:color w:val="002060"/>
                <w:sz w:val="18"/>
                <w:vertAlign w:val="superscript"/>
                <w:lang w:val="sr-Cyrl-RS"/>
              </w:rPr>
              <w:t>3</w:t>
            </w:r>
          </w:p>
        </w:tc>
        <w:tc>
          <w:tcPr>
            <w:tcW w:w="552" w:type="pct"/>
          </w:tcPr>
          <w:p w14:paraId="34373433" w14:textId="641218B5"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22,2</w:t>
            </w:r>
          </w:p>
        </w:tc>
        <w:tc>
          <w:tcPr>
            <w:tcW w:w="553" w:type="pct"/>
          </w:tcPr>
          <w:p w14:paraId="44DA612B" w14:textId="42B34A88"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5,3</w:t>
            </w:r>
          </w:p>
        </w:tc>
        <w:tc>
          <w:tcPr>
            <w:tcW w:w="553" w:type="pct"/>
          </w:tcPr>
          <w:p w14:paraId="08CE83E5" w14:textId="557D40A3"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-3,6</w:t>
            </w:r>
          </w:p>
        </w:tc>
        <w:tc>
          <w:tcPr>
            <w:tcW w:w="553" w:type="pct"/>
          </w:tcPr>
          <w:p w14:paraId="75A6906D" w14:textId="5A9AD4A6"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0,4</w:t>
            </w:r>
          </w:p>
        </w:tc>
      </w:tr>
      <w:tr w:rsidR="001367C0" w:rsidRPr="00A37BCE" w14:paraId="355FA904" w14:textId="77777777" w:rsidTr="00C75D50">
        <w:tc>
          <w:tcPr>
            <w:tcW w:w="2786" w:type="pct"/>
          </w:tcPr>
          <w:p w14:paraId="45FB669E" w14:textId="354E548C" w:rsidR="001367C0" w:rsidRPr="00A37BCE" w:rsidRDefault="001367C0" w:rsidP="001367C0">
            <w:pPr>
              <w:jc w:val="both"/>
              <w:rPr>
                <w:rFonts w:cstheme="minorHAnsi"/>
                <w:color w:val="002060"/>
                <w:sz w:val="18"/>
                <w:lang w:val="sr-Cyrl-RS"/>
              </w:rPr>
            </w:pPr>
            <w:r w:rsidRPr="00A37BCE">
              <w:rPr>
                <w:rFonts w:cstheme="minorHAnsi"/>
                <w:color w:val="002060"/>
                <w:sz w:val="18"/>
                <w:lang w:val="sr-Cyrl-RS"/>
              </w:rPr>
              <w:t>Цена руде гвожђа, у доларима</w:t>
            </w:r>
            <w:r w:rsidRPr="00A37BCE">
              <w:rPr>
                <w:rFonts w:cstheme="minorHAnsi"/>
                <w:color w:val="002060"/>
                <w:sz w:val="18"/>
                <w:vertAlign w:val="superscript"/>
                <w:lang w:val="sr-Cyrl-RS"/>
              </w:rPr>
              <w:t>4</w:t>
            </w:r>
          </w:p>
        </w:tc>
        <w:tc>
          <w:tcPr>
            <w:tcW w:w="552" w:type="pct"/>
          </w:tcPr>
          <w:p w14:paraId="589CA186" w14:textId="324602C8"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71,7</w:t>
            </w:r>
          </w:p>
        </w:tc>
        <w:tc>
          <w:tcPr>
            <w:tcW w:w="553" w:type="pct"/>
          </w:tcPr>
          <w:p w14:paraId="0BED81A0" w14:textId="7C0F3883"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69,6</w:t>
            </w:r>
          </w:p>
        </w:tc>
        <w:tc>
          <w:tcPr>
            <w:tcW w:w="553" w:type="pct"/>
          </w:tcPr>
          <w:p w14:paraId="319298D7" w14:textId="3A958E27"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67,5</w:t>
            </w:r>
          </w:p>
        </w:tc>
        <w:tc>
          <w:tcPr>
            <w:tcW w:w="553" w:type="pct"/>
          </w:tcPr>
          <w:p w14:paraId="5FFE2F0B" w14:textId="0F55EB21"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65,8</w:t>
            </w:r>
          </w:p>
        </w:tc>
      </w:tr>
      <w:tr w:rsidR="001367C0" w:rsidRPr="00A37BCE" w14:paraId="232EA7EC" w14:textId="77777777" w:rsidTr="00C75D50">
        <w:trPr>
          <w:trHeight w:val="369"/>
        </w:trPr>
        <w:tc>
          <w:tcPr>
            <w:tcW w:w="2786" w:type="pct"/>
            <w:tcBorders>
              <w:bottom w:val="single" w:sz="4" w:space="0" w:color="002060"/>
            </w:tcBorders>
          </w:tcPr>
          <w:p w14:paraId="536FE273" w14:textId="4F1D1E32" w:rsidR="001367C0" w:rsidRPr="00A37BCE" w:rsidRDefault="001367C0" w:rsidP="001367C0">
            <w:pPr>
              <w:jc w:val="both"/>
              <w:rPr>
                <w:rFonts w:cstheme="minorHAnsi"/>
                <w:color w:val="002060"/>
                <w:sz w:val="18"/>
                <w:lang w:val="sr-Cyrl-RS"/>
              </w:rPr>
            </w:pPr>
            <w:r w:rsidRPr="00A37BCE">
              <w:rPr>
                <w:rFonts w:cstheme="minorHAnsi"/>
                <w:color w:val="002060"/>
                <w:sz w:val="18"/>
                <w:lang w:val="sr-Cyrl-RS"/>
              </w:rPr>
              <w:t>Цене нафте, у доларима, годишње промене, %</w:t>
            </w:r>
          </w:p>
        </w:tc>
        <w:tc>
          <w:tcPr>
            <w:tcW w:w="552" w:type="pct"/>
            <w:tcBorders>
              <w:bottom w:val="single" w:sz="4" w:space="0" w:color="002060"/>
            </w:tcBorders>
          </w:tcPr>
          <w:p w14:paraId="064F2548" w14:textId="5FD43A0D"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23,3</w:t>
            </w:r>
          </w:p>
        </w:tc>
        <w:tc>
          <w:tcPr>
            <w:tcW w:w="553" w:type="pct"/>
            <w:tcBorders>
              <w:bottom w:val="single" w:sz="4" w:space="0" w:color="002060"/>
            </w:tcBorders>
          </w:tcPr>
          <w:p w14:paraId="2555E3EB" w14:textId="5848DD6D"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31,4</w:t>
            </w:r>
          </w:p>
        </w:tc>
        <w:tc>
          <w:tcPr>
            <w:tcW w:w="553" w:type="pct"/>
            <w:tcBorders>
              <w:bottom w:val="single" w:sz="4" w:space="0" w:color="002060"/>
            </w:tcBorders>
          </w:tcPr>
          <w:p w14:paraId="6B158104" w14:textId="4AE79D26"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-0,9</w:t>
            </w:r>
          </w:p>
        </w:tc>
        <w:tc>
          <w:tcPr>
            <w:tcW w:w="553" w:type="pct"/>
            <w:tcBorders>
              <w:bottom w:val="single" w:sz="4" w:space="0" w:color="002060"/>
            </w:tcBorders>
          </w:tcPr>
          <w:p w14:paraId="33035DB5" w14:textId="256F36C9" w:rsidR="001367C0" w:rsidRPr="00A37BCE" w:rsidRDefault="001367C0" w:rsidP="001367C0">
            <w:pPr>
              <w:jc w:val="center"/>
              <w:rPr>
                <w:rFonts w:cstheme="minorHAnsi"/>
                <w:color w:val="002060"/>
                <w:sz w:val="18"/>
                <w:lang w:val="sr-Cyrl-RS"/>
              </w:rPr>
            </w:pPr>
            <w:r w:rsidRPr="00A37BCE">
              <w:rPr>
                <w:rFonts w:cstheme="minorHAnsi"/>
                <w:color w:val="002060"/>
                <w:sz w:val="18"/>
                <w:lang w:val="sr-Cyrl-RS"/>
              </w:rPr>
              <w:t>-4,4</w:t>
            </w:r>
          </w:p>
        </w:tc>
      </w:tr>
      <w:tr w:rsidR="00F20588" w:rsidRPr="00A37BCE" w14:paraId="1E428AF7" w14:textId="77777777" w:rsidTr="00C75D50">
        <w:tc>
          <w:tcPr>
            <w:tcW w:w="2786" w:type="pct"/>
            <w:tcBorders>
              <w:top w:val="single" w:sz="4" w:space="0" w:color="002060"/>
            </w:tcBorders>
          </w:tcPr>
          <w:p w14:paraId="64343336" w14:textId="19ABB462" w:rsidR="00F20588" w:rsidRPr="00A37BCE" w:rsidRDefault="00F20588" w:rsidP="001E0313">
            <w:pPr>
              <w:jc w:val="both"/>
              <w:rPr>
                <w:rFonts w:cstheme="minorHAnsi"/>
                <w:bCs/>
                <w:color w:val="44546A" w:themeColor="text2"/>
                <w:sz w:val="16"/>
                <w:szCs w:val="72"/>
                <w:lang w:val="sr-Cyrl-RS"/>
              </w:rPr>
            </w:pPr>
            <w:r w:rsidRPr="00A37BCE">
              <w:rPr>
                <w:rFonts w:cstheme="minorHAnsi"/>
                <w:bCs/>
                <w:color w:val="44546A" w:themeColor="text2"/>
                <w:sz w:val="16"/>
                <w:szCs w:val="72"/>
                <w:lang w:val="sr-Cyrl-RS"/>
              </w:rPr>
              <w:t xml:space="preserve">Извор: </w:t>
            </w:r>
            <w:r w:rsidR="00C01844" w:rsidRPr="00A37BCE">
              <w:rPr>
                <w:rFonts w:cstheme="minorHAnsi"/>
                <w:bCs/>
                <w:color w:val="44546A" w:themeColor="text2"/>
                <w:sz w:val="16"/>
                <w:szCs w:val="72"/>
                <w:lang w:val="sr-Cyrl-RS"/>
              </w:rPr>
              <w:t>ММФ, World Economic Outlook, октобар 201</w:t>
            </w:r>
            <w:r w:rsidR="001367C0" w:rsidRPr="00A37BCE">
              <w:rPr>
                <w:rFonts w:cstheme="minorHAnsi"/>
                <w:bCs/>
                <w:color w:val="44546A" w:themeColor="text2"/>
                <w:sz w:val="16"/>
                <w:szCs w:val="72"/>
                <w:lang w:val="sr-Cyrl-RS"/>
              </w:rPr>
              <w:t>8</w:t>
            </w:r>
            <w:r w:rsidR="00C01844" w:rsidRPr="00A37BCE">
              <w:rPr>
                <w:rFonts w:cstheme="minorHAnsi"/>
                <w:bCs/>
                <w:color w:val="44546A" w:themeColor="text2"/>
                <w:sz w:val="16"/>
                <w:szCs w:val="72"/>
                <w:lang w:val="sr-Cyrl-RS"/>
              </w:rPr>
              <w:t>.</w:t>
            </w:r>
          </w:p>
        </w:tc>
        <w:tc>
          <w:tcPr>
            <w:tcW w:w="552" w:type="pct"/>
            <w:tcBorders>
              <w:top w:val="single" w:sz="4" w:space="0" w:color="002060"/>
            </w:tcBorders>
          </w:tcPr>
          <w:p w14:paraId="52848245" w14:textId="77777777" w:rsidR="00F20588" w:rsidRPr="00A37BCE" w:rsidRDefault="00F20588" w:rsidP="001E0313">
            <w:pPr>
              <w:jc w:val="both"/>
              <w:rPr>
                <w:rFonts w:cstheme="minorHAnsi"/>
                <w:color w:val="262626" w:themeColor="text1" w:themeTint="D9"/>
                <w:sz w:val="16"/>
                <w:lang w:val="sr-Cyrl-RS"/>
              </w:rPr>
            </w:pPr>
          </w:p>
        </w:tc>
        <w:tc>
          <w:tcPr>
            <w:tcW w:w="553" w:type="pct"/>
            <w:tcBorders>
              <w:top w:val="single" w:sz="4" w:space="0" w:color="002060"/>
            </w:tcBorders>
          </w:tcPr>
          <w:p w14:paraId="4086624A" w14:textId="77777777" w:rsidR="00F20588" w:rsidRPr="00A37BCE" w:rsidRDefault="00F20588" w:rsidP="001E0313">
            <w:pPr>
              <w:jc w:val="both"/>
              <w:rPr>
                <w:rFonts w:cstheme="minorHAnsi"/>
                <w:color w:val="262626" w:themeColor="text1" w:themeTint="D9"/>
                <w:sz w:val="16"/>
                <w:lang w:val="sr-Cyrl-RS"/>
              </w:rPr>
            </w:pPr>
          </w:p>
        </w:tc>
        <w:tc>
          <w:tcPr>
            <w:tcW w:w="553" w:type="pct"/>
            <w:tcBorders>
              <w:top w:val="single" w:sz="4" w:space="0" w:color="002060"/>
            </w:tcBorders>
          </w:tcPr>
          <w:p w14:paraId="7E7586D2" w14:textId="77777777" w:rsidR="00F20588" w:rsidRPr="00A37BCE" w:rsidRDefault="00F20588" w:rsidP="001E0313">
            <w:pPr>
              <w:jc w:val="both"/>
              <w:rPr>
                <w:rFonts w:cstheme="minorHAnsi"/>
                <w:color w:val="262626" w:themeColor="text1" w:themeTint="D9"/>
                <w:sz w:val="16"/>
                <w:lang w:val="sr-Cyrl-RS"/>
              </w:rPr>
            </w:pPr>
          </w:p>
        </w:tc>
        <w:tc>
          <w:tcPr>
            <w:tcW w:w="553" w:type="pct"/>
            <w:tcBorders>
              <w:top w:val="single" w:sz="4" w:space="0" w:color="002060"/>
            </w:tcBorders>
          </w:tcPr>
          <w:p w14:paraId="7DC2339A" w14:textId="77777777" w:rsidR="00F20588" w:rsidRPr="00A37BCE" w:rsidRDefault="00F20588" w:rsidP="001E0313">
            <w:pPr>
              <w:jc w:val="both"/>
              <w:rPr>
                <w:rFonts w:cstheme="minorHAnsi"/>
                <w:color w:val="262626" w:themeColor="text1" w:themeTint="D9"/>
                <w:sz w:val="16"/>
                <w:lang w:val="sr-Cyrl-RS"/>
              </w:rPr>
            </w:pPr>
          </w:p>
        </w:tc>
      </w:tr>
      <w:tr w:rsidR="00C01844" w:rsidRPr="00A37BCE" w14:paraId="759619D1" w14:textId="77777777" w:rsidTr="00C75D50">
        <w:tc>
          <w:tcPr>
            <w:tcW w:w="4997" w:type="pct"/>
            <w:gridSpan w:val="5"/>
          </w:tcPr>
          <w:p w14:paraId="05EA1747" w14:textId="77777777" w:rsidR="00C01844" w:rsidRPr="00A37BCE" w:rsidRDefault="00C01844" w:rsidP="001E0313">
            <w:pPr>
              <w:jc w:val="both"/>
              <w:rPr>
                <w:rFonts w:cstheme="minorHAnsi"/>
                <w:bCs/>
                <w:color w:val="44546A" w:themeColor="text2"/>
                <w:sz w:val="16"/>
                <w:szCs w:val="72"/>
                <w:lang w:val="sr-Cyrl-RS"/>
              </w:rPr>
            </w:pPr>
            <w:r w:rsidRPr="00BB1E30">
              <w:rPr>
                <w:rFonts w:cstheme="minorHAnsi"/>
                <w:bCs/>
                <w:color w:val="44546A" w:themeColor="text2"/>
                <w:sz w:val="16"/>
                <w:szCs w:val="72"/>
                <w:vertAlign w:val="superscript"/>
                <w:lang w:val="sr-Cyrl-RS"/>
              </w:rPr>
              <w:t>1</w:t>
            </w:r>
            <w:r w:rsidRPr="00A37BCE">
              <w:rPr>
                <w:rFonts w:cstheme="minorHAnsi"/>
                <w:bCs/>
                <w:color w:val="44546A" w:themeColor="text2"/>
                <w:sz w:val="16"/>
                <w:szCs w:val="72"/>
                <w:lang w:val="sr-Cyrl-RS"/>
              </w:rPr>
              <w:t xml:space="preserve"> Светски БДП израчунат је према паритету куповне моћи.</w:t>
            </w:r>
          </w:p>
          <w:p w14:paraId="008B9F9E" w14:textId="77777777" w:rsidR="00C01844" w:rsidRPr="00A37BCE" w:rsidRDefault="00C01844" w:rsidP="001E0313">
            <w:pPr>
              <w:jc w:val="both"/>
              <w:rPr>
                <w:rFonts w:cstheme="minorHAnsi"/>
                <w:bCs/>
                <w:color w:val="44546A" w:themeColor="text2"/>
                <w:sz w:val="16"/>
                <w:szCs w:val="72"/>
                <w:lang w:val="sr-Cyrl-RS"/>
              </w:rPr>
            </w:pPr>
            <w:r w:rsidRPr="00BB1E30">
              <w:rPr>
                <w:rFonts w:cstheme="minorHAnsi"/>
                <w:bCs/>
                <w:color w:val="44546A" w:themeColor="text2"/>
                <w:sz w:val="16"/>
                <w:szCs w:val="72"/>
                <w:vertAlign w:val="superscript"/>
                <w:lang w:val="sr-Cyrl-RS"/>
              </w:rPr>
              <w:t>2</w:t>
            </w:r>
            <w:r w:rsidRPr="00A37BCE">
              <w:rPr>
                <w:rFonts w:cstheme="minorHAnsi"/>
                <w:bCs/>
                <w:color w:val="44546A" w:themeColor="text2"/>
                <w:sz w:val="16"/>
                <w:szCs w:val="72"/>
                <w:lang w:val="sr-Cyrl-RS"/>
              </w:rPr>
              <w:t xml:space="preserve"> Цена житарица добијена као пондерисани просек цена пшенице, кукуруза, соје, пиринча и јечма.</w:t>
            </w:r>
          </w:p>
          <w:p w14:paraId="077712F2" w14:textId="77777777" w:rsidR="00C01844" w:rsidRPr="00A37BCE" w:rsidRDefault="00C01844" w:rsidP="001E0313">
            <w:pPr>
              <w:jc w:val="both"/>
              <w:rPr>
                <w:rFonts w:cstheme="minorHAnsi"/>
                <w:bCs/>
                <w:color w:val="44546A" w:themeColor="text2"/>
                <w:sz w:val="16"/>
                <w:szCs w:val="72"/>
                <w:lang w:val="sr-Cyrl-RS"/>
              </w:rPr>
            </w:pPr>
            <w:r w:rsidRPr="00BB1E30">
              <w:rPr>
                <w:rFonts w:cstheme="minorHAnsi"/>
                <w:bCs/>
                <w:color w:val="44546A" w:themeColor="text2"/>
                <w:sz w:val="16"/>
                <w:szCs w:val="72"/>
                <w:vertAlign w:val="superscript"/>
                <w:lang w:val="sr-Cyrl-RS"/>
              </w:rPr>
              <w:t>3</w:t>
            </w:r>
            <w:r w:rsidRPr="00A37BCE">
              <w:rPr>
                <w:rFonts w:cstheme="minorHAnsi"/>
                <w:bCs/>
                <w:color w:val="44546A" w:themeColor="text2"/>
                <w:sz w:val="16"/>
                <w:szCs w:val="72"/>
                <w:lang w:val="sr-Cyrl-RS"/>
              </w:rPr>
              <w:t xml:space="preserve"> Цена метала добијена као пондерисани просек цена бакра, алуминијума, руде гвожђа, калаја, никла, цинка, олова и уранијума.</w:t>
            </w:r>
          </w:p>
          <w:p w14:paraId="5073627C" w14:textId="7E1E7746" w:rsidR="00C01844" w:rsidRPr="00A37BCE" w:rsidRDefault="00C01844" w:rsidP="001E0313">
            <w:pPr>
              <w:jc w:val="both"/>
              <w:rPr>
                <w:rFonts w:cstheme="minorHAnsi"/>
                <w:bCs/>
                <w:color w:val="44546A" w:themeColor="text2"/>
                <w:sz w:val="16"/>
                <w:szCs w:val="72"/>
                <w:lang w:val="sr-Cyrl-RS"/>
              </w:rPr>
            </w:pPr>
            <w:r w:rsidRPr="00BB1E30">
              <w:rPr>
                <w:rFonts w:cstheme="minorHAnsi"/>
                <w:bCs/>
                <w:color w:val="44546A" w:themeColor="text2"/>
                <w:sz w:val="16"/>
                <w:szCs w:val="72"/>
                <w:vertAlign w:val="superscript"/>
                <w:lang w:val="sr-Cyrl-RS"/>
              </w:rPr>
              <w:t>4</w:t>
            </w:r>
            <w:r w:rsidRPr="00A37BCE">
              <w:rPr>
                <w:rFonts w:cstheme="minorHAnsi"/>
                <w:bCs/>
                <w:color w:val="44546A" w:themeColor="text2"/>
                <w:sz w:val="16"/>
                <w:szCs w:val="72"/>
                <w:lang w:val="sr-Cyrl-RS"/>
              </w:rPr>
              <w:t xml:space="preserve"> Цена руде гвожђа (садржај гвожђа од 62%) за увоз у Кини, лука Тиан Јан, у доларима по метричкој тони.</w:t>
            </w:r>
          </w:p>
        </w:tc>
      </w:tr>
    </w:tbl>
    <w:p w14:paraId="7B1FBB74" w14:textId="79D867D0" w:rsidR="00BD7EB6" w:rsidRPr="00A37BCE" w:rsidRDefault="00BD7EB6" w:rsidP="00AA31B1">
      <w:pPr>
        <w:spacing w:after="0"/>
        <w:jc w:val="both"/>
        <w:rPr>
          <w:rFonts w:cstheme="minorHAnsi"/>
          <w:color w:val="44546A" w:themeColor="text2"/>
          <w:sz w:val="20"/>
          <w:lang w:val="sr-Cyrl-RS"/>
        </w:rPr>
        <w:sectPr w:rsidR="00BD7EB6" w:rsidRPr="00A37BCE" w:rsidSect="00AF78EE">
          <w:type w:val="continuous"/>
          <w:pgSz w:w="12240" w:h="15840"/>
          <w:pgMar w:top="1440" w:right="1440" w:bottom="1440" w:left="1440" w:header="720" w:footer="720" w:gutter="0"/>
          <w:cols w:space="720"/>
          <w:docGrid w:linePitch="360"/>
        </w:sectPr>
      </w:pPr>
    </w:p>
    <w:p w14:paraId="7EC4D622" w14:textId="77777777" w:rsidR="00E33ACA" w:rsidRPr="00E33ACA" w:rsidRDefault="00E33ACA" w:rsidP="00EF4564">
      <w:pPr>
        <w:jc w:val="both"/>
        <w:rPr>
          <w:rFonts w:cstheme="minorHAnsi"/>
          <w:bCs/>
          <w:color w:val="44546A" w:themeColor="text2"/>
          <w:sz w:val="10"/>
          <w:szCs w:val="10"/>
          <w:lang w:val="sr-Cyrl-RS"/>
        </w:rPr>
      </w:pPr>
    </w:p>
    <w:p w14:paraId="5421220C" w14:textId="091ED457" w:rsidR="00303D95" w:rsidRPr="00A37BCE" w:rsidRDefault="001367C0" w:rsidP="00EF4564">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 xml:space="preserve">Према октобарским пројекцијама ММФ прогнозиран је глобални раст од 3,7% у 2018. години, што је ревизија наниже за 0,2 </w:t>
      </w:r>
      <w:r w:rsidR="005D635E">
        <w:rPr>
          <w:rFonts w:cstheme="minorHAnsi"/>
          <w:bCs/>
          <w:color w:val="44546A" w:themeColor="text2"/>
          <w:sz w:val="20"/>
          <w:szCs w:val="72"/>
          <w:lang w:val="sr-Cyrl-RS"/>
        </w:rPr>
        <w:t>п. п.</w:t>
      </w:r>
      <w:r w:rsidR="00B00EDC" w:rsidRPr="00A37BCE">
        <w:rPr>
          <w:rFonts w:cstheme="minorHAnsi"/>
          <w:bCs/>
          <w:color w:val="44546A" w:themeColor="text2"/>
          <w:sz w:val="20"/>
          <w:szCs w:val="72"/>
          <w:lang w:val="sr-Cyrl-RS"/>
        </w:rPr>
        <w:t xml:space="preserve"> у односу на претходна очекивања. Идентична стопа раста </w:t>
      </w:r>
      <w:r w:rsidRPr="00A37BCE">
        <w:rPr>
          <w:rFonts w:cstheme="minorHAnsi"/>
          <w:bCs/>
          <w:color w:val="44546A" w:themeColor="text2"/>
          <w:sz w:val="20"/>
          <w:szCs w:val="72"/>
          <w:lang w:val="sr-Cyrl-RS"/>
        </w:rPr>
        <w:t>светске привреде</w:t>
      </w:r>
      <w:r w:rsidR="00B00EDC" w:rsidRPr="00A37BCE">
        <w:rPr>
          <w:rFonts w:cstheme="minorHAnsi"/>
          <w:bCs/>
          <w:color w:val="44546A" w:themeColor="text2"/>
          <w:sz w:val="20"/>
          <w:szCs w:val="72"/>
          <w:lang w:val="sr-Cyrl-RS"/>
        </w:rPr>
        <w:t xml:space="preserve"> прогнозирана је и за наредне две године. </w:t>
      </w:r>
      <w:r w:rsidRPr="00A37BCE">
        <w:rPr>
          <w:rFonts w:cstheme="minorHAnsi"/>
          <w:bCs/>
          <w:color w:val="44546A" w:themeColor="text2"/>
          <w:sz w:val="20"/>
          <w:szCs w:val="72"/>
          <w:lang w:val="sr-Cyrl-RS"/>
        </w:rPr>
        <w:t>У развијеним економијама раст ће</w:t>
      </w:r>
      <w:r w:rsidR="00A8574E" w:rsidRPr="00A37BCE">
        <w:rPr>
          <w:rFonts w:cstheme="minorHAnsi"/>
          <w:bCs/>
          <w:color w:val="44546A" w:themeColor="text2"/>
          <w:sz w:val="20"/>
          <w:szCs w:val="72"/>
          <w:lang w:val="sr-Cyrl-RS"/>
        </w:rPr>
        <w:t xml:space="preserve"> у средњорочном периоду</w:t>
      </w:r>
      <w:r w:rsidRPr="00A37BCE">
        <w:rPr>
          <w:rFonts w:cstheme="minorHAnsi"/>
          <w:bCs/>
          <w:color w:val="44546A" w:themeColor="text2"/>
          <w:sz w:val="20"/>
          <w:szCs w:val="72"/>
          <w:lang w:val="sr-Cyrl-RS"/>
        </w:rPr>
        <w:t xml:space="preserve"> успорити са 2,4%</w:t>
      </w:r>
      <w:r w:rsidR="00A8574E" w:rsidRPr="00A37BCE">
        <w:rPr>
          <w:rFonts w:cstheme="minorHAnsi"/>
          <w:bCs/>
          <w:color w:val="44546A" w:themeColor="text2"/>
          <w:sz w:val="20"/>
          <w:szCs w:val="72"/>
          <w:lang w:val="sr-Cyrl-RS"/>
        </w:rPr>
        <w:t xml:space="preserve"> на 1,7%. Истовремено, очекивања за земље у успону су спуштена</w:t>
      </w:r>
      <w:r w:rsidR="00AE74B3" w:rsidRPr="00A37BCE">
        <w:rPr>
          <w:rFonts w:cstheme="minorHAnsi"/>
          <w:bCs/>
          <w:color w:val="44546A" w:themeColor="text2"/>
          <w:sz w:val="20"/>
          <w:szCs w:val="72"/>
          <w:lang w:val="sr-Cyrl-RS"/>
        </w:rPr>
        <w:t xml:space="preserve"> </w:t>
      </w:r>
      <w:r w:rsidR="008542E1" w:rsidRPr="00A37BCE">
        <w:rPr>
          <w:rFonts w:cstheme="minorHAnsi"/>
          <w:bCs/>
          <w:color w:val="44546A" w:themeColor="text2"/>
          <w:sz w:val="20"/>
          <w:szCs w:val="72"/>
          <w:lang w:val="sr-Cyrl-RS"/>
        </w:rPr>
        <w:t xml:space="preserve">(за 0,2 </w:t>
      </w:r>
      <w:r w:rsidR="005D635E">
        <w:rPr>
          <w:rFonts w:cstheme="minorHAnsi"/>
          <w:bCs/>
          <w:color w:val="44546A" w:themeColor="text2"/>
          <w:sz w:val="20"/>
          <w:szCs w:val="72"/>
          <w:lang w:val="sr-Cyrl-RS"/>
        </w:rPr>
        <w:t>п. п.</w:t>
      </w:r>
      <w:r w:rsidR="00AE74B3" w:rsidRPr="00A37BCE">
        <w:rPr>
          <w:rFonts w:cstheme="minorHAnsi"/>
          <w:bCs/>
          <w:color w:val="44546A" w:themeColor="text2"/>
          <w:sz w:val="20"/>
          <w:szCs w:val="72"/>
          <w:lang w:val="sr-Cyrl-RS"/>
        </w:rPr>
        <w:t xml:space="preserve"> и 0,4 </w:t>
      </w:r>
      <w:r w:rsidR="005D635E">
        <w:rPr>
          <w:rFonts w:cstheme="minorHAnsi"/>
          <w:bCs/>
          <w:color w:val="44546A" w:themeColor="text2"/>
          <w:sz w:val="20"/>
          <w:szCs w:val="72"/>
          <w:lang w:val="sr-Cyrl-RS"/>
        </w:rPr>
        <w:t>п. п.</w:t>
      </w:r>
      <w:r w:rsidR="00AE74B3" w:rsidRPr="00A37BCE">
        <w:rPr>
          <w:rFonts w:cstheme="minorHAnsi"/>
          <w:bCs/>
          <w:color w:val="44546A" w:themeColor="text2"/>
          <w:sz w:val="20"/>
          <w:szCs w:val="72"/>
          <w:lang w:val="sr-Cyrl-RS"/>
        </w:rPr>
        <w:t xml:space="preserve"> у 2018. и 2019. години, респективно)</w:t>
      </w:r>
      <w:r w:rsidR="00A8574E" w:rsidRPr="00A37BCE">
        <w:rPr>
          <w:rFonts w:cstheme="minorHAnsi"/>
          <w:bCs/>
          <w:color w:val="44546A" w:themeColor="text2"/>
          <w:sz w:val="20"/>
          <w:szCs w:val="72"/>
          <w:lang w:val="sr-Cyrl-RS"/>
        </w:rPr>
        <w:t xml:space="preserve"> али се и даље пројектује убрзање</w:t>
      </w:r>
      <w:r w:rsidR="00AE74B3" w:rsidRPr="00A37BCE">
        <w:rPr>
          <w:rFonts w:cstheme="minorHAnsi"/>
          <w:bCs/>
          <w:color w:val="44546A" w:themeColor="text2"/>
          <w:sz w:val="20"/>
          <w:szCs w:val="72"/>
          <w:lang w:val="sr-Cyrl-RS"/>
        </w:rPr>
        <w:t xml:space="preserve"> њихове</w:t>
      </w:r>
      <w:r w:rsidR="00A8574E" w:rsidRPr="00A37BCE">
        <w:rPr>
          <w:rFonts w:cstheme="minorHAnsi"/>
          <w:bCs/>
          <w:color w:val="44546A" w:themeColor="text2"/>
          <w:sz w:val="20"/>
          <w:szCs w:val="72"/>
          <w:lang w:val="sr-Cyrl-RS"/>
        </w:rPr>
        <w:t xml:space="preserve"> привредне активности, са 4</w:t>
      </w:r>
      <w:r w:rsidRPr="00A37BCE">
        <w:rPr>
          <w:rFonts w:cstheme="minorHAnsi"/>
          <w:bCs/>
          <w:color w:val="44546A" w:themeColor="text2"/>
          <w:sz w:val="20"/>
          <w:szCs w:val="72"/>
          <w:lang w:val="sr-Cyrl-RS"/>
        </w:rPr>
        <w:t>,7%</w:t>
      </w:r>
      <w:r w:rsidR="00A8574E" w:rsidRPr="00A37BCE">
        <w:rPr>
          <w:rFonts w:cstheme="minorHAnsi"/>
          <w:bCs/>
          <w:color w:val="44546A" w:themeColor="text2"/>
          <w:sz w:val="20"/>
          <w:szCs w:val="72"/>
          <w:lang w:val="sr-Cyrl-RS"/>
        </w:rPr>
        <w:t xml:space="preserve"> у 2018. на 4,9% у 2020. години. </w:t>
      </w:r>
      <w:r w:rsidRPr="00A37BCE">
        <w:rPr>
          <w:rFonts w:cstheme="minorHAnsi"/>
          <w:bCs/>
          <w:color w:val="44546A" w:themeColor="text2"/>
          <w:sz w:val="20"/>
          <w:szCs w:val="72"/>
          <w:lang w:val="sr-Cyrl-RS"/>
        </w:rPr>
        <w:t>Ра</w:t>
      </w:r>
      <w:r w:rsidR="00852B88" w:rsidRPr="00A37BCE">
        <w:rPr>
          <w:rFonts w:cstheme="minorHAnsi"/>
          <w:bCs/>
          <w:color w:val="44546A" w:themeColor="text2"/>
          <w:sz w:val="20"/>
          <w:szCs w:val="72"/>
          <w:lang w:val="sr-Cyrl-RS"/>
        </w:rPr>
        <w:t>ст у САД је изнад поте</w:t>
      </w:r>
      <w:r w:rsidR="003E2525" w:rsidRPr="00A37BCE">
        <w:rPr>
          <w:rFonts w:cstheme="minorHAnsi"/>
          <w:bCs/>
          <w:color w:val="44546A" w:themeColor="text2"/>
          <w:sz w:val="20"/>
          <w:szCs w:val="72"/>
          <w:lang w:val="sr-Cyrl-RS"/>
        </w:rPr>
        <w:t xml:space="preserve">нцијалног </w:t>
      </w:r>
      <w:r w:rsidR="00852B88" w:rsidRPr="00A37BCE">
        <w:rPr>
          <w:rFonts w:cstheme="minorHAnsi"/>
          <w:bCs/>
          <w:color w:val="44546A" w:themeColor="text2"/>
          <w:sz w:val="20"/>
          <w:szCs w:val="72"/>
          <w:lang w:val="sr-Cyrl-RS"/>
        </w:rPr>
        <w:t xml:space="preserve">услед </w:t>
      </w:r>
      <w:r w:rsidRPr="00A37BCE">
        <w:rPr>
          <w:rFonts w:cstheme="minorHAnsi"/>
          <w:bCs/>
          <w:color w:val="44546A" w:themeColor="text2"/>
          <w:sz w:val="20"/>
          <w:szCs w:val="72"/>
          <w:lang w:val="sr-Cyrl-RS"/>
        </w:rPr>
        <w:t>повољних финансијск</w:t>
      </w:r>
      <w:r w:rsidR="00A8574E" w:rsidRPr="00A37BCE">
        <w:rPr>
          <w:rFonts w:cstheme="minorHAnsi"/>
          <w:bCs/>
          <w:color w:val="44546A" w:themeColor="text2"/>
          <w:sz w:val="20"/>
          <w:szCs w:val="72"/>
          <w:lang w:val="sr-Cyrl-RS"/>
        </w:rPr>
        <w:t>их услова и фискалног стимул</w:t>
      </w:r>
      <w:r w:rsidR="003E2525" w:rsidRPr="00A37BCE">
        <w:rPr>
          <w:rFonts w:cstheme="minorHAnsi"/>
          <w:bCs/>
          <w:color w:val="44546A" w:themeColor="text2"/>
          <w:sz w:val="20"/>
          <w:szCs w:val="72"/>
          <w:lang w:val="sr-Cyrl-RS"/>
        </w:rPr>
        <w:t>анса</w:t>
      </w:r>
      <w:r w:rsidR="00A8574E" w:rsidRPr="00A37BCE">
        <w:rPr>
          <w:rFonts w:cstheme="minorHAnsi"/>
          <w:bCs/>
          <w:color w:val="44546A" w:themeColor="text2"/>
          <w:sz w:val="20"/>
          <w:szCs w:val="72"/>
          <w:lang w:val="sr-Cyrl-RS"/>
        </w:rPr>
        <w:t xml:space="preserve">, </w:t>
      </w:r>
      <w:r w:rsidR="00852B88" w:rsidRPr="00A37BCE">
        <w:rPr>
          <w:rFonts w:cstheme="minorHAnsi"/>
          <w:bCs/>
          <w:color w:val="44546A" w:themeColor="text2"/>
          <w:sz w:val="20"/>
          <w:szCs w:val="72"/>
          <w:lang w:val="sr-Cyrl-RS"/>
        </w:rPr>
        <w:t xml:space="preserve">а очекује се да ће </w:t>
      </w:r>
      <w:r w:rsidRPr="00A37BCE">
        <w:rPr>
          <w:rFonts w:cstheme="minorHAnsi"/>
          <w:bCs/>
          <w:color w:val="44546A" w:themeColor="text2"/>
          <w:sz w:val="20"/>
          <w:szCs w:val="72"/>
          <w:lang w:val="sr-Cyrl-RS"/>
        </w:rPr>
        <w:t>америчка привреда у</w:t>
      </w:r>
      <w:r w:rsidR="00A8574E" w:rsidRPr="00A37BCE">
        <w:rPr>
          <w:rFonts w:cstheme="minorHAnsi"/>
          <w:bCs/>
          <w:color w:val="44546A" w:themeColor="text2"/>
          <w:sz w:val="20"/>
          <w:szCs w:val="72"/>
          <w:lang w:val="sr-Cyrl-RS"/>
        </w:rPr>
        <w:t xml:space="preserve"> овом</w:t>
      </w:r>
      <w:r w:rsidRPr="00A37BCE">
        <w:rPr>
          <w:rFonts w:cstheme="minorHAnsi"/>
          <w:bCs/>
          <w:color w:val="44546A" w:themeColor="text2"/>
          <w:sz w:val="20"/>
          <w:szCs w:val="72"/>
          <w:lang w:val="sr-Cyrl-RS"/>
        </w:rPr>
        <w:t xml:space="preserve"> периоду</w:t>
      </w:r>
      <w:r w:rsidR="00852B88" w:rsidRPr="00A37BCE">
        <w:rPr>
          <w:rFonts w:cstheme="minorHAnsi"/>
          <w:bCs/>
          <w:color w:val="44546A" w:themeColor="text2"/>
          <w:sz w:val="20"/>
          <w:szCs w:val="72"/>
          <w:lang w:val="sr-Cyrl-RS"/>
        </w:rPr>
        <w:t xml:space="preserve"> расти</w:t>
      </w:r>
      <w:r w:rsidRPr="00A37BCE">
        <w:rPr>
          <w:rFonts w:cstheme="minorHAnsi"/>
          <w:bCs/>
          <w:color w:val="44546A" w:themeColor="text2"/>
          <w:sz w:val="20"/>
          <w:szCs w:val="72"/>
          <w:lang w:val="sr-Cyrl-RS"/>
        </w:rPr>
        <w:t xml:space="preserve"> по просечној годишњој стопи од 2,4%. Е</w:t>
      </w:r>
      <w:r w:rsidR="00A8574E" w:rsidRPr="00A37BCE">
        <w:rPr>
          <w:rFonts w:cstheme="minorHAnsi"/>
          <w:bCs/>
          <w:color w:val="44546A" w:themeColor="text2"/>
          <w:sz w:val="20"/>
          <w:szCs w:val="72"/>
          <w:lang w:val="sr-Cyrl-RS"/>
        </w:rPr>
        <w:t>врозона ће у 2018. години забележити</w:t>
      </w:r>
      <w:r w:rsidR="00852B88" w:rsidRPr="00A37BCE">
        <w:rPr>
          <w:rFonts w:cstheme="minorHAnsi"/>
          <w:bCs/>
          <w:color w:val="44546A" w:themeColor="text2"/>
          <w:sz w:val="20"/>
          <w:szCs w:val="72"/>
          <w:lang w:val="sr-Cyrl-RS"/>
        </w:rPr>
        <w:t xml:space="preserve"> повећање привредне активности за </w:t>
      </w:r>
      <w:r w:rsidR="00A8574E" w:rsidRPr="00A37BCE">
        <w:rPr>
          <w:rFonts w:cstheme="minorHAnsi"/>
          <w:bCs/>
          <w:color w:val="44546A" w:themeColor="text2"/>
          <w:sz w:val="20"/>
          <w:szCs w:val="72"/>
          <w:lang w:val="sr-Cyrl-RS"/>
        </w:rPr>
        <w:t>2,0%, док се у средњем</w:t>
      </w:r>
      <w:r w:rsidR="00852B88" w:rsidRPr="00A37BCE">
        <w:rPr>
          <w:rFonts w:cstheme="minorHAnsi"/>
          <w:bCs/>
          <w:color w:val="44546A" w:themeColor="text2"/>
          <w:sz w:val="20"/>
          <w:szCs w:val="72"/>
          <w:lang w:val="sr-Cyrl-RS"/>
        </w:rPr>
        <w:t xml:space="preserve"> року</w:t>
      </w:r>
      <w:r w:rsidR="00A8574E" w:rsidRPr="00A37BCE">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t xml:space="preserve">очекује </w:t>
      </w:r>
      <w:r w:rsidRPr="00A37BCE">
        <w:rPr>
          <w:rFonts w:cstheme="minorHAnsi"/>
          <w:bCs/>
          <w:color w:val="44546A" w:themeColor="text2"/>
          <w:sz w:val="20"/>
          <w:szCs w:val="72"/>
          <w:lang w:val="sr-Cyrl-RS"/>
        </w:rPr>
        <w:lastRenderedPageBreak/>
        <w:t>даље успоравање раста</w:t>
      </w:r>
      <w:r w:rsidR="00852B88" w:rsidRPr="00A37BCE">
        <w:rPr>
          <w:rFonts w:cstheme="minorHAnsi"/>
          <w:bCs/>
          <w:color w:val="44546A" w:themeColor="text2"/>
          <w:sz w:val="20"/>
          <w:szCs w:val="72"/>
          <w:lang w:val="sr-Cyrl-RS"/>
        </w:rPr>
        <w:t>,</w:t>
      </w:r>
      <w:r w:rsidR="00A8574E" w:rsidRPr="00A37BCE">
        <w:rPr>
          <w:rFonts w:cstheme="minorHAnsi"/>
          <w:bCs/>
          <w:color w:val="44546A" w:themeColor="text2"/>
          <w:sz w:val="20"/>
          <w:szCs w:val="72"/>
          <w:lang w:val="sr-Cyrl-RS"/>
        </w:rPr>
        <w:t xml:space="preserve"> изазвано пре свега</w:t>
      </w:r>
      <w:r w:rsidRPr="00A37BCE">
        <w:rPr>
          <w:rFonts w:cstheme="minorHAnsi"/>
          <w:bCs/>
          <w:color w:val="44546A" w:themeColor="text2"/>
          <w:sz w:val="20"/>
          <w:szCs w:val="72"/>
          <w:lang w:val="sr-Cyrl-RS"/>
        </w:rPr>
        <w:t xml:space="preserve"> неповољни</w:t>
      </w:r>
      <w:r w:rsidR="00A8574E" w:rsidRPr="00A37BCE">
        <w:rPr>
          <w:rFonts w:cstheme="minorHAnsi"/>
          <w:bCs/>
          <w:color w:val="44546A" w:themeColor="text2"/>
          <w:sz w:val="20"/>
          <w:szCs w:val="72"/>
          <w:lang w:val="sr-Cyrl-RS"/>
        </w:rPr>
        <w:t>м</w:t>
      </w:r>
      <w:r w:rsidRPr="00A37BCE">
        <w:rPr>
          <w:rFonts w:cstheme="minorHAnsi"/>
          <w:bCs/>
          <w:color w:val="44546A" w:themeColor="text2"/>
          <w:sz w:val="20"/>
          <w:szCs w:val="72"/>
          <w:lang w:val="sr-Cyrl-RS"/>
        </w:rPr>
        <w:t xml:space="preserve"> трговински</w:t>
      </w:r>
      <w:r w:rsidR="00A8574E" w:rsidRPr="00A37BCE">
        <w:rPr>
          <w:rFonts w:cstheme="minorHAnsi"/>
          <w:bCs/>
          <w:color w:val="44546A" w:themeColor="text2"/>
          <w:sz w:val="20"/>
          <w:szCs w:val="72"/>
          <w:lang w:val="sr-Cyrl-RS"/>
        </w:rPr>
        <w:t>м</w:t>
      </w:r>
      <w:r w:rsidRPr="00A37BCE">
        <w:rPr>
          <w:rFonts w:cstheme="minorHAnsi"/>
          <w:bCs/>
          <w:color w:val="44546A" w:themeColor="text2"/>
          <w:sz w:val="20"/>
          <w:szCs w:val="72"/>
          <w:lang w:val="sr-Cyrl-RS"/>
        </w:rPr>
        <w:t xml:space="preserve"> мера</w:t>
      </w:r>
      <w:r w:rsidR="00A8574E" w:rsidRPr="00A37BCE">
        <w:rPr>
          <w:rFonts w:cstheme="minorHAnsi"/>
          <w:bCs/>
          <w:color w:val="44546A" w:themeColor="text2"/>
          <w:sz w:val="20"/>
          <w:szCs w:val="72"/>
          <w:lang w:val="sr-Cyrl-RS"/>
        </w:rPr>
        <w:t>ма</w:t>
      </w:r>
      <w:r w:rsidRPr="00A37BCE">
        <w:rPr>
          <w:rFonts w:cstheme="minorHAnsi"/>
          <w:bCs/>
          <w:color w:val="44546A" w:themeColor="text2"/>
          <w:sz w:val="20"/>
          <w:szCs w:val="72"/>
          <w:lang w:val="sr-Cyrl-RS"/>
        </w:rPr>
        <w:t xml:space="preserve"> и </w:t>
      </w:r>
      <w:r w:rsidR="00A8574E" w:rsidRPr="00A37BCE">
        <w:rPr>
          <w:rFonts w:cstheme="minorHAnsi"/>
          <w:bCs/>
          <w:color w:val="44546A" w:themeColor="text2"/>
          <w:sz w:val="20"/>
          <w:szCs w:val="72"/>
          <w:lang w:val="sr-Cyrl-RS"/>
        </w:rPr>
        <w:t>следствено нижом спољном тражњом.</w:t>
      </w:r>
    </w:p>
    <w:p w14:paraId="05F8F952" w14:textId="3410B8E3" w:rsidR="00AE15F8" w:rsidRPr="00A37BCE" w:rsidRDefault="00C75D50" w:rsidP="001D6C6B">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Главни</w:t>
      </w:r>
      <w:r w:rsidR="00303D95" w:rsidRPr="00A37BCE">
        <w:rPr>
          <w:rFonts w:cstheme="minorHAnsi"/>
          <w:bCs/>
          <w:color w:val="44546A" w:themeColor="text2"/>
          <w:sz w:val="20"/>
          <w:szCs w:val="72"/>
          <w:lang w:val="sr-Cyrl-RS"/>
        </w:rPr>
        <w:t xml:space="preserve"> разлози ревидирања</w:t>
      </w:r>
      <w:r w:rsidR="00354DC3" w:rsidRPr="00A37BCE">
        <w:rPr>
          <w:rFonts w:cstheme="minorHAnsi"/>
          <w:bCs/>
          <w:color w:val="44546A" w:themeColor="text2"/>
          <w:sz w:val="20"/>
          <w:szCs w:val="72"/>
          <w:lang w:val="sr-Cyrl-RS"/>
        </w:rPr>
        <w:t xml:space="preserve"> првобитних пројекција</w:t>
      </w:r>
      <w:r w:rsidR="00303D95" w:rsidRPr="00A37BCE">
        <w:rPr>
          <w:rFonts w:cstheme="minorHAnsi"/>
          <w:bCs/>
          <w:color w:val="44546A" w:themeColor="text2"/>
          <w:sz w:val="20"/>
          <w:szCs w:val="72"/>
          <w:lang w:val="sr-Cyrl-RS"/>
        </w:rPr>
        <w:t xml:space="preserve"> „на доле</w:t>
      </w:r>
      <w:r w:rsidR="00A52C17" w:rsidRPr="00A52C17">
        <w:rPr>
          <w:rFonts w:cstheme="minorHAnsi"/>
          <w:bCs/>
          <w:color w:val="44546A" w:themeColor="text2"/>
          <w:sz w:val="20"/>
          <w:szCs w:val="72"/>
          <w:lang w:val="sr-Cyrl-RS"/>
        </w:rPr>
        <w:t>ˮ</w:t>
      </w:r>
      <w:r w:rsidR="00303D95" w:rsidRPr="00A37BCE">
        <w:rPr>
          <w:rFonts w:cstheme="minorHAnsi"/>
          <w:bCs/>
          <w:color w:val="44546A" w:themeColor="text2"/>
          <w:sz w:val="20"/>
          <w:szCs w:val="72"/>
          <w:lang w:val="sr-Cyrl-RS"/>
        </w:rPr>
        <w:t xml:space="preserve"> последица су </w:t>
      </w:r>
      <w:r w:rsidRPr="00A37BCE">
        <w:rPr>
          <w:rFonts w:cstheme="minorHAnsi"/>
          <w:bCs/>
          <w:color w:val="44546A" w:themeColor="text2"/>
          <w:sz w:val="20"/>
          <w:szCs w:val="72"/>
          <w:lang w:val="sr-Cyrl-RS"/>
        </w:rPr>
        <w:t>ефектуирања</w:t>
      </w:r>
      <w:r w:rsidR="00354DC3" w:rsidRPr="00A37BCE">
        <w:rPr>
          <w:rFonts w:cstheme="minorHAnsi"/>
          <w:bCs/>
          <w:color w:val="44546A" w:themeColor="text2"/>
          <w:sz w:val="20"/>
          <w:szCs w:val="72"/>
          <w:lang w:val="sr-Cyrl-RS"/>
        </w:rPr>
        <w:t xml:space="preserve"> неколико фактора. Т</w:t>
      </w:r>
      <w:r w:rsidRPr="00A37BCE">
        <w:rPr>
          <w:rFonts w:cstheme="minorHAnsi"/>
          <w:bCs/>
          <w:color w:val="44546A" w:themeColor="text2"/>
          <w:sz w:val="20"/>
          <w:szCs w:val="72"/>
          <w:lang w:val="sr-Cyrl-RS"/>
        </w:rPr>
        <w:t>рговинск</w:t>
      </w:r>
      <w:r w:rsidR="00354DC3" w:rsidRPr="00A37BCE">
        <w:rPr>
          <w:rFonts w:cstheme="minorHAnsi"/>
          <w:bCs/>
          <w:color w:val="44546A" w:themeColor="text2"/>
          <w:sz w:val="20"/>
          <w:szCs w:val="72"/>
          <w:lang w:val="sr-Cyrl-RS"/>
        </w:rPr>
        <w:t xml:space="preserve">е мере ће успорити </w:t>
      </w:r>
      <w:r w:rsidRPr="00A37BCE">
        <w:rPr>
          <w:rFonts w:cstheme="minorHAnsi"/>
          <w:bCs/>
          <w:color w:val="44546A" w:themeColor="text2"/>
          <w:sz w:val="20"/>
          <w:szCs w:val="72"/>
          <w:lang w:val="sr-Cyrl-RS"/>
        </w:rPr>
        <w:t>економску активност Кине и других земаља у</w:t>
      </w:r>
      <w:r w:rsidR="00354DC3" w:rsidRPr="00A37BCE">
        <w:rPr>
          <w:rFonts w:cstheme="minorHAnsi"/>
          <w:bCs/>
          <w:color w:val="44546A" w:themeColor="text2"/>
          <w:sz w:val="20"/>
          <w:szCs w:val="72"/>
          <w:lang w:val="sr-Cyrl-RS"/>
        </w:rPr>
        <w:t xml:space="preserve"> успону на подручју Азије. Привреда Ирана ће</w:t>
      </w:r>
      <w:r w:rsidR="000814C2">
        <w:rPr>
          <w:rFonts w:cstheme="minorHAnsi"/>
          <w:bCs/>
          <w:color w:val="44546A" w:themeColor="text2"/>
          <w:sz w:val="20"/>
          <w:szCs w:val="72"/>
          <w:lang w:val="sr-Cyrl-RS"/>
        </w:rPr>
        <w:t xml:space="preserve"> </w:t>
      </w:r>
      <w:r w:rsidR="00354DC3" w:rsidRPr="00A37BCE">
        <w:rPr>
          <w:rFonts w:cstheme="minorHAnsi"/>
          <w:bCs/>
          <w:color w:val="44546A" w:themeColor="text2"/>
          <w:sz w:val="20"/>
          <w:szCs w:val="72"/>
          <w:lang w:val="sr-Cyrl-RS"/>
        </w:rPr>
        <w:t>ослабити у</w:t>
      </w:r>
      <w:r w:rsidRPr="00A37BCE">
        <w:rPr>
          <w:rFonts w:cstheme="minorHAnsi"/>
          <w:bCs/>
          <w:color w:val="44546A" w:themeColor="text2"/>
          <w:sz w:val="20"/>
          <w:szCs w:val="72"/>
          <w:lang w:val="sr-Cyrl-RS"/>
        </w:rPr>
        <w:t>след новог заоштрава</w:t>
      </w:r>
      <w:r w:rsidR="00303D95" w:rsidRPr="00A37BCE">
        <w:rPr>
          <w:rFonts w:cstheme="minorHAnsi"/>
          <w:bCs/>
          <w:color w:val="44546A" w:themeColor="text2"/>
          <w:sz w:val="20"/>
          <w:szCs w:val="72"/>
          <w:lang w:val="sr-Cyrl-RS"/>
        </w:rPr>
        <w:t>ња санкција од стране САД</w:t>
      </w:r>
      <w:r w:rsidR="00354DC3" w:rsidRPr="00A37BCE">
        <w:rPr>
          <w:rFonts w:cstheme="minorHAnsi"/>
          <w:bCs/>
          <w:color w:val="44546A" w:themeColor="text2"/>
          <w:sz w:val="20"/>
          <w:szCs w:val="72"/>
          <w:lang w:val="sr-Cyrl-RS"/>
        </w:rPr>
        <w:t>. Погоршање економских индикат</w:t>
      </w:r>
      <w:r w:rsidR="008542E1" w:rsidRPr="00A37BCE">
        <w:rPr>
          <w:rFonts w:cstheme="minorHAnsi"/>
          <w:bCs/>
          <w:color w:val="44546A" w:themeColor="text2"/>
          <w:sz w:val="20"/>
          <w:szCs w:val="72"/>
          <w:lang w:val="sr-Cyrl-RS"/>
        </w:rPr>
        <w:t>о</w:t>
      </w:r>
      <w:r w:rsidR="00354DC3" w:rsidRPr="00A37BCE">
        <w:rPr>
          <w:rFonts w:cstheme="minorHAnsi"/>
          <w:bCs/>
          <w:color w:val="44546A" w:themeColor="text2"/>
          <w:sz w:val="20"/>
          <w:szCs w:val="72"/>
          <w:lang w:val="sr-Cyrl-RS"/>
        </w:rPr>
        <w:t xml:space="preserve">ра у Турској је рапидно и прати га снажна депрецијација </w:t>
      </w:r>
      <w:r w:rsidR="00303D95" w:rsidRPr="00A37BCE">
        <w:rPr>
          <w:rFonts w:cstheme="minorHAnsi"/>
          <w:bCs/>
          <w:color w:val="44546A" w:themeColor="text2"/>
          <w:sz w:val="20"/>
          <w:szCs w:val="72"/>
          <w:lang w:val="sr-Cyrl-RS"/>
        </w:rPr>
        <w:t xml:space="preserve">лире, </w:t>
      </w:r>
      <w:r w:rsidRPr="00A37BCE">
        <w:rPr>
          <w:rFonts w:cstheme="minorHAnsi"/>
          <w:bCs/>
          <w:color w:val="44546A" w:themeColor="text2"/>
          <w:sz w:val="20"/>
          <w:szCs w:val="72"/>
          <w:lang w:val="sr-Cyrl-RS"/>
        </w:rPr>
        <w:t>погорша</w:t>
      </w:r>
      <w:r w:rsidR="00303D95" w:rsidRPr="00A37BCE">
        <w:rPr>
          <w:rFonts w:cstheme="minorHAnsi"/>
          <w:bCs/>
          <w:color w:val="44546A" w:themeColor="text2"/>
          <w:sz w:val="20"/>
          <w:szCs w:val="72"/>
          <w:lang w:val="sr-Cyrl-RS"/>
        </w:rPr>
        <w:t>ње</w:t>
      </w:r>
      <w:r w:rsidR="00354DC3" w:rsidRPr="00A37BCE">
        <w:rPr>
          <w:rFonts w:cstheme="minorHAnsi"/>
          <w:bCs/>
          <w:color w:val="44546A" w:themeColor="text2"/>
          <w:sz w:val="20"/>
          <w:szCs w:val="72"/>
          <w:lang w:val="sr-Cyrl-RS"/>
        </w:rPr>
        <w:t xml:space="preserve"> кредитног</w:t>
      </w:r>
      <w:r w:rsidRPr="00A37BCE">
        <w:rPr>
          <w:rFonts w:cstheme="minorHAnsi"/>
          <w:bCs/>
          <w:color w:val="44546A" w:themeColor="text2"/>
          <w:sz w:val="20"/>
          <w:szCs w:val="72"/>
          <w:lang w:val="sr-Cyrl-RS"/>
        </w:rPr>
        <w:t xml:space="preserve"> рејтинг</w:t>
      </w:r>
      <w:r w:rsidR="00303D95" w:rsidRPr="00A37BCE">
        <w:rPr>
          <w:rFonts w:cstheme="minorHAnsi"/>
          <w:bCs/>
          <w:color w:val="44546A" w:themeColor="text2"/>
          <w:sz w:val="20"/>
          <w:szCs w:val="72"/>
          <w:lang w:val="sr-Cyrl-RS"/>
        </w:rPr>
        <w:t>а земље и</w:t>
      </w:r>
      <w:r w:rsidR="0003151D" w:rsidRPr="00A37BCE">
        <w:rPr>
          <w:rFonts w:cstheme="minorHAnsi"/>
          <w:bCs/>
          <w:color w:val="44546A" w:themeColor="text2"/>
          <w:sz w:val="20"/>
          <w:szCs w:val="72"/>
          <w:lang w:val="sr-Cyrl-RS"/>
        </w:rPr>
        <w:t xml:space="preserve"> последично</w:t>
      </w:r>
      <w:r w:rsidR="00303D95" w:rsidRPr="00A37BCE">
        <w:rPr>
          <w:rFonts w:cstheme="minorHAnsi"/>
          <w:bCs/>
          <w:color w:val="44546A" w:themeColor="text2"/>
          <w:sz w:val="20"/>
          <w:szCs w:val="72"/>
          <w:lang w:val="sr-Cyrl-RS"/>
        </w:rPr>
        <w:t xml:space="preserve"> значај</w:t>
      </w:r>
      <w:r w:rsidR="00354DC3" w:rsidRPr="00A37BCE">
        <w:rPr>
          <w:rFonts w:cstheme="minorHAnsi"/>
          <w:bCs/>
          <w:color w:val="44546A" w:themeColor="text2"/>
          <w:sz w:val="20"/>
          <w:szCs w:val="72"/>
          <w:lang w:val="sr-Cyrl-RS"/>
        </w:rPr>
        <w:t>а</w:t>
      </w:r>
      <w:r w:rsidR="00303D95" w:rsidRPr="00A37BCE">
        <w:rPr>
          <w:rFonts w:cstheme="minorHAnsi"/>
          <w:bCs/>
          <w:color w:val="44546A" w:themeColor="text2"/>
          <w:sz w:val="20"/>
          <w:szCs w:val="72"/>
          <w:lang w:val="sr-Cyrl-RS"/>
        </w:rPr>
        <w:t>н</w:t>
      </w:r>
      <w:r w:rsidR="00354DC3" w:rsidRPr="00A37BCE">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t>рас</w:t>
      </w:r>
      <w:r w:rsidR="00303D95" w:rsidRPr="00A37BCE">
        <w:rPr>
          <w:rFonts w:cstheme="minorHAnsi"/>
          <w:bCs/>
          <w:color w:val="44546A" w:themeColor="text2"/>
          <w:sz w:val="20"/>
          <w:szCs w:val="72"/>
          <w:lang w:val="sr-Cyrl-RS"/>
        </w:rPr>
        <w:t>т камата на државне обвезнице. Додатно је утицало и бит</w:t>
      </w:r>
      <w:r w:rsidRPr="00A37BCE">
        <w:rPr>
          <w:rFonts w:cstheme="minorHAnsi"/>
          <w:bCs/>
          <w:color w:val="44546A" w:themeColor="text2"/>
          <w:sz w:val="20"/>
          <w:szCs w:val="72"/>
          <w:lang w:val="sr-Cyrl-RS"/>
        </w:rPr>
        <w:t>но ублаж</w:t>
      </w:r>
      <w:r w:rsidR="00303D95" w:rsidRPr="00A37BCE">
        <w:rPr>
          <w:rFonts w:cstheme="minorHAnsi"/>
          <w:bCs/>
          <w:color w:val="44546A" w:themeColor="text2"/>
          <w:sz w:val="20"/>
          <w:szCs w:val="72"/>
          <w:lang w:val="sr-Cyrl-RS"/>
        </w:rPr>
        <w:t xml:space="preserve">авање </w:t>
      </w:r>
      <w:r w:rsidRPr="00A37BCE">
        <w:rPr>
          <w:rFonts w:cstheme="minorHAnsi"/>
          <w:bCs/>
          <w:color w:val="44546A" w:themeColor="text2"/>
          <w:sz w:val="20"/>
          <w:szCs w:val="72"/>
          <w:lang w:val="sr-Cyrl-RS"/>
        </w:rPr>
        <w:t>изгледа за велике економије Латинске Америке (Аргентина, Бразил и Мексико). Руска привреда наста</w:t>
      </w:r>
      <w:r w:rsidR="00303D95" w:rsidRPr="00A37BCE">
        <w:rPr>
          <w:rFonts w:cstheme="minorHAnsi"/>
          <w:bCs/>
          <w:color w:val="44546A" w:themeColor="text2"/>
          <w:sz w:val="20"/>
          <w:szCs w:val="72"/>
          <w:lang w:val="sr-Cyrl-RS"/>
        </w:rPr>
        <w:t>вља раст започет у 2017. години</w:t>
      </w:r>
      <w:r w:rsidRPr="00A37BCE">
        <w:rPr>
          <w:rFonts w:cstheme="minorHAnsi"/>
          <w:bCs/>
          <w:color w:val="44546A" w:themeColor="text2"/>
          <w:sz w:val="20"/>
          <w:szCs w:val="72"/>
          <w:lang w:val="sr-Cyrl-RS"/>
        </w:rPr>
        <w:t xml:space="preserve"> и оч</w:t>
      </w:r>
      <w:r w:rsidR="00676EF0" w:rsidRPr="00A37BCE">
        <w:rPr>
          <w:rFonts w:cstheme="minorHAnsi"/>
          <w:bCs/>
          <w:color w:val="44546A" w:themeColor="text2"/>
          <w:sz w:val="20"/>
          <w:szCs w:val="72"/>
          <w:lang w:val="sr-Cyrl-RS"/>
        </w:rPr>
        <w:t>екује се да ће у 2018. години</w:t>
      </w:r>
      <w:r w:rsidRPr="00A37BCE">
        <w:rPr>
          <w:rFonts w:cstheme="minorHAnsi"/>
          <w:bCs/>
          <w:color w:val="44546A" w:themeColor="text2"/>
          <w:sz w:val="20"/>
          <w:szCs w:val="72"/>
          <w:lang w:val="sr-Cyrl-RS"/>
        </w:rPr>
        <w:t xml:space="preserve"> </w:t>
      </w:r>
      <w:r w:rsidR="00676EF0" w:rsidRPr="00A37BCE">
        <w:rPr>
          <w:rFonts w:cstheme="minorHAnsi"/>
          <w:bCs/>
          <w:color w:val="44546A" w:themeColor="text2"/>
          <w:sz w:val="20"/>
          <w:szCs w:val="72"/>
          <w:lang w:val="sr-Cyrl-RS"/>
        </w:rPr>
        <w:t xml:space="preserve">убрзати </w:t>
      </w:r>
      <w:r w:rsidR="00676EF0" w:rsidRPr="00A37BCE">
        <w:rPr>
          <w:rFonts w:cstheme="minorHAnsi"/>
          <w:bCs/>
          <w:color w:val="44546A" w:themeColor="text2"/>
          <w:sz w:val="20"/>
          <w:szCs w:val="72"/>
          <w:lang w:val="sr-Cyrl-RS"/>
        </w:rPr>
        <w:lastRenderedPageBreak/>
        <w:t xml:space="preserve">на </w:t>
      </w:r>
      <w:r w:rsidRPr="00A37BCE">
        <w:rPr>
          <w:rFonts w:cstheme="minorHAnsi"/>
          <w:bCs/>
          <w:color w:val="44546A" w:themeColor="text2"/>
          <w:sz w:val="20"/>
          <w:szCs w:val="72"/>
          <w:lang w:val="sr-Cyrl-RS"/>
        </w:rPr>
        <w:t>1,7%</w:t>
      </w:r>
      <w:r w:rsidR="00676EF0" w:rsidRPr="00A37BCE">
        <w:rPr>
          <w:rFonts w:cstheme="minorHAnsi"/>
          <w:bCs/>
          <w:color w:val="44546A" w:themeColor="text2"/>
          <w:sz w:val="20"/>
          <w:szCs w:val="72"/>
          <w:lang w:val="sr-Cyrl-RS"/>
        </w:rPr>
        <w:t xml:space="preserve"> услед раста цена нафте.</w:t>
      </w:r>
      <w:r w:rsidRPr="00A37BCE">
        <w:rPr>
          <w:rFonts w:cstheme="minorHAnsi"/>
          <w:bCs/>
          <w:color w:val="44546A" w:themeColor="text2"/>
          <w:sz w:val="20"/>
          <w:szCs w:val="72"/>
          <w:lang w:val="sr-Cyrl-RS"/>
        </w:rPr>
        <w:t xml:space="preserve"> </w:t>
      </w:r>
      <w:r w:rsidR="00676EF0" w:rsidRPr="00A37BCE">
        <w:rPr>
          <w:rFonts w:cstheme="minorHAnsi"/>
          <w:bCs/>
          <w:color w:val="44546A" w:themeColor="text2"/>
          <w:sz w:val="20"/>
          <w:szCs w:val="72"/>
          <w:lang w:val="sr-Cyrl-RS"/>
        </w:rPr>
        <w:t>У наредном периоду раст ће додатно убрзати на 1,8% а главни покрет</w:t>
      </w:r>
      <w:r w:rsidR="007E1AAF" w:rsidRPr="00A37BCE">
        <w:rPr>
          <w:rFonts w:cstheme="minorHAnsi"/>
          <w:bCs/>
          <w:color w:val="44546A" w:themeColor="text2"/>
          <w:sz w:val="20"/>
          <w:szCs w:val="72"/>
          <w:lang w:val="sr-Cyrl-RS"/>
        </w:rPr>
        <w:t>ач биће домаћа тражња.</w:t>
      </w:r>
    </w:p>
    <w:p w14:paraId="1A5F87C1" w14:textId="4F416277" w:rsidR="00CA57D4" w:rsidRPr="00A37BCE" w:rsidRDefault="008E368C" w:rsidP="00CA57D4">
      <w:pPr>
        <w:pStyle w:val="Caption"/>
        <w:keepNext/>
        <w:jc w:val="center"/>
        <w:rPr>
          <w:rFonts w:cstheme="minorHAnsi"/>
          <w:b/>
          <w:i w:val="0"/>
          <w:iCs w:val="0"/>
          <w:color w:val="002060"/>
          <w:sz w:val="20"/>
          <w:szCs w:val="22"/>
          <w:lang w:val="sr-Cyrl-RS"/>
        </w:rPr>
      </w:pPr>
      <w:r w:rsidRPr="00A37BCE">
        <w:rPr>
          <w:rFonts w:cstheme="minorHAnsi"/>
          <w:b/>
          <w:i w:val="0"/>
          <w:iCs w:val="0"/>
          <w:color w:val="002060"/>
          <w:sz w:val="20"/>
          <w:szCs w:val="22"/>
          <w:lang w:val="sr-Cyrl-RS"/>
        </w:rPr>
        <w:t>Глобални економски раст</w:t>
      </w:r>
      <w:r w:rsidR="00854A37" w:rsidRPr="00A37BCE">
        <w:rPr>
          <w:rFonts w:cstheme="minorHAnsi"/>
          <w:b/>
          <w:i w:val="0"/>
          <w:iCs w:val="0"/>
          <w:color w:val="002060"/>
          <w:sz w:val="20"/>
          <w:szCs w:val="22"/>
          <w:lang w:val="sr-Cyrl-RS"/>
        </w:rPr>
        <w:t xml:space="preserve">, </w:t>
      </w:r>
      <w:r w:rsidR="005D635E">
        <w:rPr>
          <w:rFonts w:cstheme="minorHAnsi"/>
          <w:b/>
          <w:i w:val="0"/>
          <w:iCs w:val="0"/>
          <w:color w:val="002060"/>
          <w:sz w:val="20"/>
          <w:szCs w:val="22"/>
          <w:lang w:val="sr-Cyrl-RS"/>
        </w:rPr>
        <w:t>п. п.</w:t>
      </w:r>
    </w:p>
    <w:p w14:paraId="4F4E95EC" w14:textId="7980CDC1" w:rsidR="00AE15F8" w:rsidRPr="00A37BCE" w:rsidRDefault="00050E4C" w:rsidP="00EF4564">
      <w:pPr>
        <w:jc w:val="both"/>
        <w:rPr>
          <w:rFonts w:cstheme="minorHAnsi"/>
          <w:bCs/>
          <w:color w:val="44546A" w:themeColor="text2"/>
          <w:sz w:val="20"/>
          <w:szCs w:val="72"/>
          <w:lang w:val="sr-Cyrl-RS"/>
        </w:rPr>
      </w:pPr>
      <w:r w:rsidRPr="00A37BCE">
        <w:rPr>
          <w:rFonts w:cstheme="minorHAnsi"/>
          <w:bCs/>
          <w:noProof/>
          <w:color w:val="44546A" w:themeColor="text2"/>
          <w:sz w:val="20"/>
          <w:szCs w:val="72"/>
        </w:rPr>
        <w:drawing>
          <wp:inline distT="0" distB="0" distL="0" distR="0" wp14:anchorId="5D62586D" wp14:editId="6E48398F">
            <wp:extent cx="2743200" cy="2792095"/>
            <wp:effectExtent l="0" t="0" r="0" b="825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vetski rast-01.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43200" cy="2792095"/>
                    </a:xfrm>
                    <a:prstGeom prst="rect">
                      <a:avLst/>
                    </a:prstGeom>
                  </pic:spPr>
                </pic:pic>
              </a:graphicData>
            </a:graphic>
          </wp:inline>
        </w:drawing>
      </w:r>
      <w:r w:rsidR="00AE15F8" w:rsidRPr="00A37BCE">
        <w:rPr>
          <w:rFonts w:cstheme="minorHAnsi"/>
          <w:bCs/>
          <w:color w:val="44546A" w:themeColor="text2"/>
          <w:sz w:val="16"/>
          <w:szCs w:val="72"/>
          <w:lang w:val="sr-Cyrl-RS"/>
        </w:rPr>
        <w:t>Извор: ММФ, World Economic Outlook, октобар 2018.</w:t>
      </w:r>
    </w:p>
    <w:p w14:paraId="25A357CB" w14:textId="22D6C66B" w:rsidR="00C75D50" w:rsidRPr="00A37BCE" w:rsidRDefault="00C75D50" w:rsidP="00EF4564">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 xml:space="preserve">Раст инфлације у 2018. години очекује </w:t>
      </w:r>
      <w:r w:rsidR="00D9743C" w:rsidRPr="00A37BCE">
        <w:rPr>
          <w:rFonts w:cstheme="minorHAnsi"/>
          <w:bCs/>
          <w:color w:val="44546A" w:themeColor="text2"/>
          <w:sz w:val="20"/>
          <w:szCs w:val="72"/>
          <w:lang w:val="sr-Cyrl-RS"/>
        </w:rPr>
        <w:t xml:space="preserve">се </w:t>
      </w:r>
      <w:r w:rsidR="00691521" w:rsidRPr="00A37BCE">
        <w:rPr>
          <w:rFonts w:cstheme="minorHAnsi"/>
          <w:bCs/>
          <w:color w:val="44546A" w:themeColor="text2"/>
          <w:sz w:val="20"/>
          <w:szCs w:val="72"/>
          <w:lang w:val="sr-Cyrl-RS"/>
        </w:rPr>
        <w:t xml:space="preserve">како у развијеним економијама </w:t>
      </w:r>
      <w:r w:rsidRPr="00A37BCE">
        <w:rPr>
          <w:rFonts w:cstheme="minorHAnsi"/>
          <w:bCs/>
          <w:color w:val="44546A" w:themeColor="text2"/>
          <w:sz w:val="20"/>
          <w:szCs w:val="72"/>
          <w:lang w:val="sr-Cyrl-RS"/>
        </w:rPr>
        <w:t>тако и у земљама у развоју, што</w:t>
      </w:r>
      <w:r w:rsidR="00691521" w:rsidRPr="00A37BCE">
        <w:rPr>
          <w:rFonts w:cstheme="minorHAnsi"/>
          <w:bCs/>
          <w:color w:val="44546A" w:themeColor="text2"/>
          <w:sz w:val="20"/>
          <w:szCs w:val="72"/>
          <w:lang w:val="sr-Cyrl-RS"/>
        </w:rPr>
        <w:t xml:space="preserve"> је у највећој мери базирано на очекиваном повећању цена примарних производа. У развијенијим економијама раст цена ће бити </w:t>
      </w:r>
      <w:r w:rsidRPr="00A37BCE">
        <w:rPr>
          <w:rFonts w:cstheme="minorHAnsi"/>
          <w:bCs/>
          <w:color w:val="44546A" w:themeColor="text2"/>
          <w:sz w:val="20"/>
          <w:szCs w:val="72"/>
          <w:lang w:val="sr-Cyrl-RS"/>
        </w:rPr>
        <w:t>умерен</w:t>
      </w:r>
      <w:r w:rsidR="00691521" w:rsidRPr="00A37BCE">
        <w:rPr>
          <w:rFonts w:cstheme="minorHAnsi"/>
          <w:bCs/>
          <w:color w:val="44546A" w:themeColor="text2"/>
          <w:sz w:val="20"/>
          <w:szCs w:val="72"/>
          <w:lang w:val="sr-Cyrl-RS"/>
        </w:rPr>
        <w:t xml:space="preserve"> и износиће </w:t>
      </w:r>
      <w:r w:rsidRPr="00A37BCE">
        <w:rPr>
          <w:rFonts w:cstheme="minorHAnsi"/>
          <w:bCs/>
          <w:color w:val="44546A" w:themeColor="text2"/>
          <w:sz w:val="20"/>
          <w:szCs w:val="72"/>
          <w:lang w:val="sr-Cyrl-RS"/>
        </w:rPr>
        <w:t>2,0</w:t>
      </w:r>
      <w:r w:rsidR="00691521" w:rsidRPr="00A37BCE">
        <w:rPr>
          <w:rFonts w:cstheme="minorHAnsi"/>
          <w:bCs/>
          <w:color w:val="44546A" w:themeColor="text2"/>
          <w:sz w:val="20"/>
          <w:szCs w:val="72"/>
          <w:lang w:val="sr-Cyrl-RS"/>
        </w:rPr>
        <w:t>% у 2018. и 1,9% у 2019. години. Предвиђање је супротно за</w:t>
      </w:r>
      <w:r w:rsidRPr="00A37BCE">
        <w:rPr>
          <w:rFonts w:cstheme="minorHAnsi"/>
          <w:bCs/>
          <w:color w:val="44546A" w:themeColor="text2"/>
          <w:sz w:val="20"/>
          <w:szCs w:val="72"/>
          <w:lang w:val="sr-Cyrl-RS"/>
        </w:rPr>
        <w:t xml:space="preserve"> земљ</w:t>
      </w:r>
      <w:r w:rsidR="00691521" w:rsidRPr="00A37BCE">
        <w:rPr>
          <w:rFonts w:cstheme="minorHAnsi"/>
          <w:bCs/>
          <w:color w:val="44546A" w:themeColor="text2"/>
          <w:sz w:val="20"/>
          <w:szCs w:val="72"/>
          <w:lang w:val="sr-Cyrl-RS"/>
        </w:rPr>
        <w:t>е</w:t>
      </w:r>
      <w:r w:rsidRPr="00A37BCE">
        <w:rPr>
          <w:rFonts w:cstheme="minorHAnsi"/>
          <w:bCs/>
          <w:color w:val="44546A" w:themeColor="text2"/>
          <w:sz w:val="20"/>
          <w:szCs w:val="72"/>
          <w:lang w:val="sr-Cyrl-RS"/>
        </w:rPr>
        <w:t xml:space="preserve"> у успону</w:t>
      </w:r>
      <w:r w:rsidR="00691521" w:rsidRPr="00A37BCE">
        <w:rPr>
          <w:rFonts w:cstheme="minorHAnsi"/>
          <w:bCs/>
          <w:color w:val="44546A" w:themeColor="text2"/>
          <w:sz w:val="20"/>
          <w:szCs w:val="72"/>
          <w:lang w:val="sr-Cyrl-RS"/>
        </w:rPr>
        <w:t>, где ће раст цена</w:t>
      </w:r>
      <w:r w:rsidRPr="00A37BCE">
        <w:rPr>
          <w:rFonts w:cstheme="minorHAnsi"/>
          <w:bCs/>
          <w:color w:val="44546A" w:themeColor="text2"/>
          <w:sz w:val="20"/>
          <w:szCs w:val="72"/>
          <w:lang w:val="sr-Cyrl-RS"/>
        </w:rPr>
        <w:t xml:space="preserve"> са 5,0% у 2018.</w:t>
      </w:r>
      <w:r w:rsidR="00691521" w:rsidRPr="00A37BCE">
        <w:rPr>
          <w:rFonts w:cstheme="minorHAnsi"/>
          <w:bCs/>
          <w:color w:val="44546A" w:themeColor="text2"/>
          <w:sz w:val="20"/>
          <w:szCs w:val="72"/>
          <w:lang w:val="sr-Cyrl-RS"/>
        </w:rPr>
        <w:t xml:space="preserve"> убрзати</w:t>
      </w:r>
      <w:r w:rsidRPr="00A37BCE">
        <w:rPr>
          <w:rFonts w:cstheme="minorHAnsi"/>
          <w:bCs/>
          <w:color w:val="44546A" w:themeColor="text2"/>
          <w:sz w:val="20"/>
          <w:szCs w:val="72"/>
          <w:lang w:val="sr-Cyrl-RS"/>
        </w:rPr>
        <w:t xml:space="preserve"> н</w:t>
      </w:r>
      <w:r w:rsidR="00691521" w:rsidRPr="00A37BCE">
        <w:rPr>
          <w:rFonts w:cstheme="minorHAnsi"/>
          <w:bCs/>
          <w:color w:val="44546A" w:themeColor="text2"/>
          <w:sz w:val="20"/>
          <w:szCs w:val="72"/>
          <w:lang w:val="sr-Cyrl-RS"/>
        </w:rPr>
        <w:t>а 5,2% 2019. години. С</w:t>
      </w:r>
      <w:r w:rsidRPr="00A37BCE">
        <w:rPr>
          <w:rFonts w:cstheme="minorHAnsi"/>
          <w:bCs/>
          <w:color w:val="44546A" w:themeColor="text2"/>
          <w:sz w:val="20"/>
          <w:szCs w:val="72"/>
          <w:lang w:val="sr-Cyrl-RS"/>
        </w:rPr>
        <w:t>кок цена примарних производа</w:t>
      </w:r>
      <w:r w:rsidR="00691521" w:rsidRPr="00A37BCE">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t>услед раста цена енергената и житарица</w:t>
      </w:r>
      <w:r w:rsidR="00691521" w:rsidRPr="00A37BCE">
        <w:rPr>
          <w:rFonts w:cstheme="minorHAnsi"/>
          <w:bCs/>
          <w:color w:val="44546A" w:themeColor="text2"/>
          <w:sz w:val="20"/>
          <w:szCs w:val="72"/>
          <w:lang w:val="sr-Cyrl-RS"/>
        </w:rPr>
        <w:t>, известан је у 2018. години</w:t>
      </w:r>
      <w:r w:rsidRPr="00A37BCE">
        <w:rPr>
          <w:rFonts w:cstheme="minorHAnsi"/>
          <w:bCs/>
          <w:color w:val="44546A" w:themeColor="text2"/>
          <w:sz w:val="20"/>
          <w:szCs w:val="72"/>
          <w:lang w:val="sr-Cyrl-RS"/>
        </w:rPr>
        <w:t>,</w:t>
      </w:r>
      <w:r w:rsidR="00691521" w:rsidRPr="00A37BCE">
        <w:rPr>
          <w:rFonts w:cstheme="minorHAnsi"/>
          <w:bCs/>
          <w:color w:val="44546A" w:themeColor="text2"/>
          <w:sz w:val="20"/>
          <w:szCs w:val="72"/>
          <w:lang w:val="sr-Cyrl-RS"/>
        </w:rPr>
        <w:t xml:space="preserve"> док се у наредном периоду очекује </w:t>
      </w:r>
      <w:r w:rsidRPr="00A37BCE">
        <w:rPr>
          <w:rFonts w:cstheme="minorHAnsi"/>
          <w:bCs/>
          <w:color w:val="44546A" w:themeColor="text2"/>
          <w:sz w:val="20"/>
          <w:szCs w:val="72"/>
          <w:lang w:val="sr-Cyrl-RS"/>
        </w:rPr>
        <w:t>смањење и стабилизациј</w:t>
      </w:r>
      <w:r w:rsidR="00691521" w:rsidRPr="00A37BCE">
        <w:rPr>
          <w:rFonts w:cstheme="minorHAnsi"/>
          <w:bCs/>
          <w:color w:val="44546A" w:themeColor="text2"/>
          <w:sz w:val="20"/>
          <w:szCs w:val="72"/>
          <w:lang w:val="sr-Cyrl-RS"/>
        </w:rPr>
        <w:t xml:space="preserve">а. </w:t>
      </w:r>
      <w:r w:rsidRPr="00A37BCE">
        <w:rPr>
          <w:rFonts w:cstheme="minorHAnsi"/>
          <w:bCs/>
          <w:color w:val="44546A" w:themeColor="text2"/>
          <w:sz w:val="20"/>
          <w:szCs w:val="72"/>
          <w:lang w:val="sr-Cyrl-RS"/>
        </w:rPr>
        <w:t>Према октобарским пројекцијама ММФ, очекује се да ће цена нафте</w:t>
      </w:r>
      <w:r w:rsidRPr="00A37BCE">
        <w:rPr>
          <w:rStyle w:val="FootnoteReference"/>
          <w:rFonts w:cstheme="minorHAnsi"/>
          <w:bCs/>
          <w:color w:val="44546A" w:themeColor="text2"/>
          <w:sz w:val="20"/>
          <w:szCs w:val="72"/>
          <w:lang w:val="sr-Cyrl-RS"/>
        </w:rPr>
        <w:footnoteReference w:id="1"/>
      </w:r>
      <w:r w:rsidRPr="00A37BCE">
        <w:rPr>
          <w:rFonts w:cstheme="minorHAnsi"/>
          <w:bCs/>
          <w:color w:val="44546A" w:themeColor="text2"/>
          <w:sz w:val="20"/>
          <w:szCs w:val="72"/>
          <w:lang w:val="sr-Cyrl-RS"/>
        </w:rPr>
        <w:t xml:space="preserve"> у 2018. години износити 69,4 $/барел, што је повећање од 31,4% у односу на 2017. годину, након чега </w:t>
      </w:r>
      <w:r w:rsidR="00C64A61" w:rsidRPr="00A37BCE">
        <w:rPr>
          <w:rFonts w:cstheme="minorHAnsi"/>
          <w:bCs/>
          <w:color w:val="44546A" w:themeColor="text2"/>
          <w:sz w:val="20"/>
          <w:szCs w:val="72"/>
          <w:lang w:val="sr-Cyrl-RS"/>
        </w:rPr>
        <w:t xml:space="preserve">се очекује стабилизација и благо </w:t>
      </w:r>
      <w:r w:rsidRPr="00A37BCE">
        <w:rPr>
          <w:rFonts w:cstheme="minorHAnsi"/>
          <w:bCs/>
          <w:color w:val="44546A" w:themeColor="text2"/>
          <w:sz w:val="20"/>
          <w:szCs w:val="72"/>
          <w:lang w:val="sr-Cyrl-RS"/>
        </w:rPr>
        <w:t>смањење цена током 2019. и 2020. године. Тржиште метала је</w:t>
      </w:r>
      <w:r w:rsidR="00691521" w:rsidRPr="00A37BCE">
        <w:rPr>
          <w:rFonts w:cstheme="minorHAnsi"/>
          <w:bCs/>
          <w:color w:val="44546A" w:themeColor="text2"/>
          <w:sz w:val="20"/>
          <w:szCs w:val="72"/>
          <w:lang w:val="sr-Cyrl-RS"/>
        </w:rPr>
        <w:t xml:space="preserve"> претрпело велике нестабилности</w:t>
      </w:r>
      <w:r w:rsidRPr="00A37BCE">
        <w:rPr>
          <w:rFonts w:cstheme="minorHAnsi"/>
          <w:bCs/>
          <w:color w:val="44546A" w:themeColor="text2"/>
          <w:sz w:val="20"/>
          <w:szCs w:val="72"/>
          <w:lang w:val="sr-Cyrl-RS"/>
        </w:rPr>
        <w:t xml:space="preserve"> услед царинских мера и санкција САД, као и због</w:t>
      </w:r>
      <w:r w:rsidR="001C37C3" w:rsidRPr="00A37BCE">
        <w:rPr>
          <w:rFonts w:cstheme="minorHAnsi"/>
          <w:bCs/>
          <w:color w:val="44546A" w:themeColor="text2"/>
          <w:sz w:val="20"/>
          <w:szCs w:val="72"/>
          <w:lang w:val="sr-Cyrl-RS"/>
        </w:rPr>
        <w:t xml:space="preserve"> неизвесности која је креирана заоштреним трговинским политикама. </w:t>
      </w:r>
      <w:r w:rsidRPr="00A37BCE">
        <w:rPr>
          <w:rFonts w:cstheme="minorHAnsi"/>
          <w:bCs/>
          <w:color w:val="44546A" w:themeColor="text2"/>
          <w:sz w:val="20"/>
          <w:szCs w:val="72"/>
          <w:lang w:val="sr-Cyrl-RS"/>
        </w:rPr>
        <w:t>Процењује се да ће раст цене метала у 2018. години износити 5,3%</w:t>
      </w:r>
      <w:r w:rsidR="001C37C3" w:rsidRPr="00A37BCE">
        <w:rPr>
          <w:rFonts w:cstheme="minorHAnsi"/>
          <w:bCs/>
          <w:color w:val="44546A" w:themeColor="text2"/>
          <w:sz w:val="20"/>
          <w:szCs w:val="72"/>
          <w:lang w:val="sr-Cyrl-RS"/>
        </w:rPr>
        <w:t xml:space="preserve">, при чему ће се </w:t>
      </w:r>
      <w:r w:rsidR="00487F67" w:rsidRPr="00A37BCE">
        <w:rPr>
          <w:rFonts w:cstheme="minorHAnsi"/>
          <w:bCs/>
          <w:color w:val="44546A" w:themeColor="text2"/>
          <w:sz w:val="20"/>
          <w:szCs w:val="72"/>
          <w:lang w:val="sr-Cyrl-RS"/>
        </w:rPr>
        <w:t xml:space="preserve">цена руде </w:t>
      </w:r>
      <w:r w:rsidRPr="00A37BCE">
        <w:rPr>
          <w:rFonts w:cstheme="minorHAnsi"/>
          <w:bCs/>
          <w:color w:val="44546A" w:themeColor="text2"/>
          <w:sz w:val="20"/>
          <w:szCs w:val="72"/>
          <w:lang w:val="sr-Cyrl-RS"/>
        </w:rPr>
        <w:lastRenderedPageBreak/>
        <w:t>гвожђа смањити за 2,1%, уз</w:t>
      </w:r>
      <w:r w:rsidR="001C37C3" w:rsidRPr="00A37BCE">
        <w:rPr>
          <w:rFonts w:cstheme="minorHAnsi"/>
          <w:bCs/>
          <w:color w:val="44546A" w:themeColor="text2"/>
          <w:sz w:val="20"/>
          <w:szCs w:val="72"/>
          <w:lang w:val="sr-Cyrl-RS"/>
        </w:rPr>
        <w:t xml:space="preserve"> блажи наставак пада цене</w:t>
      </w:r>
      <w:r w:rsidRPr="00A37BCE">
        <w:rPr>
          <w:rFonts w:cstheme="minorHAnsi"/>
          <w:bCs/>
          <w:color w:val="44546A" w:themeColor="text2"/>
          <w:sz w:val="20"/>
          <w:szCs w:val="72"/>
          <w:lang w:val="sr-Cyrl-RS"/>
        </w:rPr>
        <w:t xml:space="preserve"> у средњем року. Након што је 2017. године прекинут тренд вишегодишњег пада цена житарица, у 2018.</w:t>
      </w:r>
      <w:r w:rsidR="00701A80" w:rsidRPr="00A37BCE">
        <w:rPr>
          <w:rFonts w:cstheme="minorHAnsi"/>
          <w:bCs/>
          <w:color w:val="44546A" w:themeColor="text2"/>
          <w:sz w:val="20"/>
          <w:szCs w:val="72"/>
          <w:lang w:val="sr-Cyrl-RS"/>
        </w:rPr>
        <w:t xml:space="preserve"> години се очекује раст, а потом</w:t>
      </w:r>
      <w:r w:rsidR="005C421C" w:rsidRPr="00A37BCE">
        <w:rPr>
          <w:rFonts w:cstheme="minorHAnsi"/>
          <w:bCs/>
          <w:color w:val="44546A" w:themeColor="text2"/>
          <w:sz w:val="20"/>
          <w:szCs w:val="72"/>
          <w:lang w:val="sr-Cyrl-RS"/>
        </w:rPr>
        <w:t xml:space="preserve"> и убрзање раста у средњо</w:t>
      </w:r>
      <w:r w:rsidRPr="00A37BCE">
        <w:rPr>
          <w:rFonts w:cstheme="minorHAnsi"/>
          <w:bCs/>
          <w:color w:val="44546A" w:themeColor="text2"/>
          <w:sz w:val="20"/>
          <w:szCs w:val="72"/>
          <w:lang w:val="sr-Cyrl-RS"/>
        </w:rPr>
        <w:t>рочном периоду. Стопа на тромесечне депозите деноминова</w:t>
      </w:r>
      <w:r w:rsidR="00701A80" w:rsidRPr="00A37BCE">
        <w:rPr>
          <w:rFonts w:cstheme="minorHAnsi"/>
          <w:bCs/>
          <w:color w:val="44546A" w:themeColor="text2"/>
          <w:sz w:val="20"/>
          <w:szCs w:val="72"/>
          <w:lang w:val="sr-Cyrl-RS"/>
        </w:rPr>
        <w:t xml:space="preserve">не у </w:t>
      </w:r>
      <w:r w:rsidR="00701A80" w:rsidRPr="00A37BCE">
        <w:rPr>
          <w:rFonts w:cstheme="minorHAnsi"/>
          <w:bCs/>
          <w:color w:val="44546A" w:themeColor="text2"/>
          <w:spacing w:val="2"/>
          <w:sz w:val="20"/>
          <w:szCs w:val="72"/>
          <w:lang w:val="sr-Cyrl-RS"/>
        </w:rPr>
        <w:t>еврима с</w:t>
      </w:r>
      <w:r w:rsidRPr="00A37BCE">
        <w:rPr>
          <w:rFonts w:cstheme="minorHAnsi"/>
          <w:bCs/>
          <w:color w:val="44546A" w:themeColor="text2"/>
          <w:spacing w:val="2"/>
          <w:sz w:val="20"/>
          <w:szCs w:val="72"/>
          <w:lang w:val="sr-Cyrl-RS"/>
        </w:rPr>
        <w:t>м</w:t>
      </w:r>
      <w:r w:rsidR="00701A80" w:rsidRPr="00A37BCE">
        <w:rPr>
          <w:rFonts w:cstheme="minorHAnsi"/>
          <w:bCs/>
          <w:color w:val="44546A" w:themeColor="text2"/>
          <w:spacing w:val="2"/>
          <w:sz w:val="20"/>
          <w:szCs w:val="72"/>
          <w:lang w:val="sr-Cyrl-RS"/>
        </w:rPr>
        <w:t>а</w:t>
      </w:r>
      <w:r w:rsidRPr="00A37BCE">
        <w:rPr>
          <w:rFonts w:cstheme="minorHAnsi"/>
          <w:bCs/>
          <w:color w:val="44546A" w:themeColor="text2"/>
          <w:spacing w:val="2"/>
          <w:sz w:val="20"/>
          <w:szCs w:val="72"/>
          <w:lang w:val="sr-Cyrl-RS"/>
        </w:rPr>
        <w:t>њиће се са -0,3% у 2018.</w:t>
      </w:r>
      <w:r w:rsidRPr="00A37BCE">
        <w:rPr>
          <w:rFonts w:cstheme="minorHAnsi"/>
          <w:bCs/>
          <w:color w:val="44546A" w:themeColor="text2"/>
          <w:sz w:val="20"/>
          <w:szCs w:val="72"/>
          <w:lang w:val="sr-Cyrl-RS"/>
        </w:rPr>
        <w:t xml:space="preserve"> </w:t>
      </w:r>
      <w:r w:rsidRPr="00A37BCE">
        <w:rPr>
          <w:rFonts w:cstheme="minorHAnsi"/>
          <w:bCs/>
          <w:color w:val="44546A" w:themeColor="text2"/>
          <w:spacing w:val="-2"/>
          <w:sz w:val="20"/>
          <w:szCs w:val="72"/>
          <w:lang w:val="sr-Cyrl-RS"/>
        </w:rPr>
        <w:t>години на -0,2% у 2019. години, док ће стопа на шестомесечне депозите деноминоване у доларима износити 2,5% и 3,4%, респективно.</w:t>
      </w:r>
    </w:p>
    <w:p w14:paraId="076C7E07" w14:textId="4AE438D6" w:rsidR="008E368C" w:rsidRPr="00A37BCE" w:rsidRDefault="008E368C" w:rsidP="008E368C">
      <w:pPr>
        <w:pStyle w:val="Caption"/>
        <w:keepNext/>
        <w:jc w:val="center"/>
        <w:rPr>
          <w:rFonts w:cstheme="minorHAnsi"/>
          <w:b/>
          <w:i w:val="0"/>
          <w:iCs w:val="0"/>
          <w:color w:val="002060"/>
          <w:sz w:val="20"/>
          <w:szCs w:val="22"/>
          <w:lang w:val="sr-Cyrl-RS"/>
        </w:rPr>
      </w:pPr>
      <w:r w:rsidRPr="00A37BCE">
        <w:rPr>
          <w:rFonts w:cstheme="minorHAnsi"/>
          <w:b/>
          <w:i w:val="0"/>
          <w:iCs w:val="0"/>
          <w:color w:val="002060"/>
          <w:sz w:val="20"/>
          <w:szCs w:val="22"/>
          <w:lang w:val="sr-Cyrl-RS"/>
        </w:rPr>
        <w:t>Кретање цена</w:t>
      </w:r>
      <w:r w:rsidR="00854A37" w:rsidRPr="00A37BCE">
        <w:rPr>
          <w:rFonts w:cstheme="minorHAnsi"/>
          <w:b/>
          <w:i w:val="0"/>
          <w:iCs w:val="0"/>
          <w:color w:val="002060"/>
          <w:sz w:val="20"/>
          <w:szCs w:val="22"/>
          <w:lang w:val="sr-Cyrl-RS"/>
        </w:rPr>
        <w:t>, индекси</w:t>
      </w:r>
    </w:p>
    <w:p w14:paraId="552858BE" w14:textId="06352551" w:rsidR="00534E19" w:rsidRPr="00A37BCE" w:rsidRDefault="00050E4C" w:rsidP="00EF4564">
      <w:pPr>
        <w:jc w:val="both"/>
        <w:rPr>
          <w:rFonts w:cstheme="minorHAnsi"/>
          <w:sz w:val="20"/>
          <w:szCs w:val="72"/>
          <w:lang w:val="sr-Cyrl-RS"/>
        </w:rPr>
      </w:pPr>
      <w:r w:rsidRPr="00A37BCE">
        <w:rPr>
          <w:rFonts w:cstheme="minorHAnsi"/>
          <w:noProof/>
          <w:sz w:val="16"/>
          <w:szCs w:val="16"/>
        </w:rPr>
        <w:drawing>
          <wp:inline distT="0" distB="0" distL="0" distR="0" wp14:anchorId="117D85F5" wp14:editId="11911258">
            <wp:extent cx="2743200" cy="1647825"/>
            <wp:effectExtent l="0" t="0" r="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Cene dobara i nafte.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43200" cy="1647825"/>
                    </a:xfrm>
                    <a:prstGeom prst="rect">
                      <a:avLst/>
                    </a:prstGeom>
                  </pic:spPr>
                </pic:pic>
              </a:graphicData>
            </a:graphic>
          </wp:inline>
        </w:drawing>
      </w:r>
      <w:r w:rsidR="00534E19" w:rsidRPr="00A37BCE">
        <w:rPr>
          <w:rFonts w:cstheme="minorHAnsi"/>
          <w:bCs/>
          <w:color w:val="44546A" w:themeColor="text2"/>
          <w:sz w:val="16"/>
          <w:szCs w:val="72"/>
          <w:lang w:val="sr-Cyrl-RS"/>
        </w:rPr>
        <w:t>Извор: ММФ, World Economic Outlook, октобар 2018.</w:t>
      </w:r>
    </w:p>
    <w:p w14:paraId="0A3956AE" w14:textId="30653DAA" w:rsidR="008E368C" w:rsidRPr="00A37BCE" w:rsidRDefault="008E368C" w:rsidP="008E368C">
      <w:pPr>
        <w:pStyle w:val="Caption"/>
        <w:keepNext/>
        <w:jc w:val="center"/>
        <w:rPr>
          <w:rFonts w:cstheme="minorHAnsi"/>
          <w:b/>
          <w:i w:val="0"/>
          <w:iCs w:val="0"/>
          <w:color w:val="002060"/>
          <w:sz w:val="20"/>
          <w:szCs w:val="22"/>
          <w:lang w:val="sr-Cyrl-RS"/>
        </w:rPr>
      </w:pPr>
      <w:r w:rsidRPr="00A37BCE">
        <w:rPr>
          <w:rFonts w:cstheme="minorHAnsi"/>
          <w:b/>
          <w:i w:val="0"/>
          <w:iCs w:val="0"/>
          <w:color w:val="002060"/>
          <w:sz w:val="20"/>
          <w:szCs w:val="22"/>
          <w:lang w:val="sr-Cyrl-RS"/>
        </w:rPr>
        <w:t>Пројекција кретања цене нафте</w:t>
      </w:r>
      <w:r w:rsidR="00854A37" w:rsidRPr="00A37BCE">
        <w:rPr>
          <w:rFonts w:cstheme="minorHAnsi"/>
          <w:b/>
          <w:i w:val="0"/>
          <w:iCs w:val="0"/>
          <w:color w:val="002060"/>
          <w:sz w:val="20"/>
          <w:szCs w:val="22"/>
          <w:lang w:val="sr-Cyrl-RS"/>
        </w:rPr>
        <w:t>, УСД по барелу</w:t>
      </w:r>
    </w:p>
    <w:p w14:paraId="4C2B444C" w14:textId="3FE5485A" w:rsidR="00534E19" w:rsidRPr="00A37BCE" w:rsidRDefault="00E979D3" w:rsidP="00EF4564">
      <w:pPr>
        <w:jc w:val="both"/>
        <w:rPr>
          <w:rFonts w:cstheme="minorHAnsi"/>
          <w:sz w:val="20"/>
          <w:szCs w:val="72"/>
          <w:lang w:val="sr-Cyrl-RS"/>
        </w:rPr>
      </w:pPr>
      <w:r w:rsidRPr="00A37BCE">
        <w:rPr>
          <w:rFonts w:cstheme="minorHAnsi"/>
          <w:noProof/>
          <w:sz w:val="16"/>
          <w:szCs w:val="16"/>
        </w:rPr>
        <w:drawing>
          <wp:inline distT="0" distB="0" distL="0" distR="0" wp14:anchorId="7DA4FCD6" wp14:editId="12E3116C">
            <wp:extent cx="2743200" cy="1564902"/>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Nafta brent fen čart-01.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50038" cy="1568803"/>
                    </a:xfrm>
                    <a:prstGeom prst="rect">
                      <a:avLst/>
                    </a:prstGeom>
                  </pic:spPr>
                </pic:pic>
              </a:graphicData>
            </a:graphic>
          </wp:inline>
        </w:drawing>
      </w:r>
      <w:r w:rsidR="00534E19" w:rsidRPr="00A37BCE">
        <w:rPr>
          <w:rFonts w:cstheme="minorHAnsi"/>
          <w:bCs/>
          <w:color w:val="44546A" w:themeColor="text2"/>
          <w:sz w:val="16"/>
          <w:szCs w:val="72"/>
          <w:lang w:val="sr-Cyrl-RS"/>
        </w:rPr>
        <w:t>Извор: ММФ, World Economic Outlook, октобар 2018.</w:t>
      </w:r>
    </w:p>
    <w:p w14:paraId="233A7460" w14:textId="2E5FC9E7" w:rsidR="00C75D50" w:rsidRPr="00A37BCE" w:rsidRDefault="00C75D50" w:rsidP="00EF4564">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ЕЦБ наставља спровођење програма квантитативног попуштања</w:t>
      </w:r>
      <w:r w:rsidR="00701A80" w:rsidRPr="00A37BCE">
        <w:rPr>
          <w:rFonts w:cstheme="minorHAnsi"/>
          <w:bCs/>
          <w:color w:val="44546A" w:themeColor="text2"/>
          <w:sz w:val="20"/>
          <w:szCs w:val="72"/>
          <w:lang w:val="sr-Cyrl-RS"/>
        </w:rPr>
        <w:t>, куповином активе у</w:t>
      </w:r>
      <w:r w:rsidRPr="00A37BCE">
        <w:rPr>
          <w:rFonts w:cstheme="minorHAnsi"/>
          <w:bCs/>
          <w:color w:val="44546A" w:themeColor="text2"/>
          <w:sz w:val="20"/>
          <w:szCs w:val="72"/>
          <w:lang w:val="sr-Cyrl-RS"/>
        </w:rPr>
        <w:t xml:space="preserve"> смањеном износу од 15 млрд евра месечно</w:t>
      </w:r>
      <w:r w:rsidR="00701A80" w:rsidRPr="00A37BCE">
        <w:rPr>
          <w:rFonts w:cstheme="minorHAnsi"/>
          <w:bCs/>
          <w:color w:val="44546A" w:themeColor="text2"/>
          <w:sz w:val="20"/>
          <w:szCs w:val="72"/>
          <w:lang w:val="sr-Cyrl-RS"/>
        </w:rPr>
        <w:t>,</w:t>
      </w:r>
      <w:r w:rsidRPr="00A37BCE">
        <w:rPr>
          <w:rFonts w:cstheme="minorHAnsi"/>
          <w:bCs/>
          <w:color w:val="44546A" w:themeColor="text2"/>
          <w:sz w:val="20"/>
          <w:szCs w:val="72"/>
          <w:lang w:val="sr-Cyrl-RS"/>
        </w:rPr>
        <w:t xml:space="preserve"> до краја 2018. године. Истовремено, на састанку у октобру 2018. године одлучено је да референтна каматна стопа остане на рекордно ниском нивоу од 0,00%, односно -0,40% на депозите банака, а Савет гувернера ЕЦБ очекује да ће референтне каматне стопе остати непромењене у наредном периоду, бар до краја лета 2019. године. Са друге стране, на састанку гувернера ФЕД у септембру </w:t>
      </w:r>
      <w:r w:rsidRPr="00A37BCE">
        <w:rPr>
          <w:rFonts w:cstheme="minorHAnsi"/>
          <w:bCs/>
          <w:color w:val="44546A" w:themeColor="text2"/>
          <w:sz w:val="20"/>
          <w:szCs w:val="72"/>
          <w:lang w:val="sr-Cyrl-RS"/>
        </w:rPr>
        <w:lastRenderedPageBreak/>
        <w:t>2018. године одлучено је да се повећа циљани распон за референтну каматну стопу од 2,00% до 2,25% услед раста привреде знатно изнад потенцијалног. Очекује се да ће референтне каматне стопе расти</w:t>
      </w:r>
      <w:r w:rsidR="00701A80" w:rsidRPr="00A37BCE">
        <w:rPr>
          <w:rFonts w:cstheme="minorHAnsi"/>
          <w:bCs/>
          <w:color w:val="44546A" w:themeColor="text2"/>
          <w:sz w:val="20"/>
          <w:szCs w:val="72"/>
          <w:lang w:val="sr-Cyrl-RS"/>
        </w:rPr>
        <w:t xml:space="preserve"> и</w:t>
      </w:r>
      <w:r w:rsidRPr="00A37BCE">
        <w:rPr>
          <w:rFonts w:cstheme="minorHAnsi"/>
          <w:bCs/>
          <w:color w:val="44546A" w:themeColor="text2"/>
          <w:sz w:val="20"/>
          <w:szCs w:val="72"/>
          <w:lang w:val="sr-Cyrl-RS"/>
        </w:rPr>
        <w:t xml:space="preserve"> у наредном периоду</w:t>
      </w:r>
      <w:r w:rsidR="00701A80" w:rsidRPr="00A37BCE">
        <w:rPr>
          <w:rFonts w:cstheme="minorHAnsi"/>
          <w:bCs/>
          <w:color w:val="44546A" w:themeColor="text2"/>
          <w:sz w:val="20"/>
          <w:szCs w:val="72"/>
          <w:lang w:val="sr-Cyrl-RS"/>
        </w:rPr>
        <w:t>,</w:t>
      </w:r>
      <w:r w:rsidRPr="00A37BCE">
        <w:rPr>
          <w:rFonts w:cstheme="minorHAnsi"/>
          <w:bCs/>
          <w:color w:val="44546A" w:themeColor="text2"/>
          <w:sz w:val="20"/>
          <w:szCs w:val="72"/>
          <w:lang w:val="sr-Cyrl-RS"/>
        </w:rPr>
        <w:t xml:space="preserve"> с обзиром на стабилан раст привредне активности и запослености од почетка године. ФЕД остај</w:t>
      </w:r>
      <w:r w:rsidR="00701A80" w:rsidRPr="00A37BCE">
        <w:rPr>
          <w:rFonts w:cstheme="minorHAnsi"/>
          <w:bCs/>
          <w:color w:val="44546A" w:themeColor="text2"/>
          <w:sz w:val="20"/>
          <w:szCs w:val="72"/>
          <w:lang w:val="sr-Cyrl-RS"/>
        </w:rPr>
        <w:t>е</w:t>
      </w:r>
      <w:r w:rsidRPr="00A37BCE">
        <w:rPr>
          <w:rFonts w:cstheme="minorHAnsi"/>
          <w:bCs/>
          <w:color w:val="44546A" w:themeColor="text2"/>
          <w:sz w:val="20"/>
          <w:szCs w:val="72"/>
          <w:lang w:val="sr-Cyrl-RS"/>
        </w:rPr>
        <w:t xml:space="preserve"> решен да и у наредном пер</w:t>
      </w:r>
      <w:r w:rsidR="00735A07" w:rsidRPr="00A37BCE">
        <w:rPr>
          <w:rFonts w:cstheme="minorHAnsi"/>
          <w:bCs/>
          <w:color w:val="44546A" w:themeColor="text2"/>
          <w:sz w:val="20"/>
          <w:szCs w:val="72"/>
          <w:lang w:val="sr-Cyrl-RS"/>
        </w:rPr>
        <w:t>и</w:t>
      </w:r>
      <w:r w:rsidRPr="00A37BCE">
        <w:rPr>
          <w:rFonts w:cstheme="minorHAnsi"/>
          <w:bCs/>
          <w:color w:val="44546A" w:themeColor="text2"/>
          <w:sz w:val="20"/>
          <w:szCs w:val="72"/>
          <w:lang w:val="sr-Cyrl-RS"/>
        </w:rPr>
        <w:t>оду вод</w:t>
      </w:r>
      <w:r w:rsidR="00735A07" w:rsidRPr="00A37BCE">
        <w:rPr>
          <w:rFonts w:cstheme="minorHAnsi"/>
          <w:bCs/>
          <w:color w:val="44546A" w:themeColor="text2"/>
          <w:sz w:val="20"/>
          <w:szCs w:val="72"/>
          <w:lang w:val="sr-Cyrl-RS"/>
        </w:rPr>
        <w:t>и</w:t>
      </w:r>
      <w:r w:rsidRPr="00A37BCE">
        <w:rPr>
          <w:rFonts w:cstheme="minorHAnsi"/>
          <w:bCs/>
          <w:color w:val="44546A" w:themeColor="text2"/>
          <w:sz w:val="20"/>
          <w:szCs w:val="72"/>
          <w:lang w:val="sr-Cyrl-RS"/>
        </w:rPr>
        <w:t xml:space="preserve"> акомодативну монетарну полит</w:t>
      </w:r>
      <w:r w:rsidR="00735A07" w:rsidRPr="00A37BCE">
        <w:rPr>
          <w:rFonts w:cstheme="minorHAnsi"/>
          <w:bCs/>
          <w:color w:val="44546A" w:themeColor="text2"/>
          <w:sz w:val="20"/>
          <w:szCs w:val="72"/>
          <w:lang w:val="sr-Cyrl-RS"/>
        </w:rPr>
        <w:t>и</w:t>
      </w:r>
      <w:r w:rsidRPr="00A37BCE">
        <w:rPr>
          <w:rFonts w:cstheme="minorHAnsi"/>
          <w:bCs/>
          <w:color w:val="44546A" w:themeColor="text2"/>
          <w:sz w:val="20"/>
          <w:szCs w:val="72"/>
          <w:lang w:val="sr-Cyrl-RS"/>
        </w:rPr>
        <w:t>ку, у складу са прокламованим циљевима о достизању пуне запослености и инфлације од 2%.</w:t>
      </w:r>
    </w:p>
    <w:p w14:paraId="667A8771" w14:textId="584F04C1" w:rsidR="008E368C" w:rsidRPr="00A37BCE" w:rsidRDefault="008E368C" w:rsidP="008E368C">
      <w:pPr>
        <w:pStyle w:val="Caption"/>
        <w:keepNext/>
        <w:jc w:val="center"/>
        <w:rPr>
          <w:rFonts w:cstheme="minorHAnsi"/>
          <w:b/>
          <w:i w:val="0"/>
          <w:iCs w:val="0"/>
          <w:color w:val="002060"/>
          <w:sz w:val="20"/>
          <w:szCs w:val="22"/>
          <w:lang w:val="sr-Cyrl-RS"/>
        </w:rPr>
      </w:pPr>
      <w:r w:rsidRPr="00A37BCE">
        <w:rPr>
          <w:rFonts w:cstheme="minorHAnsi"/>
          <w:b/>
          <w:i w:val="0"/>
          <w:iCs w:val="0"/>
          <w:color w:val="002060"/>
          <w:sz w:val="20"/>
          <w:szCs w:val="22"/>
          <w:lang w:val="sr-Cyrl-RS"/>
        </w:rPr>
        <w:t>Очекивана крет</w:t>
      </w:r>
      <w:r w:rsidR="00204F22" w:rsidRPr="00A37BCE">
        <w:rPr>
          <w:rFonts w:cstheme="minorHAnsi"/>
          <w:b/>
          <w:i w:val="0"/>
          <w:iCs w:val="0"/>
          <w:color w:val="002060"/>
          <w:sz w:val="20"/>
          <w:szCs w:val="22"/>
          <w:lang w:val="sr-Cyrl-RS"/>
        </w:rPr>
        <w:t>ањ</w:t>
      </w:r>
      <w:r w:rsidR="004920E0" w:rsidRPr="00A37BCE">
        <w:rPr>
          <w:rFonts w:cstheme="minorHAnsi"/>
          <w:b/>
          <w:i w:val="0"/>
          <w:iCs w:val="0"/>
          <w:color w:val="002060"/>
          <w:sz w:val="20"/>
          <w:szCs w:val="22"/>
          <w:lang w:val="sr-Cyrl-RS"/>
        </w:rPr>
        <w:t>а референтне каматне стопе ФЕД</w:t>
      </w:r>
      <w:r w:rsidR="007C1DF7" w:rsidRPr="00A37BCE">
        <w:rPr>
          <w:rFonts w:cstheme="minorHAnsi"/>
          <w:b/>
          <w:i w:val="0"/>
          <w:iCs w:val="0"/>
          <w:color w:val="002060"/>
          <w:sz w:val="20"/>
          <w:szCs w:val="22"/>
          <w:lang w:val="sr-Cyrl-RS"/>
        </w:rPr>
        <w:t>, %</w:t>
      </w:r>
    </w:p>
    <w:p w14:paraId="2FE32EDA" w14:textId="63501C38" w:rsidR="00AE15F8" w:rsidRPr="00A37BCE" w:rsidRDefault="00C75D50" w:rsidP="00EF4564">
      <w:pPr>
        <w:jc w:val="both"/>
        <w:rPr>
          <w:rFonts w:cstheme="minorHAnsi"/>
          <w:sz w:val="20"/>
          <w:szCs w:val="72"/>
          <w:lang w:val="sr-Cyrl-RS"/>
        </w:rPr>
      </w:pPr>
      <w:r w:rsidRPr="00A37BCE">
        <w:rPr>
          <w:rFonts w:cstheme="minorHAnsi"/>
          <w:noProof/>
          <w:sz w:val="20"/>
          <w:szCs w:val="72"/>
        </w:rPr>
        <w:drawing>
          <wp:inline distT="0" distB="0" distL="0" distR="0" wp14:anchorId="5E2CF1F5" wp14:editId="693E381A">
            <wp:extent cx="2743200" cy="18669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Obveznice-01.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43200" cy="1866900"/>
                    </a:xfrm>
                    <a:prstGeom prst="rect">
                      <a:avLst/>
                    </a:prstGeom>
                  </pic:spPr>
                </pic:pic>
              </a:graphicData>
            </a:graphic>
          </wp:inline>
        </w:drawing>
      </w:r>
      <w:r w:rsidR="00AE15F8" w:rsidRPr="00A37BCE">
        <w:rPr>
          <w:rFonts w:cstheme="minorHAnsi"/>
          <w:bCs/>
          <w:color w:val="44546A" w:themeColor="text2"/>
          <w:sz w:val="16"/>
          <w:szCs w:val="72"/>
          <w:lang w:val="sr-Cyrl-RS"/>
        </w:rPr>
        <w:t xml:space="preserve">Извор: ММФ, </w:t>
      </w:r>
      <w:r w:rsidR="00AE15F8" w:rsidRPr="00A37BCE">
        <w:rPr>
          <w:rFonts w:cstheme="minorHAnsi"/>
          <w:bCs/>
          <w:i/>
          <w:color w:val="44546A" w:themeColor="text2"/>
          <w:sz w:val="16"/>
          <w:szCs w:val="72"/>
          <w:lang w:val="sr-Cyrl-RS"/>
        </w:rPr>
        <w:t>World Economic Outlook</w:t>
      </w:r>
      <w:r w:rsidR="00AE15F8" w:rsidRPr="00A37BCE">
        <w:rPr>
          <w:rFonts w:cstheme="minorHAnsi"/>
          <w:bCs/>
          <w:color w:val="44546A" w:themeColor="text2"/>
          <w:sz w:val="16"/>
          <w:szCs w:val="72"/>
          <w:lang w:val="sr-Cyrl-RS"/>
        </w:rPr>
        <w:t>, октобар 2018.</w:t>
      </w:r>
    </w:p>
    <w:p w14:paraId="34634EFE" w14:textId="63001F05" w:rsidR="00C75D50" w:rsidRPr="00A37BCE" w:rsidRDefault="00C75D50" w:rsidP="00C75D5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Ризици</w:t>
      </w:r>
      <w:r w:rsidR="001A108B" w:rsidRPr="00A37BCE">
        <w:rPr>
          <w:rFonts w:cstheme="minorHAnsi"/>
          <w:bCs/>
          <w:color w:val="44546A" w:themeColor="text2"/>
          <w:sz w:val="20"/>
          <w:szCs w:val="72"/>
          <w:lang w:val="sr-Cyrl-RS"/>
        </w:rPr>
        <w:t xml:space="preserve"> који би могли угрозити пројекцију</w:t>
      </w:r>
      <w:r w:rsidRPr="00A37BCE">
        <w:rPr>
          <w:rFonts w:cstheme="minorHAnsi"/>
          <w:bCs/>
          <w:color w:val="44546A" w:themeColor="text2"/>
          <w:sz w:val="20"/>
          <w:szCs w:val="72"/>
          <w:lang w:val="sr-Cyrl-RS"/>
        </w:rPr>
        <w:t xml:space="preserve"> глобалног раста појачани </w:t>
      </w:r>
      <w:r w:rsidR="00D843C2" w:rsidRPr="00A37BCE">
        <w:rPr>
          <w:rFonts w:cstheme="minorHAnsi"/>
          <w:bCs/>
          <w:color w:val="44546A" w:themeColor="text2"/>
          <w:sz w:val="20"/>
          <w:szCs w:val="72"/>
          <w:lang w:val="sr-Cyrl-RS"/>
        </w:rPr>
        <w:t xml:space="preserve">су </w:t>
      </w:r>
      <w:r w:rsidR="001A108B" w:rsidRPr="00A37BCE">
        <w:rPr>
          <w:rFonts w:cstheme="minorHAnsi"/>
          <w:bCs/>
          <w:color w:val="44546A" w:themeColor="text2"/>
          <w:sz w:val="20"/>
          <w:szCs w:val="72"/>
          <w:lang w:val="sr-Cyrl-RS"/>
        </w:rPr>
        <w:t>или</w:t>
      </w:r>
      <w:r w:rsidR="00503173" w:rsidRPr="00A37BCE">
        <w:rPr>
          <w:rFonts w:cstheme="minorHAnsi"/>
          <w:bCs/>
          <w:color w:val="44546A" w:themeColor="text2"/>
          <w:sz w:val="20"/>
          <w:szCs w:val="72"/>
          <w:lang w:val="sr-Cyrl-RS"/>
        </w:rPr>
        <w:t xml:space="preserve"> су</w:t>
      </w:r>
      <w:r w:rsidR="001A108B" w:rsidRPr="00A37BCE">
        <w:rPr>
          <w:rFonts w:cstheme="minorHAnsi"/>
          <w:bCs/>
          <w:color w:val="44546A" w:themeColor="text2"/>
          <w:sz w:val="20"/>
          <w:szCs w:val="72"/>
          <w:lang w:val="sr-Cyrl-RS"/>
        </w:rPr>
        <w:t xml:space="preserve"> делимично материјализовани </w:t>
      </w:r>
      <w:r w:rsidRPr="00A37BCE">
        <w:rPr>
          <w:rFonts w:cstheme="minorHAnsi"/>
          <w:bCs/>
          <w:color w:val="44546A" w:themeColor="text2"/>
          <w:sz w:val="20"/>
          <w:szCs w:val="72"/>
          <w:lang w:val="sr-Cyrl-RS"/>
        </w:rPr>
        <w:t xml:space="preserve">и </w:t>
      </w:r>
      <w:r w:rsidR="00701A80" w:rsidRPr="00A37BCE">
        <w:rPr>
          <w:rFonts w:cstheme="minorHAnsi"/>
          <w:bCs/>
          <w:color w:val="44546A" w:themeColor="text2"/>
          <w:sz w:val="20"/>
          <w:szCs w:val="72"/>
          <w:lang w:val="sr-Cyrl-RS"/>
        </w:rPr>
        <w:t xml:space="preserve">тичу се трговинских баријера, </w:t>
      </w:r>
      <w:r w:rsidRPr="00A37BCE">
        <w:rPr>
          <w:rFonts w:cstheme="minorHAnsi"/>
          <w:bCs/>
          <w:color w:val="44546A" w:themeColor="text2"/>
          <w:sz w:val="20"/>
          <w:szCs w:val="72"/>
          <w:lang w:val="sr-Cyrl-RS"/>
        </w:rPr>
        <w:t xml:space="preserve">раста неједнакости, </w:t>
      </w:r>
      <w:r w:rsidR="001A108B" w:rsidRPr="00A37BCE">
        <w:rPr>
          <w:rFonts w:cstheme="minorHAnsi"/>
          <w:bCs/>
          <w:color w:val="44546A" w:themeColor="text2"/>
          <w:sz w:val="20"/>
          <w:szCs w:val="72"/>
          <w:lang w:val="sr-Cyrl-RS"/>
        </w:rPr>
        <w:t xml:space="preserve">као и </w:t>
      </w:r>
      <w:r w:rsidRPr="00A37BCE">
        <w:rPr>
          <w:rFonts w:cstheme="minorHAnsi"/>
          <w:bCs/>
          <w:color w:val="44546A" w:themeColor="text2"/>
          <w:sz w:val="20"/>
          <w:szCs w:val="72"/>
          <w:lang w:val="sr-Cyrl-RS"/>
        </w:rPr>
        <w:t>нестабилних макроекон</w:t>
      </w:r>
      <w:r w:rsidR="005C421C" w:rsidRPr="00A37BCE">
        <w:rPr>
          <w:rFonts w:cstheme="minorHAnsi"/>
          <w:bCs/>
          <w:color w:val="44546A" w:themeColor="text2"/>
          <w:sz w:val="20"/>
          <w:szCs w:val="72"/>
          <w:lang w:val="sr-Cyrl-RS"/>
        </w:rPr>
        <w:t>о</w:t>
      </w:r>
      <w:r w:rsidRPr="00A37BCE">
        <w:rPr>
          <w:rFonts w:cstheme="minorHAnsi"/>
          <w:bCs/>
          <w:color w:val="44546A" w:themeColor="text2"/>
          <w:sz w:val="20"/>
          <w:szCs w:val="72"/>
          <w:lang w:val="sr-Cyrl-RS"/>
        </w:rPr>
        <w:t xml:space="preserve">мских и геополитичких фактора. Кључна претња пројекцији раста јесте појачавање постојеће трговинске тензије и потенцијално удаљавање од мултилатералног система трговине који се базира на правилима. </w:t>
      </w:r>
      <w:r w:rsidR="00503173" w:rsidRPr="00A37BCE">
        <w:rPr>
          <w:rFonts w:cstheme="minorHAnsi"/>
          <w:bCs/>
          <w:color w:val="44546A" w:themeColor="text2"/>
          <w:sz w:val="20"/>
          <w:szCs w:val="72"/>
          <w:lang w:val="sr-Cyrl-RS"/>
        </w:rPr>
        <w:t xml:space="preserve">Активација овог ризика </w:t>
      </w:r>
      <w:r w:rsidRPr="00A37BCE">
        <w:rPr>
          <w:rFonts w:cstheme="minorHAnsi"/>
          <w:bCs/>
          <w:color w:val="44546A" w:themeColor="text2"/>
          <w:sz w:val="20"/>
          <w:szCs w:val="72"/>
          <w:lang w:val="sr-Cyrl-RS"/>
        </w:rPr>
        <w:t>довел</w:t>
      </w:r>
      <w:r w:rsidR="00503173" w:rsidRPr="00A37BCE">
        <w:rPr>
          <w:rFonts w:cstheme="minorHAnsi"/>
          <w:bCs/>
          <w:color w:val="44546A" w:themeColor="text2"/>
          <w:sz w:val="20"/>
          <w:szCs w:val="72"/>
          <w:lang w:val="sr-Cyrl-RS"/>
        </w:rPr>
        <w:t>а</w:t>
      </w:r>
      <w:r w:rsidRPr="00A37BCE">
        <w:rPr>
          <w:rFonts w:cstheme="minorHAnsi"/>
          <w:bCs/>
          <w:color w:val="44546A" w:themeColor="text2"/>
          <w:sz w:val="20"/>
          <w:szCs w:val="72"/>
          <w:lang w:val="sr-Cyrl-RS"/>
        </w:rPr>
        <w:t xml:space="preserve"> </w:t>
      </w:r>
      <w:r w:rsidR="001A108B" w:rsidRPr="00A37BCE">
        <w:rPr>
          <w:rFonts w:cstheme="minorHAnsi"/>
          <w:bCs/>
          <w:color w:val="44546A" w:themeColor="text2"/>
          <w:sz w:val="20"/>
          <w:szCs w:val="72"/>
          <w:lang w:val="sr-Cyrl-RS"/>
        </w:rPr>
        <w:t xml:space="preserve">би </w:t>
      </w:r>
      <w:r w:rsidRPr="00A37BCE">
        <w:rPr>
          <w:rFonts w:cstheme="minorHAnsi"/>
          <w:bCs/>
          <w:color w:val="44546A" w:themeColor="text2"/>
          <w:sz w:val="20"/>
          <w:szCs w:val="72"/>
          <w:lang w:val="sr-Cyrl-RS"/>
        </w:rPr>
        <w:t>д</w:t>
      </w:r>
      <w:r w:rsidR="00701A80" w:rsidRPr="00A37BCE">
        <w:rPr>
          <w:rFonts w:cstheme="minorHAnsi"/>
          <w:bCs/>
          <w:color w:val="44546A" w:themeColor="text2"/>
          <w:sz w:val="20"/>
          <w:szCs w:val="72"/>
          <w:lang w:val="sr-Cyrl-RS"/>
        </w:rPr>
        <w:t xml:space="preserve">о </w:t>
      </w:r>
      <w:r w:rsidR="00503173" w:rsidRPr="00A37BCE">
        <w:rPr>
          <w:rFonts w:cstheme="minorHAnsi"/>
          <w:bCs/>
          <w:color w:val="44546A" w:themeColor="text2"/>
          <w:sz w:val="20"/>
          <w:szCs w:val="72"/>
          <w:lang w:val="sr-Cyrl-RS"/>
        </w:rPr>
        <w:t>успостављања трговинских баријера, нарушавања</w:t>
      </w:r>
      <w:r w:rsidRPr="00A37BCE">
        <w:rPr>
          <w:rFonts w:cstheme="minorHAnsi"/>
          <w:bCs/>
          <w:color w:val="44546A" w:themeColor="text2"/>
          <w:sz w:val="20"/>
          <w:szCs w:val="72"/>
          <w:lang w:val="sr-Cyrl-RS"/>
        </w:rPr>
        <w:t xml:space="preserve"> глобалног ланца снабдевања, успоравањ</w:t>
      </w:r>
      <w:r w:rsidR="00503173" w:rsidRPr="00A37BCE">
        <w:rPr>
          <w:rFonts w:cstheme="minorHAnsi"/>
          <w:bCs/>
          <w:color w:val="44546A" w:themeColor="text2"/>
          <w:sz w:val="20"/>
          <w:szCs w:val="72"/>
          <w:lang w:val="sr-Cyrl-RS"/>
        </w:rPr>
        <w:t xml:space="preserve">a трансфера </w:t>
      </w:r>
      <w:r w:rsidRPr="00A37BCE">
        <w:rPr>
          <w:rFonts w:cstheme="minorHAnsi"/>
          <w:bCs/>
          <w:color w:val="44546A" w:themeColor="text2"/>
          <w:sz w:val="20"/>
          <w:szCs w:val="72"/>
          <w:lang w:val="sr-Cyrl-RS"/>
        </w:rPr>
        <w:t>нових</w:t>
      </w:r>
      <w:r w:rsidR="00503173" w:rsidRPr="00A37BCE">
        <w:rPr>
          <w:rFonts w:cstheme="minorHAnsi"/>
          <w:bCs/>
          <w:color w:val="44546A" w:themeColor="text2"/>
          <w:sz w:val="20"/>
          <w:szCs w:val="72"/>
          <w:lang w:val="sr-Cyrl-RS"/>
        </w:rPr>
        <w:t xml:space="preserve"> технологија и последично ниже </w:t>
      </w:r>
      <w:r w:rsidRPr="00A37BCE">
        <w:rPr>
          <w:rFonts w:cstheme="minorHAnsi"/>
          <w:bCs/>
          <w:color w:val="44546A" w:themeColor="text2"/>
          <w:sz w:val="20"/>
          <w:szCs w:val="72"/>
          <w:lang w:val="sr-Cyrl-RS"/>
        </w:rPr>
        <w:t>глобалне продуктивности и</w:t>
      </w:r>
      <w:r w:rsidR="00503173" w:rsidRPr="00A37BCE">
        <w:rPr>
          <w:rFonts w:cstheme="minorHAnsi"/>
          <w:bCs/>
          <w:color w:val="44546A" w:themeColor="text2"/>
          <w:sz w:val="20"/>
          <w:szCs w:val="72"/>
          <w:lang w:val="sr-Cyrl-RS"/>
        </w:rPr>
        <w:t xml:space="preserve"> споријег </w:t>
      </w:r>
      <w:r w:rsidRPr="00A37BCE">
        <w:rPr>
          <w:rFonts w:cstheme="minorHAnsi"/>
          <w:bCs/>
          <w:color w:val="44546A" w:themeColor="text2"/>
          <w:sz w:val="20"/>
          <w:szCs w:val="72"/>
          <w:lang w:val="sr-Cyrl-RS"/>
        </w:rPr>
        <w:t xml:space="preserve">напретка. Финансијски ризици односе се на наглу примену рестриктивних финансијских мера, финансијску стабилност у Кини, као и на ризике везане за глобални тренд раста </w:t>
      </w:r>
      <w:r w:rsidR="009D5857" w:rsidRPr="00A37BCE">
        <w:rPr>
          <w:rFonts w:cstheme="minorHAnsi"/>
          <w:bCs/>
          <w:color w:val="44546A" w:themeColor="text2"/>
          <w:sz w:val="20"/>
          <w:szCs w:val="72"/>
          <w:lang w:val="sr-Cyrl-RS"/>
        </w:rPr>
        <w:t xml:space="preserve">јавног дуга. Такође, изненадна </w:t>
      </w:r>
      <w:r w:rsidRPr="00A37BCE">
        <w:rPr>
          <w:rFonts w:cstheme="minorHAnsi"/>
          <w:bCs/>
          <w:color w:val="44546A" w:themeColor="text2"/>
          <w:sz w:val="20"/>
          <w:szCs w:val="72"/>
          <w:lang w:val="sr-Cyrl-RS"/>
        </w:rPr>
        <w:t>промена монетарне политике ФЕД и враћање регулативе која регулише финанс</w:t>
      </w:r>
      <w:r w:rsidR="001A108B" w:rsidRPr="00A37BCE">
        <w:rPr>
          <w:rFonts w:cstheme="minorHAnsi"/>
          <w:bCs/>
          <w:color w:val="44546A" w:themeColor="text2"/>
          <w:sz w:val="20"/>
          <w:szCs w:val="72"/>
          <w:lang w:val="sr-Cyrl-RS"/>
        </w:rPr>
        <w:t>ијски сектор на преткризни ниво</w:t>
      </w:r>
      <w:r w:rsidRPr="00A37BCE">
        <w:rPr>
          <w:rFonts w:cstheme="minorHAnsi"/>
          <w:bCs/>
          <w:color w:val="44546A" w:themeColor="text2"/>
          <w:sz w:val="20"/>
          <w:szCs w:val="72"/>
          <w:lang w:val="sr-Cyrl-RS"/>
        </w:rPr>
        <w:t>, мо</w:t>
      </w:r>
      <w:r w:rsidR="009D5857" w:rsidRPr="00A37BCE">
        <w:rPr>
          <w:rFonts w:cstheme="minorHAnsi"/>
          <w:bCs/>
          <w:color w:val="44546A" w:themeColor="text2"/>
          <w:sz w:val="20"/>
          <w:szCs w:val="72"/>
          <w:lang w:val="sr-Cyrl-RS"/>
        </w:rPr>
        <w:t xml:space="preserve">гла би имати за последицу раст </w:t>
      </w:r>
      <w:r w:rsidRPr="00A37BCE">
        <w:rPr>
          <w:rFonts w:cstheme="minorHAnsi"/>
          <w:bCs/>
          <w:color w:val="44546A" w:themeColor="text2"/>
          <w:sz w:val="20"/>
          <w:szCs w:val="72"/>
          <w:lang w:val="sr-Cyrl-RS"/>
        </w:rPr>
        <w:t xml:space="preserve">финансијског ризика, трошкова задуживања и </w:t>
      </w:r>
      <w:r w:rsidRPr="00A37BCE">
        <w:rPr>
          <w:rFonts w:cstheme="minorHAnsi"/>
          <w:bCs/>
          <w:color w:val="44546A" w:themeColor="text2"/>
          <w:sz w:val="20"/>
          <w:szCs w:val="72"/>
          <w:lang w:val="sr-Cyrl-RS"/>
        </w:rPr>
        <w:lastRenderedPageBreak/>
        <w:t>аверзије инвеститора према ризику, што</w:t>
      </w:r>
      <w:r w:rsidR="009D5857" w:rsidRPr="00A37BCE">
        <w:rPr>
          <w:rFonts w:cstheme="minorHAnsi"/>
          <w:bCs/>
          <w:color w:val="44546A" w:themeColor="text2"/>
          <w:sz w:val="20"/>
          <w:szCs w:val="72"/>
          <w:lang w:val="sr-Cyrl-RS"/>
        </w:rPr>
        <w:t xml:space="preserve"> у крајњој линији </w:t>
      </w:r>
      <w:r w:rsidRPr="00A37BCE">
        <w:rPr>
          <w:rFonts w:cstheme="minorHAnsi"/>
          <w:bCs/>
          <w:color w:val="44546A" w:themeColor="text2"/>
          <w:sz w:val="20"/>
          <w:szCs w:val="72"/>
          <w:lang w:val="sr-Cyrl-RS"/>
        </w:rPr>
        <w:t>може угрозити ликвидност земаља у успону.</w:t>
      </w:r>
    </w:p>
    <w:p w14:paraId="5D0D6F12" w14:textId="12D38D42" w:rsidR="008E368C" w:rsidRPr="00A37BCE" w:rsidRDefault="008E368C" w:rsidP="008E368C">
      <w:pPr>
        <w:pStyle w:val="Caption"/>
        <w:keepNext/>
        <w:jc w:val="center"/>
        <w:rPr>
          <w:rFonts w:cstheme="minorHAnsi"/>
          <w:b/>
          <w:i w:val="0"/>
          <w:iCs w:val="0"/>
          <w:color w:val="002060"/>
          <w:sz w:val="20"/>
          <w:szCs w:val="22"/>
          <w:lang w:val="sr-Cyrl-RS"/>
        </w:rPr>
      </w:pPr>
      <w:r w:rsidRPr="00A37BCE">
        <w:rPr>
          <w:rFonts w:cstheme="minorHAnsi"/>
          <w:b/>
          <w:i w:val="0"/>
          <w:iCs w:val="0"/>
          <w:color w:val="002060"/>
          <w:sz w:val="20"/>
          <w:szCs w:val="22"/>
          <w:lang w:val="sr-Cyrl-RS"/>
        </w:rPr>
        <w:t>Пројекција кретања глобалног економског раста</w:t>
      </w:r>
      <w:r w:rsidR="00854A37" w:rsidRPr="00A37BCE">
        <w:rPr>
          <w:rFonts w:cstheme="minorHAnsi"/>
          <w:b/>
          <w:i w:val="0"/>
          <w:iCs w:val="0"/>
          <w:color w:val="002060"/>
          <w:sz w:val="20"/>
          <w:szCs w:val="22"/>
          <w:lang w:val="sr-Cyrl-RS"/>
        </w:rPr>
        <w:t>,</w:t>
      </w:r>
      <w:r w:rsidR="00932185" w:rsidRPr="00A37BCE">
        <w:rPr>
          <w:rFonts w:cstheme="minorHAnsi"/>
          <w:b/>
          <w:i w:val="0"/>
          <w:iCs w:val="0"/>
          <w:color w:val="002060"/>
          <w:sz w:val="20"/>
          <w:szCs w:val="22"/>
          <w:lang w:val="sr-Cyrl-RS"/>
        </w:rPr>
        <w:t xml:space="preserve"> међугодишње стопе,</w:t>
      </w:r>
      <w:r w:rsidR="00854A37" w:rsidRPr="00A37BCE">
        <w:rPr>
          <w:rFonts w:cstheme="minorHAnsi"/>
          <w:b/>
          <w:i w:val="0"/>
          <w:iCs w:val="0"/>
          <w:color w:val="002060"/>
          <w:sz w:val="20"/>
          <w:szCs w:val="22"/>
          <w:lang w:val="sr-Cyrl-RS"/>
        </w:rPr>
        <w:t xml:space="preserve"> %</w:t>
      </w:r>
    </w:p>
    <w:p w14:paraId="710C228F" w14:textId="1357859C" w:rsidR="00C75D50" w:rsidRPr="00A37BCE" w:rsidRDefault="00C75D50" w:rsidP="00C75D50">
      <w:pPr>
        <w:jc w:val="both"/>
        <w:rPr>
          <w:rFonts w:cstheme="minorHAnsi"/>
          <w:bCs/>
          <w:color w:val="44546A" w:themeColor="text2"/>
          <w:sz w:val="20"/>
          <w:szCs w:val="72"/>
          <w:lang w:val="sr-Cyrl-RS"/>
        </w:rPr>
      </w:pPr>
      <w:r w:rsidRPr="00A37BCE">
        <w:rPr>
          <w:rFonts w:cstheme="minorHAnsi"/>
          <w:bCs/>
          <w:noProof/>
          <w:color w:val="44546A" w:themeColor="text2"/>
          <w:sz w:val="20"/>
          <w:szCs w:val="72"/>
        </w:rPr>
        <w:drawing>
          <wp:inline distT="0" distB="0" distL="0" distR="0" wp14:anchorId="1C454043" wp14:editId="355D901E">
            <wp:extent cx="2743200" cy="139509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vetski rast fen čart-01.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43200" cy="1395095"/>
                    </a:xfrm>
                    <a:prstGeom prst="rect">
                      <a:avLst/>
                    </a:prstGeom>
                  </pic:spPr>
                </pic:pic>
              </a:graphicData>
            </a:graphic>
          </wp:inline>
        </w:drawing>
      </w:r>
      <w:r w:rsidR="00AE15F8" w:rsidRPr="00A37BCE">
        <w:rPr>
          <w:rFonts w:cstheme="minorHAnsi"/>
          <w:bCs/>
          <w:color w:val="44546A" w:themeColor="text2"/>
          <w:sz w:val="16"/>
          <w:szCs w:val="72"/>
          <w:lang w:val="sr-Cyrl-RS"/>
        </w:rPr>
        <w:t xml:space="preserve">Извор: ММФ, </w:t>
      </w:r>
      <w:r w:rsidR="00AE15F8" w:rsidRPr="00A37BCE">
        <w:rPr>
          <w:rFonts w:cstheme="minorHAnsi"/>
          <w:bCs/>
          <w:i/>
          <w:color w:val="44546A" w:themeColor="text2"/>
          <w:sz w:val="16"/>
          <w:szCs w:val="72"/>
          <w:lang w:val="sr-Cyrl-RS"/>
        </w:rPr>
        <w:t>World Economic Outlook</w:t>
      </w:r>
      <w:r w:rsidR="00AE15F8" w:rsidRPr="00A37BCE">
        <w:rPr>
          <w:rFonts w:cstheme="minorHAnsi"/>
          <w:bCs/>
          <w:color w:val="44546A" w:themeColor="text2"/>
          <w:sz w:val="16"/>
          <w:szCs w:val="72"/>
          <w:lang w:val="sr-Cyrl-RS"/>
        </w:rPr>
        <w:t>, октобар 2018.</w:t>
      </w:r>
    </w:p>
    <w:p w14:paraId="4C6B6D3F" w14:textId="443130A3" w:rsidR="00744077" w:rsidRPr="00A37BCE" w:rsidRDefault="00007DCD" w:rsidP="00C75D5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Према препорукама ММФ</w:t>
      </w:r>
      <w:r w:rsidR="00C75D50" w:rsidRPr="00A37BCE">
        <w:rPr>
          <w:rFonts w:cstheme="minorHAnsi"/>
          <w:bCs/>
          <w:color w:val="44546A" w:themeColor="text2"/>
          <w:sz w:val="20"/>
          <w:szCs w:val="72"/>
          <w:lang w:val="sr-Cyrl-RS"/>
        </w:rPr>
        <w:t xml:space="preserve"> главну улогу у одржању глобалног напретка имају нацио</w:t>
      </w:r>
      <w:r w:rsidR="00BC3094" w:rsidRPr="00A37BCE">
        <w:rPr>
          <w:rFonts w:cstheme="minorHAnsi"/>
          <w:bCs/>
          <w:color w:val="44546A" w:themeColor="text2"/>
          <w:sz w:val="20"/>
          <w:szCs w:val="72"/>
          <w:lang w:val="sr-Cyrl-RS"/>
        </w:rPr>
        <w:t>налне и мултилатералне политике</w:t>
      </w:r>
      <w:r w:rsidR="00C75D50" w:rsidRPr="00A37BCE">
        <w:rPr>
          <w:rFonts w:cstheme="minorHAnsi"/>
          <w:bCs/>
          <w:color w:val="44546A" w:themeColor="text2"/>
          <w:sz w:val="20"/>
          <w:szCs w:val="72"/>
          <w:lang w:val="sr-Cyrl-RS"/>
        </w:rPr>
        <w:t xml:space="preserve"> којима се побољшавају изгледи за снажан и инклузиван раст. Изазови у развијеним земљама тичу се раста инфлације услед раста цене нафте, па стога економска политика мора бити окренута ка структурним реформама којима се јача отпорност према шоковима, али и реформама које се тичу повећања запослености и продуктивности радне снаге. У САД је потребно постепено стезати монетарну политику, будући да се јављају инфлаторни притисци у окружењу са историјски ниском стопом незапослености. Истовремено, у еврозони, земље са тренутно ограниченим фискалним простором треба да искористе период раста и </w:t>
      </w:r>
      <w:r w:rsidR="0051621D" w:rsidRPr="00A37BCE">
        <w:rPr>
          <w:rFonts w:cstheme="minorHAnsi"/>
          <w:bCs/>
          <w:color w:val="44546A" w:themeColor="text2"/>
          <w:sz w:val="20"/>
          <w:szCs w:val="72"/>
          <w:lang w:val="sr-Cyrl-RS"/>
        </w:rPr>
        <w:t>акомодативне</w:t>
      </w:r>
      <w:r w:rsidR="00C75D50" w:rsidRPr="00A37BCE">
        <w:rPr>
          <w:rFonts w:cstheme="minorHAnsi"/>
          <w:bCs/>
          <w:color w:val="44546A" w:themeColor="text2"/>
          <w:sz w:val="20"/>
          <w:szCs w:val="72"/>
          <w:lang w:val="sr-Cyrl-RS"/>
        </w:rPr>
        <w:t xml:space="preserve"> монетарне политике како би изградиле отпорност на шокове, што би им олакшало напоре у вези</w:t>
      </w:r>
      <w:r w:rsidR="00FB6489" w:rsidRPr="00A37BCE">
        <w:rPr>
          <w:rFonts w:cstheme="minorHAnsi"/>
          <w:bCs/>
          <w:color w:val="44546A" w:themeColor="text2"/>
          <w:sz w:val="20"/>
          <w:szCs w:val="72"/>
          <w:lang w:val="sr-Cyrl-RS"/>
        </w:rPr>
        <w:t xml:space="preserve"> са решавањем</w:t>
      </w:r>
      <w:r w:rsidR="00C75D50" w:rsidRPr="00A37BCE">
        <w:rPr>
          <w:rFonts w:cstheme="minorHAnsi"/>
          <w:bCs/>
          <w:color w:val="44546A" w:themeColor="text2"/>
          <w:sz w:val="20"/>
          <w:szCs w:val="72"/>
          <w:lang w:val="sr-Cyrl-RS"/>
        </w:rPr>
        <w:t xml:space="preserve"> проблема у банкарском сектору. Та</w:t>
      </w:r>
      <w:r w:rsidR="00FB6489" w:rsidRPr="00A37BCE">
        <w:rPr>
          <w:rFonts w:cstheme="minorHAnsi"/>
          <w:bCs/>
          <w:color w:val="44546A" w:themeColor="text2"/>
          <w:sz w:val="20"/>
          <w:szCs w:val="72"/>
          <w:lang w:val="sr-Cyrl-RS"/>
        </w:rPr>
        <w:t>кође, приоритет остаје финализација</w:t>
      </w:r>
      <w:r w:rsidR="00C75D50" w:rsidRPr="00A37BCE">
        <w:rPr>
          <w:rFonts w:cstheme="minorHAnsi"/>
          <w:bCs/>
          <w:color w:val="44546A" w:themeColor="text2"/>
          <w:sz w:val="20"/>
          <w:szCs w:val="72"/>
          <w:lang w:val="sr-Cyrl-RS"/>
        </w:rPr>
        <w:t xml:space="preserve"> процеса формирања банкарске уније, али и </w:t>
      </w:r>
      <w:r w:rsidR="00B82DD3" w:rsidRPr="00A37BCE">
        <w:rPr>
          <w:rFonts w:cstheme="minorHAnsi"/>
          <w:bCs/>
          <w:color w:val="44546A" w:themeColor="text2"/>
          <w:sz w:val="20"/>
          <w:szCs w:val="72"/>
          <w:lang w:val="sr-Cyrl-RS"/>
        </w:rPr>
        <w:t xml:space="preserve">побољшање трошковне ефикасности и профитабилности банкарског сектора кроз проактивну супервизију, већу имплементацију дигиталних решења и унапређење пословних модела. </w:t>
      </w:r>
      <w:r w:rsidR="00C75D50" w:rsidRPr="00A37BCE">
        <w:rPr>
          <w:rFonts w:cstheme="minorHAnsi"/>
          <w:bCs/>
          <w:color w:val="44546A" w:themeColor="text2"/>
          <w:sz w:val="20"/>
          <w:szCs w:val="72"/>
          <w:lang w:val="sr-Cyrl-RS"/>
        </w:rPr>
        <w:t>За разлику од развијених земаља, земље у успону се морају припремити за окружење са високом нестабилношћу тако што ће изградити отпорн</w:t>
      </w:r>
      <w:r w:rsidR="00D86352" w:rsidRPr="00A37BCE">
        <w:rPr>
          <w:rFonts w:cstheme="minorHAnsi"/>
          <w:bCs/>
          <w:color w:val="44546A" w:themeColor="text2"/>
          <w:sz w:val="20"/>
          <w:szCs w:val="72"/>
          <w:lang w:val="sr-Cyrl-RS"/>
        </w:rPr>
        <w:t xml:space="preserve">ост путем адекватног комбиновања </w:t>
      </w:r>
      <w:r w:rsidR="00C75D50" w:rsidRPr="00A37BCE">
        <w:rPr>
          <w:rFonts w:cstheme="minorHAnsi"/>
          <w:bCs/>
          <w:color w:val="44546A" w:themeColor="text2"/>
          <w:sz w:val="20"/>
          <w:szCs w:val="72"/>
          <w:lang w:val="sr-Cyrl-RS"/>
        </w:rPr>
        <w:t>фискалних, монетарних и пруденцијалних политика. Структурне реформе остају кључне за повећање потенцијалног раста</w:t>
      </w:r>
      <w:r w:rsidR="00B82DD3" w:rsidRPr="00A37BCE">
        <w:rPr>
          <w:rFonts w:cstheme="minorHAnsi"/>
          <w:bCs/>
          <w:color w:val="44546A" w:themeColor="text2"/>
          <w:sz w:val="20"/>
          <w:szCs w:val="72"/>
          <w:lang w:val="sr-Cyrl-RS"/>
        </w:rPr>
        <w:t xml:space="preserve"> и његову инклузивност</w:t>
      </w:r>
      <w:r w:rsidR="00D86352" w:rsidRPr="00A37BCE">
        <w:rPr>
          <w:rFonts w:cstheme="minorHAnsi"/>
          <w:bCs/>
          <w:color w:val="44546A" w:themeColor="text2"/>
          <w:sz w:val="20"/>
          <w:szCs w:val="72"/>
          <w:lang w:val="sr-Cyrl-RS"/>
        </w:rPr>
        <w:t xml:space="preserve"> кроз </w:t>
      </w:r>
      <w:r w:rsidR="00C75D50" w:rsidRPr="00A37BCE">
        <w:rPr>
          <w:rFonts w:cstheme="minorHAnsi"/>
          <w:bCs/>
          <w:color w:val="44546A" w:themeColor="text2"/>
          <w:sz w:val="20"/>
          <w:szCs w:val="72"/>
          <w:lang w:val="sr-Cyrl-RS"/>
        </w:rPr>
        <w:t>побољ</w:t>
      </w:r>
      <w:r w:rsidR="00D86352" w:rsidRPr="00A37BCE">
        <w:rPr>
          <w:rFonts w:cstheme="minorHAnsi"/>
          <w:bCs/>
          <w:color w:val="44546A" w:themeColor="text2"/>
          <w:sz w:val="20"/>
          <w:szCs w:val="72"/>
          <w:lang w:val="sr-Cyrl-RS"/>
        </w:rPr>
        <w:t xml:space="preserve">шање конкурентности, </w:t>
      </w:r>
      <w:r w:rsidR="00D86352" w:rsidRPr="00A37BCE">
        <w:rPr>
          <w:rFonts w:cstheme="minorHAnsi"/>
          <w:bCs/>
          <w:color w:val="44546A" w:themeColor="text2"/>
          <w:sz w:val="20"/>
          <w:szCs w:val="72"/>
          <w:lang w:val="sr-Cyrl-RS"/>
        </w:rPr>
        <w:lastRenderedPageBreak/>
        <w:t>инвестирањ</w:t>
      </w:r>
      <w:r w:rsidR="00B82DD3" w:rsidRPr="00A37BCE">
        <w:rPr>
          <w:rFonts w:cstheme="minorHAnsi"/>
          <w:bCs/>
          <w:color w:val="44546A" w:themeColor="text2"/>
          <w:sz w:val="20"/>
          <w:szCs w:val="72"/>
          <w:lang w:val="sr-Cyrl-RS"/>
        </w:rPr>
        <w:t>е</w:t>
      </w:r>
      <w:r w:rsidR="00C75D50" w:rsidRPr="00A37BCE">
        <w:rPr>
          <w:rFonts w:cstheme="minorHAnsi"/>
          <w:bCs/>
          <w:color w:val="44546A" w:themeColor="text2"/>
          <w:sz w:val="20"/>
          <w:szCs w:val="72"/>
          <w:lang w:val="sr-Cyrl-RS"/>
        </w:rPr>
        <w:t xml:space="preserve"> у инфраструктуру и </w:t>
      </w:r>
      <w:r w:rsidR="00D86352" w:rsidRPr="00A37BCE">
        <w:rPr>
          <w:rFonts w:cstheme="minorHAnsi"/>
          <w:bCs/>
          <w:color w:val="44546A" w:themeColor="text2"/>
          <w:sz w:val="20"/>
          <w:szCs w:val="72"/>
          <w:lang w:val="sr-Cyrl-RS"/>
        </w:rPr>
        <w:t>људски капитал и подизање</w:t>
      </w:r>
      <w:r w:rsidR="00C75D50" w:rsidRPr="00A37BCE">
        <w:rPr>
          <w:rFonts w:cstheme="minorHAnsi"/>
          <w:bCs/>
          <w:color w:val="44546A" w:themeColor="text2"/>
          <w:sz w:val="20"/>
          <w:szCs w:val="72"/>
          <w:lang w:val="sr-Cyrl-RS"/>
        </w:rPr>
        <w:t xml:space="preserve"> ефикасност тржишта радне снаге.</w:t>
      </w:r>
    </w:p>
    <w:p w14:paraId="2586F493" w14:textId="6530FF5B" w:rsidR="00C75D50" w:rsidRPr="00A37BCE" w:rsidRDefault="00C75D50" w:rsidP="00C75D50">
      <w:pPr>
        <w:rPr>
          <w:rFonts w:cstheme="minorHAnsi"/>
          <w:b/>
          <w:color w:val="2F5496" w:themeColor="accent1" w:themeShade="BF"/>
          <w:lang w:val="sr-Cyrl-RS"/>
        </w:rPr>
      </w:pPr>
      <w:r w:rsidRPr="00A37BCE">
        <w:rPr>
          <w:rFonts w:cstheme="minorHAnsi"/>
          <w:b/>
          <w:color w:val="2F5496" w:themeColor="accent1" w:themeShade="BF"/>
          <w:lang w:val="sr-Cyrl-RS"/>
        </w:rPr>
        <w:t xml:space="preserve">Макроекономске процене Европске </w:t>
      </w:r>
      <w:r w:rsidR="00DF15A3" w:rsidRPr="00A37BCE">
        <w:rPr>
          <w:rFonts w:cstheme="minorHAnsi"/>
          <w:b/>
          <w:color w:val="2F5496" w:themeColor="accent1" w:themeShade="BF"/>
          <w:lang w:val="sr-Cyrl-RS"/>
        </w:rPr>
        <w:t xml:space="preserve">централне банке </w:t>
      </w:r>
      <w:r w:rsidR="00BC3094" w:rsidRPr="00A37BCE">
        <w:rPr>
          <w:rFonts w:cstheme="minorHAnsi"/>
          <w:b/>
          <w:color w:val="2F5496" w:themeColor="accent1" w:themeShade="BF"/>
          <w:lang w:val="sr-Cyrl-RS"/>
        </w:rPr>
        <w:t>за подручје еврозоне</w:t>
      </w:r>
    </w:p>
    <w:p w14:paraId="14CF579D" w14:textId="2E23BF5F" w:rsidR="00DB17B8" w:rsidRPr="00A37BCE" w:rsidRDefault="00C75D50" w:rsidP="00C75D5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Према септембарским проценама Европске централне банке, након снажног раста у 2017. години, економска ек</w:t>
      </w:r>
      <w:r w:rsidR="00303C2E" w:rsidRPr="00A37BCE">
        <w:rPr>
          <w:rFonts w:cstheme="minorHAnsi"/>
          <w:bCs/>
          <w:color w:val="44546A" w:themeColor="text2"/>
          <w:sz w:val="20"/>
          <w:szCs w:val="72"/>
          <w:lang w:val="sr-Cyrl-RS"/>
        </w:rPr>
        <w:t>спанзија у еврозони је ублажена</w:t>
      </w:r>
      <w:r w:rsidRPr="00A37BCE">
        <w:rPr>
          <w:rFonts w:cstheme="minorHAnsi"/>
          <w:bCs/>
          <w:color w:val="44546A" w:themeColor="text2"/>
          <w:sz w:val="20"/>
          <w:szCs w:val="72"/>
          <w:lang w:val="sr-Cyrl-RS"/>
        </w:rPr>
        <w:t xml:space="preserve"> у првој поло</w:t>
      </w:r>
      <w:r w:rsidR="00303C2E" w:rsidRPr="00A37BCE">
        <w:rPr>
          <w:rFonts w:cstheme="minorHAnsi"/>
          <w:bCs/>
          <w:color w:val="44546A" w:themeColor="text2"/>
          <w:sz w:val="20"/>
          <w:szCs w:val="72"/>
          <w:lang w:val="sr-Cyrl-RS"/>
        </w:rPr>
        <w:t xml:space="preserve">вини 2018. године, углавном услед успоравања </w:t>
      </w:r>
      <w:r w:rsidR="00FD372B" w:rsidRPr="00A37BCE">
        <w:rPr>
          <w:rFonts w:cstheme="minorHAnsi"/>
          <w:bCs/>
          <w:color w:val="44546A" w:themeColor="text2"/>
          <w:sz w:val="20"/>
          <w:szCs w:val="72"/>
          <w:lang w:val="sr-Cyrl-RS"/>
        </w:rPr>
        <w:t>глобалне трговине. Ипак</w:t>
      </w:r>
      <w:r w:rsidRPr="00A37BCE">
        <w:rPr>
          <w:rFonts w:cstheme="minorHAnsi"/>
          <w:bCs/>
          <w:color w:val="44546A" w:themeColor="text2"/>
          <w:sz w:val="20"/>
          <w:szCs w:val="72"/>
          <w:lang w:val="sr-Cyrl-RS"/>
        </w:rPr>
        <w:t>, иако је глобална неизвесност умањила краткорочне изгледе за раст, очекује се</w:t>
      </w:r>
      <w:r w:rsidR="001B200E" w:rsidRPr="00A37BCE">
        <w:rPr>
          <w:rFonts w:cstheme="minorHAnsi"/>
          <w:bCs/>
          <w:color w:val="44546A" w:themeColor="text2"/>
          <w:sz w:val="20"/>
          <w:szCs w:val="72"/>
          <w:lang w:val="sr-Cyrl-RS"/>
        </w:rPr>
        <w:t xml:space="preserve"> даљи опорав</w:t>
      </w:r>
      <w:r w:rsidR="00735A07" w:rsidRPr="00A37BCE">
        <w:rPr>
          <w:rFonts w:cstheme="minorHAnsi"/>
          <w:bCs/>
          <w:color w:val="44546A" w:themeColor="text2"/>
          <w:sz w:val="20"/>
          <w:szCs w:val="72"/>
          <w:lang w:val="sr-Cyrl-RS"/>
        </w:rPr>
        <w:t>а</w:t>
      </w:r>
      <w:r w:rsidR="001B200E" w:rsidRPr="00A37BCE">
        <w:rPr>
          <w:rFonts w:cstheme="minorHAnsi"/>
          <w:bCs/>
          <w:color w:val="44546A" w:themeColor="text2"/>
          <w:sz w:val="20"/>
          <w:szCs w:val="72"/>
          <w:lang w:val="sr-Cyrl-RS"/>
        </w:rPr>
        <w:t>к</w:t>
      </w:r>
      <w:r w:rsidRPr="00A37BCE">
        <w:rPr>
          <w:rFonts w:cstheme="minorHAnsi"/>
          <w:bCs/>
          <w:color w:val="44546A" w:themeColor="text2"/>
          <w:sz w:val="20"/>
          <w:szCs w:val="72"/>
          <w:lang w:val="sr-Cyrl-RS"/>
        </w:rPr>
        <w:t xml:space="preserve"> еврозоне, </w:t>
      </w:r>
      <w:r w:rsidR="001B200E" w:rsidRPr="00A37BCE">
        <w:rPr>
          <w:rFonts w:cstheme="minorHAnsi"/>
          <w:bCs/>
          <w:color w:val="44546A" w:themeColor="text2"/>
          <w:sz w:val="20"/>
          <w:szCs w:val="72"/>
          <w:lang w:val="sr-Cyrl-RS"/>
        </w:rPr>
        <w:t>који ће бити опредељен повољним утицајем</w:t>
      </w:r>
      <w:r w:rsidR="00FB0595" w:rsidRPr="00A37BCE">
        <w:rPr>
          <w:rFonts w:cstheme="minorHAnsi"/>
          <w:bCs/>
          <w:color w:val="44546A" w:themeColor="text2"/>
          <w:sz w:val="20"/>
          <w:szCs w:val="72"/>
          <w:lang w:val="sr-Cyrl-RS"/>
        </w:rPr>
        <w:t xml:space="preserve"> из</w:t>
      </w:r>
      <w:r w:rsidR="00735A07" w:rsidRPr="00A37BCE">
        <w:rPr>
          <w:rFonts w:cstheme="minorHAnsi"/>
          <w:bCs/>
          <w:color w:val="44546A" w:themeColor="text2"/>
          <w:sz w:val="20"/>
          <w:szCs w:val="72"/>
          <w:lang w:val="sr-Cyrl-RS"/>
        </w:rPr>
        <w:t>р</w:t>
      </w:r>
      <w:r w:rsidR="00FB0595" w:rsidRPr="00A37BCE">
        <w:rPr>
          <w:rFonts w:cstheme="minorHAnsi"/>
          <w:bCs/>
          <w:color w:val="44546A" w:themeColor="text2"/>
          <w:sz w:val="20"/>
          <w:szCs w:val="72"/>
          <w:lang w:val="sr-Cyrl-RS"/>
        </w:rPr>
        <w:t xml:space="preserve">ажене </w:t>
      </w:r>
      <w:r w:rsidRPr="00A37BCE">
        <w:rPr>
          <w:rFonts w:cstheme="minorHAnsi"/>
          <w:bCs/>
          <w:color w:val="44546A" w:themeColor="text2"/>
          <w:sz w:val="20"/>
          <w:szCs w:val="72"/>
          <w:lang w:val="sr-Cyrl-RS"/>
        </w:rPr>
        <w:t>акомод</w:t>
      </w:r>
      <w:r w:rsidR="00FB0595" w:rsidRPr="00A37BCE">
        <w:rPr>
          <w:rFonts w:cstheme="minorHAnsi"/>
          <w:bCs/>
          <w:color w:val="44546A" w:themeColor="text2"/>
          <w:sz w:val="20"/>
          <w:szCs w:val="72"/>
          <w:lang w:val="sr-Cyrl-RS"/>
        </w:rPr>
        <w:t>ативне монетарне политике, ниским каматним стопама</w:t>
      </w:r>
      <w:r w:rsidR="00D9391F" w:rsidRPr="00A37BCE">
        <w:rPr>
          <w:rFonts w:cstheme="minorHAnsi"/>
          <w:bCs/>
          <w:color w:val="44546A" w:themeColor="text2"/>
          <w:sz w:val="20"/>
          <w:szCs w:val="72"/>
          <w:lang w:val="sr-Cyrl-RS"/>
        </w:rPr>
        <w:t xml:space="preserve">, </w:t>
      </w:r>
      <w:r w:rsidR="00FB0595" w:rsidRPr="00A37BCE">
        <w:rPr>
          <w:rFonts w:cstheme="minorHAnsi"/>
          <w:bCs/>
          <w:color w:val="44546A" w:themeColor="text2"/>
          <w:sz w:val="20"/>
          <w:szCs w:val="72"/>
          <w:lang w:val="sr-Cyrl-RS"/>
        </w:rPr>
        <w:t xml:space="preserve">интензивираном кредитном активношћу </w:t>
      </w:r>
      <w:r w:rsidRPr="00A37BCE">
        <w:rPr>
          <w:rFonts w:cstheme="minorHAnsi"/>
          <w:bCs/>
          <w:color w:val="44546A" w:themeColor="text2"/>
          <w:sz w:val="20"/>
          <w:szCs w:val="72"/>
          <w:lang w:val="sr-Cyrl-RS"/>
        </w:rPr>
        <w:t>приватно</w:t>
      </w:r>
      <w:r w:rsidR="000F33F8" w:rsidRPr="00A37BCE">
        <w:rPr>
          <w:rFonts w:cstheme="minorHAnsi"/>
          <w:bCs/>
          <w:color w:val="44546A" w:themeColor="text2"/>
          <w:sz w:val="20"/>
          <w:szCs w:val="72"/>
          <w:lang w:val="sr-Cyrl-RS"/>
        </w:rPr>
        <w:t>г</w:t>
      </w:r>
      <w:r w:rsidRPr="00A37BCE">
        <w:rPr>
          <w:rFonts w:cstheme="minorHAnsi"/>
          <w:bCs/>
          <w:color w:val="44546A" w:themeColor="text2"/>
          <w:sz w:val="20"/>
          <w:szCs w:val="72"/>
          <w:lang w:val="sr-Cyrl-RS"/>
        </w:rPr>
        <w:t xml:space="preserve"> сектор</w:t>
      </w:r>
      <w:r w:rsidR="000F33F8" w:rsidRPr="00A37BCE">
        <w:rPr>
          <w:rFonts w:cstheme="minorHAnsi"/>
          <w:bCs/>
          <w:color w:val="44546A" w:themeColor="text2"/>
          <w:sz w:val="20"/>
          <w:szCs w:val="72"/>
          <w:lang w:val="sr-Cyrl-RS"/>
        </w:rPr>
        <w:t>а</w:t>
      </w:r>
      <w:r w:rsidRPr="00A37BCE">
        <w:rPr>
          <w:rFonts w:cstheme="minorHAnsi"/>
          <w:bCs/>
          <w:color w:val="44546A" w:themeColor="text2"/>
          <w:sz w:val="20"/>
          <w:szCs w:val="72"/>
          <w:lang w:val="sr-Cyrl-RS"/>
        </w:rPr>
        <w:t>, побољша</w:t>
      </w:r>
      <w:r w:rsidR="000F33F8" w:rsidRPr="00A37BCE">
        <w:rPr>
          <w:rFonts w:cstheme="minorHAnsi"/>
          <w:bCs/>
          <w:color w:val="44546A" w:themeColor="text2"/>
          <w:sz w:val="20"/>
          <w:szCs w:val="72"/>
          <w:lang w:val="sr-Cyrl-RS"/>
        </w:rPr>
        <w:t>ним условима</w:t>
      </w:r>
      <w:r w:rsidRPr="00A37BCE">
        <w:rPr>
          <w:rFonts w:cstheme="minorHAnsi"/>
          <w:bCs/>
          <w:color w:val="44546A" w:themeColor="text2"/>
          <w:sz w:val="20"/>
          <w:szCs w:val="72"/>
          <w:lang w:val="sr-Cyrl-RS"/>
        </w:rPr>
        <w:t xml:space="preserve"> на тржишту рада и бољи</w:t>
      </w:r>
      <w:r w:rsidR="000F33F8" w:rsidRPr="00A37BCE">
        <w:rPr>
          <w:rFonts w:cstheme="minorHAnsi"/>
          <w:bCs/>
          <w:color w:val="44546A" w:themeColor="text2"/>
          <w:sz w:val="20"/>
          <w:szCs w:val="72"/>
          <w:lang w:val="sr-Cyrl-RS"/>
        </w:rPr>
        <w:t>м</w:t>
      </w:r>
      <w:r w:rsidRPr="00A37BCE">
        <w:rPr>
          <w:rFonts w:cstheme="minorHAnsi"/>
          <w:bCs/>
          <w:color w:val="44546A" w:themeColor="text2"/>
          <w:sz w:val="20"/>
          <w:szCs w:val="72"/>
          <w:lang w:val="sr-Cyrl-RS"/>
        </w:rPr>
        <w:t xml:space="preserve"> платнобилансн</w:t>
      </w:r>
      <w:r w:rsidR="000F33F8" w:rsidRPr="00A37BCE">
        <w:rPr>
          <w:rFonts w:cstheme="minorHAnsi"/>
          <w:bCs/>
          <w:color w:val="44546A" w:themeColor="text2"/>
          <w:sz w:val="20"/>
          <w:szCs w:val="72"/>
          <w:lang w:val="sr-Cyrl-RS"/>
        </w:rPr>
        <w:t>им</w:t>
      </w:r>
      <w:r w:rsidRPr="00A37BCE">
        <w:rPr>
          <w:rFonts w:cstheme="minorHAnsi"/>
          <w:bCs/>
          <w:color w:val="44546A" w:themeColor="text2"/>
          <w:sz w:val="20"/>
          <w:szCs w:val="72"/>
          <w:lang w:val="sr-Cyrl-RS"/>
        </w:rPr>
        <w:t xml:space="preserve"> позиција</w:t>
      </w:r>
      <w:r w:rsidR="000F33F8" w:rsidRPr="00A37BCE">
        <w:rPr>
          <w:rFonts w:cstheme="minorHAnsi"/>
          <w:bCs/>
          <w:color w:val="44546A" w:themeColor="text2"/>
          <w:sz w:val="20"/>
          <w:szCs w:val="72"/>
          <w:lang w:val="sr-Cyrl-RS"/>
        </w:rPr>
        <w:t>ма. Блага стагнација реалног раста БДП са 2,</w:t>
      </w:r>
      <w:r w:rsidRPr="00A37BCE">
        <w:rPr>
          <w:rFonts w:cstheme="minorHAnsi"/>
          <w:bCs/>
          <w:color w:val="44546A" w:themeColor="text2"/>
          <w:sz w:val="20"/>
          <w:szCs w:val="72"/>
          <w:lang w:val="sr-Cyrl-RS"/>
        </w:rPr>
        <w:t>0% у 2018. години на 1,7% у 2020. години може се објаснит</w:t>
      </w:r>
      <w:r w:rsidR="00D9391F" w:rsidRPr="00A37BCE">
        <w:rPr>
          <w:rFonts w:cstheme="minorHAnsi"/>
          <w:bCs/>
          <w:color w:val="44546A" w:themeColor="text2"/>
          <w:sz w:val="20"/>
          <w:szCs w:val="72"/>
          <w:lang w:val="sr-Cyrl-RS"/>
        </w:rPr>
        <w:t xml:space="preserve">и постепеним слабљењем стимуланса који су долазили од </w:t>
      </w:r>
      <w:r w:rsidRPr="00A37BCE">
        <w:rPr>
          <w:rFonts w:cstheme="minorHAnsi"/>
          <w:bCs/>
          <w:color w:val="44546A" w:themeColor="text2"/>
          <w:sz w:val="20"/>
          <w:szCs w:val="72"/>
          <w:lang w:val="sr-Cyrl-RS"/>
        </w:rPr>
        <w:t xml:space="preserve">светске трговине и </w:t>
      </w:r>
      <w:r w:rsidRPr="00A37BCE">
        <w:rPr>
          <w:rFonts w:cstheme="minorHAnsi"/>
          <w:bCs/>
          <w:color w:val="1F3864" w:themeColor="accent1" w:themeShade="80"/>
          <w:sz w:val="20"/>
          <w:szCs w:val="72"/>
          <w:lang w:val="sr-Cyrl-RS"/>
        </w:rPr>
        <w:t>растућим</w:t>
      </w:r>
      <w:r w:rsidR="006047AC" w:rsidRPr="00A37BCE">
        <w:rPr>
          <w:rFonts w:cstheme="minorHAnsi"/>
          <w:bCs/>
          <w:color w:val="FF0000"/>
          <w:sz w:val="20"/>
          <w:szCs w:val="72"/>
          <w:lang w:val="sr-Cyrl-RS"/>
        </w:rPr>
        <w:t xml:space="preserve"> </w:t>
      </w:r>
      <w:r w:rsidR="006047AC" w:rsidRPr="00A37BCE">
        <w:rPr>
          <w:rFonts w:cstheme="minorHAnsi"/>
          <w:bCs/>
          <w:color w:val="1F3864" w:themeColor="accent1" w:themeShade="80"/>
          <w:sz w:val="20"/>
          <w:szCs w:val="72"/>
          <w:lang w:val="sr-Cyrl-RS"/>
        </w:rPr>
        <w:t>проблемом мањка радне снаге</w:t>
      </w:r>
      <w:r w:rsidRPr="00A37BCE">
        <w:rPr>
          <w:rFonts w:cstheme="minorHAnsi"/>
          <w:bCs/>
          <w:color w:val="1F3864" w:themeColor="accent1" w:themeShade="80"/>
          <w:sz w:val="20"/>
          <w:szCs w:val="72"/>
          <w:lang w:val="sr-Cyrl-RS"/>
        </w:rPr>
        <w:t xml:space="preserve">. </w:t>
      </w:r>
      <w:r w:rsidR="000F33F8" w:rsidRPr="00A37BCE">
        <w:rPr>
          <w:rFonts w:cstheme="minorHAnsi"/>
          <w:bCs/>
          <w:color w:val="1F3864" w:themeColor="accent1" w:themeShade="80"/>
          <w:sz w:val="20"/>
          <w:szCs w:val="72"/>
          <w:lang w:val="sr-Cyrl-RS"/>
        </w:rPr>
        <w:t xml:space="preserve">И поред </w:t>
      </w:r>
      <w:r w:rsidR="000F33F8" w:rsidRPr="00A37BCE">
        <w:rPr>
          <w:rFonts w:cstheme="minorHAnsi"/>
          <w:bCs/>
          <w:color w:val="44546A" w:themeColor="text2"/>
          <w:sz w:val="20"/>
          <w:szCs w:val="72"/>
          <w:lang w:val="sr-Cyrl-RS"/>
        </w:rPr>
        <w:t xml:space="preserve">тога, </w:t>
      </w:r>
      <w:r w:rsidR="000F33F8" w:rsidRPr="00A37BCE">
        <w:rPr>
          <w:rFonts w:cstheme="minorHAnsi"/>
          <w:bCs/>
          <w:color w:val="44546A" w:themeColor="text2"/>
          <w:sz w:val="20"/>
          <w:szCs w:val="72"/>
          <w:lang w:val="sr-Cyrl-RS"/>
        </w:rPr>
        <w:lastRenderedPageBreak/>
        <w:t>п</w:t>
      </w:r>
      <w:r w:rsidRPr="00A37BCE">
        <w:rPr>
          <w:rFonts w:cstheme="minorHAnsi"/>
          <w:bCs/>
          <w:color w:val="44546A" w:themeColor="text2"/>
          <w:sz w:val="20"/>
          <w:szCs w:val="72"/>
          <w:lang w:val="sr-Cyrl-RS"/>
        </w:rPr>
        <w:t>отрошња домаћинстава ће остати снаж</w:t>
      </w:r>
      <w:r w:rsidR="00A72FBB" w:rsidRPr="00A37BCE">
        <w:rPr>
          <w:rFonts w:cstheme="minorHAnsi"/>
          <w:bCs/>
          <w:color w:val="44546A" w:themeColor="text2"/>
          <w:sz w:val="20"/>
          <w:szCs w:val="72"/>
          <w:lang w:val="sr-Cyrl-RS"/>
        </w:rPr>
        <w:t>на током пројекцијског периода.</w:t>
      </w:r>
    </w:p>
    <w:p w14:paraId="6FF74706" w14:textId="027FDDAB" w:rsidR="00C75D50" w:rsidRPr="00A37BCE" w:rsidRDefault="00C75D50" w:rsidP="00C75D50">
      <w:pPr>
        <w:jc w:val="both"/>
        <w:rPr>
          <w:rFonts w:cstheme="minorHAnsi"/>
          <w:bCs/>
          <w:color w:val="44546A" w:themeColor="text2"/>
          <w:sz w:val="20"/>
          <w:szCs w:val="72"/>
          <w:lang w:val="sr-Cyrl-RS"/>
        </w:rPr>
        <w:sectPr w:rsidR="00C75D50" w:rsidRPr="00A37BCE" w:rsidSect="00BD7EB6">
          <w:type w:val="continuous"/>
          <w:pgSz w:w="12240" w:h="15840"/>
          <w:pgMar w:top="1440" w:right="1440" w:bottom="1440" w:left="1440" w:header="720" w:footer="720" w:gutter="0"/>
          <w:cols w:num="2" w:space="720"/>
          <w:docGrid w:linePitch="360"/>
          <w15:footnoteColumns w:val="1"/>
        </w:sectPr>
      </w:pPr>
      <w:r w:rsidRPr="00A37BCE">
        <w:rPr>
          <w:rFonts w:cstheme="minorHAnsi"/>
          <w:bCs/>
          <w:color w:val="44546A" w:themeColor="text2"/>
          <w:sz w:val="20"/>
          <w:szCs w:val="72"/>
          <w:lang w:val="sr-Cyrl-RS"/>
        </w:rPr>
        <w:t>Раст расположивог дохотка требао би ојачат</w:t>
      </w:r>
      <w:r w:rsidR="00291A64" w:rsidRPr="00A37BCE">
        <w:rPr>
          <w:rFonts w:cstheme="minorHAnsi"/>
          <w:bCs/>
          <w:color w:val="44546A" w:themeColor="text2"/>
          <w:sz w:val="20"/>
          <w:szCs w:val="72"/>
          <w:lang w:val="sr-Cyrl-RS"/>
        </w:rPr>
        <w:t>и у 2018. и 2019. години и благо</w:t>
      </w:r>
      <w:r w:rsidRPr="00A37BCE">
        <w:rPr>
          <w:rFonts w:cstheme="minorHAnsi"/>
          <w:bCs/>
          <w:color w:val="44546A" w:themeColor="text2"/>
          <w:sz w:val="20"/>
          <w:szCs w:val="72"/>
          <w:lang w:val="sr-Cyrl-RS"/>
        </w:rPr>
        <w:t xml:space="preserve"> ослабити у 2020. години.</w:t>
      </w:r>
      <w:r w:rsidR="00DB5AF3" w:rsidRPr="00A37BCE">
        <w:rPr>
          <w:rFonts w:cstheme="minorHAnsi"/>
          <w:bCs/>
          <w:color w:val="44546A" w:themeColor="text2"/>
          <w:sz w:val="20"/>
          <w:szCs w:val="72"/>
          <w:lang w:val="sr-Cyrl-RS"/>
        </w:rPr>
        <w:t xml:space="preserve"> Очекује се да ће допринос плата расту номиналног расположивог дохотка бити већи од доприноса запослености. Оваква структура извора раста расположивог дохотка је са становишта потрошње неповољнија, будући да она снажније реагује на промене запослености.</w:t>
      </w:r>
      <w:r w:rsidR="00D9391F" w:rsidRPr="00A37BCE">
        <w:rPr>
          <w:rFonts w:cstheme="minorHAnsi"/>
          <w:bCs/>
          <w:color w:val="44546A" w:themeColor="text2"/>
          <w:sz w:val="20"/>
          <w:szCs w:val="72"/>
          <w:lang w:val="sr-Cyrl-RS"/>
        </w:rPr>
        <w:t xml:space="preserve"> Поред тога,</w:t>
      </w:r>
      <w:r w:rsidR="00DF15A3" w:rsidRPr="00A37BCE">
        <w:rPr>
          <w:rFonts w:cstheme="minorHAnsi"/>
          <w:bCs/>
          <w:color w:val="44546A" w:themeColor="text2"/>
          <w:sz w:val="20"/>
          <w:szCs w:val="72"/>
          <w:lang w:val="sr-Cyrl-RS"/>
        </w:rPr>
        <w:t xml:space="preserve"> </w:t>
      </w:r>
      <w:r w:rsidR="00D9391F" w:rsidRPr="00A37BCE">
        <w:rPr>
          <w:rFonts w:cstheme="minorHAnsi"/>
          <w:bCs/>
          <w:color w:val="44546A" w:themeColor="text2"/>
          <w:sz w:val="20"/>
          <w:szCs w:val="72"/>
          <w:lang w:val="sr-Cyrl-RS"/>
        </w:rPr>
        <w:t>п</w:t>
      </w:r>
      <w:r w:rsidRPr="00A37BCE">
        <w:rPr>
          <w:rFonts w:cstheme="minorHAnsi"/>
          <w:bCs/>
          <w:color w:val="44546A" w:themeColor="text2"/>
          <w:sz w:val="20"/>
          <w:szCs w:val="72"/>
          <w:lang w:val="sr-Cyrl-RS"/>
        </w:rPr>
        <w:t>отрошња домаћинстава биће подржана ниским трошковима задуживања н</w:t>
      </w:r>
      <w:r w:rsidR="00735A07" w:rsidRPr="00A37BCE">
        <w:rPr>
          <w:rFonts w:cstheme="minorHAnsi"/>
          <w:bCs/>
          <w:color w:val="44546A" w:themeColor="text2"/>
          <w:sz w:val="20"/>
          <w:szCs w:val="72"/>
          <w:lang w:val="sr-Cyrl-RS"/>
        </w:rPr>
        <w:t>а које повољ</w:t>
      </w:r>
      <w:r w:rsidR="00291A64" w:rsidRPr="00A37BCE">
        <w:rPr>
          <w:rFonts w:cstheme="minorHAnsi"/>
          <w:bCs/>
          <w:color w:val="44546A" w:themeColor="text2"/>
          <w:sz w:val="20"/>
          <w:szCs w:val="72"/>
          <w:lang w:val="sr-Cyrl-RS"/>
        </w:rPr>
        <w:t xml:space="preserve">но делују мере ЕЦБ </w:t>
      </w:r>
      <w:r w:rsidRPr="00A37BCE">
        <w:rPr>
          <w:rFonts w:cstheme="minorHAnsi"/>
          <w:bCs/>
          <w:color w:val="44546A" w:themeColor="text2"/>
          <w:sz w:val="20"/>
          <w:szCs w:val="72"/>
          <w:lang w:val="sr-Cyrl-RS"/>
        </w:rPr>
        <w:t>и напретком постиг</w:t>
      </w:r>
      <w:r w:rsidR="00684083" w:rsidRPr="00A37BCE">
        <w:rPr>
          <w:rFonts w:cstheme="minorHAnsi"/>
          <w:bCs/>
          <w:color w:val="44546A" w:themeColor="text2"/>
          <w:sz w:val="20"/>
          <w:szCs w:val="72"/>
          <w:lang w:val="sr-Cyrl-RS"/>
        </w:rPr>
        <w:t>нутим у раздуживању. И</w:t>
      </w:r>
      <w:r w:rsidRPr="00A37BCE">
        <w:rPr>
          <w:rFonts w:cstheme="minorHAnsi"/>
          <w:bCs/>
          <w:color w:val="44546A" w:themeColor="text2"/>
          <w:sz w:val="20"/>
          <w:szCs w:val="72"/>
          <w:lang w:val="sr-Cyrl-RS"/>
        </w:rPr>
        <w:t>н</w:t>
      </w:r>
      <w:r w:rsidR="00684083" w:rsidRPr="00A37BCE">
        <w:rPr>
          <w:rFonts w:cstheme="minorHAnsi"/>
          <w:bCs/>
          <w:color w:val="44546A" w:themeColor="text2"/>
          <w:sz w:val="20"/>
          <w:szCs w:val="72"/>
          <w:lang w:val="sr-Cyrl-RS"/>
        </w:rPr>
        <w:t xml:space="preserve">вестиције ће наставити опоравак који ће бити подржан </w:t>
      </w:r>
      <w:r w:rsidRPr="00A37BCE">
        <w:rPr>
          <w:rFonts w:cstheme="minorHAnsi"/>
          <w:bCs/>
          <w:color w:val="44546A" w:themeColor="text2"/>
          <w:sz w:val="20"/>
          <w:szCs w:val="72"/>
          <w:lang w:val="sr-Cyrl-RS"/>
        </w:rPr>
        <w:t>високим поверењем привредника, повољним</w:t>
      </w:r>
      <w:r w:rsidR="00D17055" w:rsidRPr="00A37BCE">
        <w:rPr>
          <w:rFonts w:cstheme="minorHAnsi"/>
          <w:bCs/>
          <w:color w:val="44546A" w:themeColor="text2"/>
          <w:sz w:val="20"/>
          <w:szCs w:val="72"/>
          <w:lang w:val="sr-Cyrl-RS"/>
        </w:rPr>
        <w:t xml:space="preserve"> финансијским условима и високим степеном утилизације </w:t>
      </w:r>
      <w:r w:rsidRPr="00A37BCE">
        <w:rPr>
          <w:rFonts w:cstheme="minorHAnsi"/>
          <w:bCs/>
          <w:color w:val="44546A" w:themeColor="text2"/>
          <w:sz w:val="20"/>
          <w:szCs w:val="72"/>
          <w:lang w:val="sr-Cyrl-RS"/>
        </w:rPr>
        <w:t>капацитета</w:t>
      </w:r>
      <w:r w:rsidR="00D17055" w:rsidRPr="00A37BCE">
        <w:rPr>
          <w:rFonts w:cstheme="minorHAnsi"/>
          <w:bCs/>
          <w:color w:val="44546A" w:themeColor="text2"/>
          <w:sz w:val="20"/>
          <w:szCs w:val="72"/>
          <w:lang w:val="sr-Cyrl-RS"/>
        </w:rPr>
        <w:t>, док ће</w:t>
      </w:r>
      <w:r w:rsidR="00D9391F" w:rsidRPr="00A37BCE">
        <w:rPr>
          <w:rFonts w:cstheme="minorHAnsi"/>
          <w:bCs/>
          <w:color w:val="44546A" w:themeColor="text2"/>
          <w:sz w:val="20"/>
          <w:szCs w:val="72"/>
          <w:lang w:val="sr-Cyrl-RS"/>
        </w:rPr>
        <w:t xml:space="preserve"> у правцу ублажавања инвестиционе активности деловати </w:t>
      </w:r>
      <w:r w:rsidR="00D17055" w:rsidRPr="00A37BCE">
        <w:rPr>
          <w:rFonts w:cstheme="minorHAnsi"/>
          <w:bCs/>
          <w:color w:val="44546A" w:themeColor="text2"/>
          <w:sz w:val="20"/>
          <w:szCs w:val="72"/>
          <w:lang w:val="sr-Cyrl-RS"/>
        </w:rPr>
        <w:t>смањене домаће и стране тражње. Пад стране тражње ће снажно утицат</w:t>
      </w:r>
      <w:r w:rsidR="00D9391F" w:rsidRPr="00A37BCE">
        <w:rPr>
          <w:rFonts w:cstheme="minorHAnsi"/>
          <w:bCs/>
          <w:color w:val="44546A" w:themeColor="text2"/>
          <w:sz w:val="20"/>
          <w:szCs w:val="72"/>
          <w:lang w:val="sr-Cyrl-RS"/>
        </w:rPr>
        <w:t>и на спољнотрговински биланс. Тиме</w:t>
      </w:r>
      <w:r w:rsidR="00D17055" w:rsidRPr="00A37BCE">
        <w:rPr>
          <w:rFonts w:cstheme="minorHAnsi"/>
          <w:bCs/>
          <w:color w:val="44546A" w:themeColor="text2"/>
          <w:sz w:val="20"/>
          <w:szCs w:val="72"/>
          <w:lang w:val="sr-Cyrl-RS"/>
        </w:rPr>
        <w:t xml:space="preserve"> ће нето извоз, након изразито позитивног доприноса у 2017. години, у пројекцијском периоду имати неутралан допринос расту БДП.</w:t>
      </w:r>
    </w:p>
    <w:tbl>
      <w:tblPr>
        <w:tblW w:w="5000" w:type="pct"/>
        <w:tblLook w:val="04A0" w:firstRow="1" w:lastRow="0" w:firstColumn="1" w:lastColumn="0" w:noHBand="0" w:noVBand="1"/>
      </w:tblPr>
      <w:tblGrid>
        <w:gridCol w:w="4749"/>
        <w:gridCol w:w="1033"/>
        <w:gridCol w:w="1191"/>
        <w:gridCol w:w="1191"/>
        <w:gridCol w:w="1196"/>
      </w:tblGrid>
      <w:tr w:rsidR="00C75D50" w:rsidRPr="00A37BCE" w14:paraId="20C7B61F" w14:textId="77777777" w:rsidTr="002C1D90">
        <w:trPr>
          <w:trHeight w:val="300"/>
        </w:trPr>
        <w:tc>
          <w:tcPr>
            <w:tcW w:w="5000" w:type="pct"/>
            <w:gridSpan w:val="5"/>
            <w:tcBorders>
              <w:bottom w:val="single" w:sz="4" w:space="0" w:color="002060"/>
            </w:tcBorders>
            <w:shd w:val="clear" w:color="auto" w:fill="auto"/>
            <w:noWrap/>
            <w:vAlign w:val="bottom"/>
            <w:hideMark/>
          </w:tcPr>
          <w:p w14:paraId="05B235D4" w14:textId="455010F0" w:rsidR="00C75D50" w:rsidRPr="00A37BCE" w:rsidRDefault="00C75D50" w:rsidP="002C1D90">
            <w:pPr>
              <w:spacing w:after="0" w:line="240" w:lineRule="auto"/>
              <w:ind w:left="255"/>
              <w:jc w:val="center"/>
              <w:rPr>
                <w:rFonts w:cstheme="minorHAnsi"/>
                <w:color w:val="002060"/>
                <w:sz w:val="18"/>
                <w:lang w:val="sr-Cyrl-RS"/>
              </w:rPr>
            </w:pPr>
            <w:r w:rsidRPr="00A37BCE">
              <w:rPr>
                <w:rFonts w:cstheme="minorHAnsi"/>
                <w:b/>
                <w:color w:val="002060"/>
                <w:sz w:val="20"/>
                <w:lang w:val="sr-Cyrl-RS"/>
              </w:rPr>
              <w:lastRenderedPageBreak/>
              <w:t>Табела 2. Макроекономске пројекције за подручје евроз</w:t>
            </w:r>
            <w:r w:rsidR="00C42357" w:rsidRPr="00A37BCE">
              <w:rPr>
                <w:rFonts w:cstheme="minorHAnsi"/>
                <w:b/>
                <w:color w:val="002060"/>
                <w:sz w:val="20"/>
                <w:lang w:val="sr-Cyrl-RS"/>
              </w:rPr>
              <w:t xml:space="preserve">оне, </w:t>
            </w:r>
            <w:r w:rsidR="00A37BCE" w:rsidRPr="00A37BCE">
              <w:rPr>
                <w:rFonts w:cstheme="minorHAnsi"/>
                <w:b/>
                <w:color w:val="002060"/>
                <w:sz w:val="20"/>
                <w:lang w:val="sr-Cyrl-RS"/>
              </w:rPr>
              <w:t>промене</w:t>
            </w:r>
            <w:r w:rsidR="00C42357" w:rsidRPr="00A37BCE">
              <w:rPr>
                <w:rFonts w:cstheme="minorHAnsi"/>
                <w:b/>
                <w:color w:val="002060"/>
                <w:sz w:val="20"/>
                <w:lang w:val="sr-Cyrl-RS"/>
              </w:rPr>
              <w:t xml:space="preserve"> у односу на </w:t>
            </w:r>
            <w:r w:rsidR="00B33189">
              <w:rPr>
                <w:rFonts w:cstheme="minorHAnsi"/>
                <w:b/>
                <w:color w:val="002060"/>
                <w:sz w:val="20"/>
                <w:lang w:val="sr-Cyrl-RS"/>
              </w:rPr>
              <w:br w:type="textWrapping" w:clear="all"/>
            </w:r>
            <w:r w:rsidR="00C42357" w:rsidRPr="00A37BCE">
              <w:rPr>
                <w:rFonts w:cstheme="minorHAnsi"/>
                <w:b/>
                <w:color w:val="002060"/>
                <w:sz w:val="20"/>
                <w:lang w:val="sr-Cyrl-RS"/>
              </w:rPr>
              <w:t>претходну годину</w:t>
            </w:r>
            <w:r w:rsidRPr="00A37BCE">
              <w:rPr>
                <w:rFonts w:cstheme="minorHAnsi"/>
                <w:b/>
                <w:color w:val="002060"/>
                <w:sz w:val="20"/>
                <w:lang w:val="sr-Cyrl-RS"/>
              </w:rPr>
              <w:t>, %</w:t>
            </w:r>
          </w:p>
        </w:tc>
      </w:tr>
      <w:tr w:rsidR="00C42357" w:rsidRPr="00A37BCE" w14:paraId="3821287E" w14:textId="77777777" w:rsidTr="00AE15F8">
        <w:trPr>
          <w:trHeight w:val="107"/>
        </w:trPr>
        <w:tc>
          <w:tcPr>
            <w:tcW w:w="2537" w:type="pct"/>
            <w:tcBorders>
              <w:top w:val="single" w:sz="4" w:space="0" w:color="002060"/>
            </w:tcBorders>
            <w:shd w:val="clear" w:color="auto" w:fill="auto"/>
            <w:noWrap/>
            <w:vAlign w:val="bottom"/>
          </w:tcPr>
          <w:p w14:paraId="28A28E44" w14:textId="77777777" w:rsidR="00C75D50" w:rsidRPr="00A37BCE" w:rsidRDefault="00C75D50" w:rsidP="002C1D90">
            <w:pPr>
              <w:spacing w:after="0" w:line="240" w:lineRule="auto"/>
              <w:rPr>
                <w:rFonts w:eastAsia="Times New Roman" w:cstheme="minorHAnsi"/>
                <w:sz w:val="24"/>
                <w:szCs w:val="24"/>
                <w:lang w:val="sr-Cyrl-RS"/>
              </w:rPr>
            </w:pPr>
          </w:p>
        </w:tc>
        <w:tc>
          <w:tcPr>
            <w:tcW w:w="552" w:type="pct"/>
            <w:tcBorders>
              <w:top w:val="single" w:sz="4" w:space="0" w:color="002060"/>
              <w:bottom w:val="single" w:sz="4" w:space="0" w:color="002060"/>
            </w:tcBorders>
            <w:shd w:val="clear" w:color="auto" w:fill="auto"/>
            <w:noWrap/>
          </w:tcPr>
          <w:p w14:paraId="7F3899B8" w14:textId="77777777" w:rsidR="00C75D50" w:rsidRPr="00A37BCE" w:rsidRDefault="00C75D50"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2017</w:t>
            </w:r>
          </w:p>
        </w:tc>
        <w:tc>
          <w:tcPr>
            <w:tcW w:w="636" w:type="pct"/>
            <w:tcBorders>
              <w:top w:val="single" w:sz="4" w:space="0" w:color="002060"/>
              <w:bottom w:val="single" w:sz="4" w:space="0" w:color="002060"/>
            </w:tcBorders>
            <w:shd w:val="clear" w:color="auto" w:fill="auto"/>
            <w:noWrap/>
          </w:tcPr>
          <w:p w14:paraId="396E31F0" w14:textId="77777777" w:rsidR="00C75D50" w:rsidRPr="00A37BCE" w:rsidRDefault="00C75D50"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2018</w:t>
            </w:r>
          </w:p>
        </w:tc>
        <w:tc>
          <w:tcPr>
            <w:tcW w:w="636" w:type="pct"/>
            <w:tcBorders>
              <w:top w:val="single" w:sz="4" w:space="0" w:color="002060"/>
              <w:bottom w:val="single" w:sz="4" w:space="0" w:color="002060"/>
            </w:tcBorders>
            <w:shd w:val="clear" w:color="auto" w:fill="auto"/>
            <w:noWrap/>
          </w:tcPr>
          <w:p w14:paraId="537E9509" w14:textId="77777777" w:rsidR="00C75D50" w:rsidRPr="00A37BCE" w:rsidRDefault="00C75D50"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2019</w:t>
            </w:r>
          </w:p>
        </w:tc>
        <w:tc>
          <w:tcPr>
            <w:tcW w:w="638" w:type="pct"/>
            <w:tcBorders>
              <w:top w:val="single" w:sz="4" w:space="0" w:color="002060"/>
              <w:bottom w:val="single" w:sz="4" w:space="0" w:color="002060"/>
            </w:tcBorders>
            <w:shd w:val="clear" w:color="auto" w:fill="auto"/>
            <w:noWrap/>
          </w:tcPr>
          <w:p w14:paraId="3A2853BC" w14:textId="77777777" w:rsidR="00C75D50" w:rsidRPr="00A37BCE" w:rsidRDefault="00C75D50"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2020</w:t>
            </w:r>
          </w:p>
        </w:tc>
      </w:tr>
      <w:tr w:rsidR="00C42357" w:rsidRPr="00A37BCE" w14:paraId="2731A74B" w14:textId="77777777" w:rsidTr="00AE15F8">
        <w:trPr>
          <w:trHeight w:val="300"/>
        </w:trPr>
        <w:tc>
          <w:tcPr>
            <w:tcW w:w="2537" w:type="pct"/>
            <w:shd w:val="clear" w:color="auto" w:fill="auto"/>
            <w:noWrap/>
            <w:vAlign w:val="bottom"/>
            <w:hideMark/>
          </w:tcPr>
          <w:p w14:paraId="6B1B3167" w14:textId="77777777" w:rsidR="00C75D50" w:rsidRPr="00A37BCE" w:rsidRDefault="00C75D50" w:rsidP="002C1D90">
            <w:pPr>
              <w:spacing w:after="0" w:line="240" w:lineRule="auto"/>
              <w:ind w:left="255" w:hanging="360"/>
              <w:jc w:val="both"/>
              <w:rPr>
                <w:rFonts w:cstheme="minorHAnsi"/>
                <w:color w:val="002060"/>
                <w:sz w:val="18"/>
                <w:lang w:val="sr-Cyrl-RS"/>
              </w:rPr>
            </w:pPr>
            <w:r w:rsidRPr="00A37BCE">
              <w:rPr>
                <w:rFonts w:cstheme="minorHAnsi"/>
                <w:color w:val="002060"/>
                <w:sz w:val="18"/>
                <w:lang w:val="sr-Cyrl-RS"/>
              </w:rPr>
              <w:t>БДП</w:t>
            </w:r>
          </w:p>
        </w:tc>
        <w:tc>
          <w:tcPr>
            <w:tcW w:w="552" w:type="pct"/>
            <w:tcBorders>
              <w:top w:val="single" w:sz="4" w:space="0" w:color="002060"/>
            </w:tcBorders>
            <w:shd w:val="clear" w:color="auto" w:fill="auto"/>
            <w:noWrap/>
            <w:hideMark/>
          </w:tcPr>
          <w:p w14:paraId="0D432F23" w14:textId="21CB209F" w:rsidR="00C75D50" w:rsidRPr="00A37BCE" w:rsidRDefault="00C75D50"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2</w:t>
            </w:r>
            <w:r w:rsidR="007A77AC" w:rsidRPr="00A37BCE">
              <w:rPr>
                <w:rFonts w:cstheme="minorHAnsi"/>
                <w:color w:val="002060"/>
                <w:sz w:val="18"/>
                <w:lang w:val="sr-Cyrl-RS"/>
              </w:rPr>
              <w:t>,</w:t>
            </w:r>
            <w:r w:rsidRPr="00A37BCE">
              <w:rPr>
                <w:rFonts w:cstheme="minorHAnsi"/>
                <w:color w:val="002060"/>
                <w:sz w:val="18"/>
                <w:lang w:val="sr-Cyrl-RS"/>
              </w:rPr>
              <w:t>5</w:t>
            </w:r>
          </w:p>
        </w:tc>
        <w:tc>
          <w:tcPr>
            <w:tcW w:w="636" w:type="pct"/>
            <w:tcBorders>
              <w:top w:val="single" w:sz="4" w:space="0" w:color="002060"/>
            </w:tcBorders>
            <w:shd w:val="clear" w:color="auto" w:fill="FFFFFF" w:themeFill="background1"/>
            <w:noWrap/>
            <w:hideMark/>
          </w:tcPr>
          <w:p w14:paraId="657408C9" w14:textId="61CA16C7"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2,</w:t>
            </w:r>
            <w:r w:rsidR="00C75D50" w:rsidRPr="00A37BCE">
              <w:rPr>
                <w:rFonts w:cstheme="minorHAnsi"/>
                <w:color w:val="002060"/>
                <w:sz w:val="18"/>
                <w:lang w:val="sr-Cyrl-RS"/>
              </w:rPr>
              <w:t>0</w:t>
            </w:r>
          </w:p>
        </w:tc>
        <w:tc>
          <w:tcPr>
            <w:tcW w:w="636" w:type="pct"/>
            <w:tcBorders>
              <w:top w:val="single" w:sz="4" w:space="0" w:color="002060"/>
            </w:tcBorders>
            <w:shd w:val="clear" w:color="auto" w:fill="auto"/>
            <w:noWrap/>
            <w:hideMark/>
          </w:tcPr>
          <w:p w14:paraId="2F81F444" w14:textId="5D62C464"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1,</w:t>
            </w:r>
            <w:r w:rsidR="00C75D50" w:rsidRPr="00A37BCE">
              <w:rPr>
                <w:rFonts w:cstheme="minorHAnsi"/>
                <w:color w:val="002060"/>
                <w:sz w:val="18"/>
                <w:lang w:val="sr-Cyrl-RS"/>
              </w:rPr>
              <w:t>8</w:t>
            </w:r>
          </w:p>
        </w:tc>
        <w:tc>
          <w:tcPr>
            <w:tcW w:w="638" w:type="pct"/>
            <w:tcBorders>
              <w:top w:val="single" w:sz="4" w:space="0" w:color="002060"/>
            </w:tcBorders>
            <w:shd w:val="clear" w:color="auto" w:fill="auto"/>
            <w:noWrap/>
            <w:hideMark/>
          </w:tcPr>
          <w:p w14:paraId="2784A81A" w14:textId="6A90B061"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1,</w:t>
            </w:r>
            <w:r w:rsidR="00C75D50" w:rsidRPr="00A37BCE">
              <w:rPr>
                <w:rFonts w:cstheme="minorHAnsi"/>
                <w:color w:val="002060"/>
                <w:sz w:val="18"/>
                <w:lang w:val="sr-Cyrl-RS"/>
              </w:rPr>
              <w:t>7</w:t>
            </w:r>
          </w:p>
        </w:tc>
      </w:tr>
      <w:tr w:rsidR="00C42357" w:rsidRPr="00A37BCE" w14:paraId="5AEB4C7F" w14:textId="77777777" w:rsidTr="00AE15F8">
        <w:trPr>
          <w:trHeight w:val="300"/>
        </w:trPr>
        <w:tc>
          <w:tcPr>
            <w:tcW w:w="2537" w:type="pct"/>
            <w:shd w:val="clear" w:color="auto" w:fill="auto"/>
            <w:noWrap/>
            <w:vAlign w:val="bottom"/>
            <w:hideMark/>
          </w:tcPr>
          <w:p w14:paraId="36EBA46A" w14:textId="77777777" w:rsidR="00C75D50" w:rsidRPr="00A37BCE" w:rsidRDefault="00C75D50" w:rsidP="002C1D90">
            <w:pPr>
              <w:spacing w:after="0" w:line="240" w:lineRule="auto"/>
              <w:ind w:left="360" w:hanging="360"/>
              <w:jc w:val="both"/>
              <w:rPr>
                <w:rFonts w:cstheme="minorHAnsi"/>
                <w:color w:val="002060"/>
                <w:sz w:val="18"/>
                <w:lang w:val="sr-Cyrl-RS"/>
              </w:rPr>
            </w:pPr>
            <w:r w:rsidRPr="00A37BCE">
              <w:rPr>
                <w:rFonts w:cstheme="minorHAnsi"/>
                <w:color w:val="002060"/>
                <w:sz w:val="18"/>
                <w:lang w:val="sr-Cyrl-RS"/>
              </w:rPr>
              <w:t>Лична потрошња</w:t>
            </w:r>
          </w:p>
        </w:tc>
        <w:tc>
          <w:tcPr>
            <w:tcW w:w="552" w:type="pct"/>
            <w:shd w:val="clear" w:color="auto" w:fill="auto"/>
            <w:noWrap/>
            <w:hideMark/>
          </w:tcPr>
          <w:p w14:paraId="090F4AE1" w14:textId="01255E50"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1,</w:t>
            </w:r>
            <w:r w:rsidR="00C75D50" w:rsidRPr="00A37BCE">
              <w:rPr>
                <w:rFonts w:cstheme="minorHAnsi"/>
                <w:color w:val="002060"/>
                <w:sz w:val="18"/>
                <w:lang w:val="sr-Cyrl-RS"/>
              </w:rPr>
              <w:t>7</w:t>
            </w:r>
          </w:p>
        </w:tc>
        <w:tc>
          <w:tcPr>
            <w:tcW w:w="636" w:type="pct"/>
            <w:shd w:val="clear" w:color="auto" w:fill="auto"/>
            <w:noWrap/>
            <w:hideMark/>
          </w:tcPr>
          <w:p w14:paraId="2AB86172" w14:textId="61E152D9"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1,</w:t>
            </w:r>
            <w:r w:rsidR="00C75D50" w:rsidRPr="00A37BCE">
              <w:rPr>
                <w:rFonts w:cstheme="minorHAnsi"/>
                <w:color w:val="002060"/>
                <w:sz w:val="18"/>
                <w:lang w:val="sr-Cyrl-RS"/>
              </w:rPr>
              <w:t>5</w:t>
            </w:r>
          </w:p>
        </w:tc>
        <w:tc>
          <w:tcPr>
            <w:tcW w:w="636" w:type="pct"/>
            <w:shd w:val="clear" w:color="auto" w:fill="auto"/>
            <w:noWrap/>
            <w:hideMark/>
          </w:tcPr>
          <w:p w14:paraId="7E7F25BB" w14:textId="45AEA73D"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1,</w:t>
            </w:r>
            <w:r w:rsidR="00C75D50" w:rsidRPr="00A37BCE">
              <w:rPr>
                <w:rFonts w:cstheme="minorHAnsi"/>
                <w:color w:val="002060"/>
                <w:sz w:val="18"/>
                <w:lang w:val="sr-Cyrl-RS"/>
              </w:rPr>
              <w:t>7</w:t>
            </w:r>
          </w:p>
        </w:tc>
        <w:tc>
          <w:tcPr>
            <w:tcW w:w="638" w:type="pct"/>
            <w:shd w:val="clear" w:color="auto" w:fill="auto"/>
            <w:noWrap/>
            <w:hideMark/>
          </w:tcPr>
          <w:p w14:paraId="6ED77689" w14:textId="1D39D8EA"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1,</w:t>
            </w:r>
            <w:r w:rsidR="00C75D50" w:rsidRPr="00A37BCE">
              <w:rPr>
                <w:rFonts w:cstheme="minorHAnsi"/>
                <w:color w:val="002060"/>
                <w:sz w:val="18"/>
                <w:lang w:val="sr-Cyrl-RS"/>
              </w:rPr>
              <w:t>6</w:t>
            </w:r>
          </w:p>
        </w:tc>
      </w:tr>
      <w:tr w:rsidR="00C42357" w:rsidRPr="00A37BCE" w14:paraId="7524C5D7" w14:textId="77777777" w:rsidTr="00AE15F8">
        <w:trPr>
          <w:trHeight w:val="300"/>
        </w:trPr>
        <w:tc>
          <w:tcPr>
            <w:tcW w:w="2537" w:type="pct"/>
            <w:shd w:val="clear" w:color="auto" w:fill="auto"/>
            <w:noWrap/>
            <w:vAlign w:val="bottom"/>
            <w:hideMark/>
          </w:tcPr>
          <w:p w14:paraId="0FE27F2E" w14:textId="77777777" w:rsidR="00C75D50" w:rsidRPr="00A37BCE" w:rsidRDefault="00C75D50" w:rsidP="002C1D90">
            <w:pPr>
              <w:spacing w:after="0" w:line="240" w:lineRule="auto"/>
              <w:ind w:left="360" w:hanging="360"/>
              <w:jc w:val="both"/>
              <w:rPr>
                <w:rFonts w:cstheme="minorHAnsi"/>
                <w:color w:val="002060"/>
                <w:sz w:val="18"/>
                <w:lang w:val="sr-Cyrl-RS"/>
              </w:rPr>
            </w:pPr>
            <w:r w:rsidRPr="00A37BCE">
              <w:rPr>
                <w:rFonts w:cstheme="minorHAnsi"/>
                <w:color w:val="002060"/>
                <w:sz w:val="18"/>
                <w:lang w:val="sr-Cyrl-RS"/>
              </w:rPr>
              <w:t>Државна потрошња</w:t>
            </w:r>
          </w:p>
        </w:tc>
        <w:tc>
          <w:tcPr>
            <w:tcW w:w="552" w:type="pct"/>
            <w:shd w:val="clear" w:color="auto" w:fill="auto"/>
            <w:noWrap/>
            <w:hideMark/>
          </w:tcPr>
          <w:p w14:paraId="7F35AF6B" w14:textId="48F6EE1B"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1,</w:t>
            </w:r>
            <w:r w:rsidR="00C75D50" w:rsidRPr="00A37BCE">
              <w:rPr>
                <w:rFonts w:cstheme="minorHAnsi"/>
                <w:color w:val="002060"/>
                <w:sz w:val="18"/>
                <w:lang w:val="sr-Cyrl-RS"/>
              </w:rPr>
              <w:t>2</w:t>
            </w:r>
          </w:p>
        </w:tc>
        <w:tc>
          <w:tcPr>
            <w:tcW w:w="636" w:type="pct"/>
            <w:shd w:val="clear" w:color="auto" w:fill="auto"/>
            <w:noWrap/>
            <w:hideMark/>
          </w:tcPr>
          <w:p w14:paraId="4997A66A" w14:textId="3C8D5E19"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1,</w:t>
            </w:r>
            <w:r w:rsidR="00C75D50" w:rsidRPr="00A37BCE">
              <w:rPr>
                <w:rFonts w:cstheme="minorHAnsi"/>
                <w:color w:val="002060"/>
                <w:sz w:val="18"/>
                <w:lang w:val="sr-Cyrl-RS"/>
              </w:rPr>
              <w:t>4</w:t>
            </w:r>
          </w:p>
        </w:tc>
        <w:tc>
          <w:tcPr>
            <w:tcW w:w="636" w:type="pct"/>
            <w:shd w:val="clear" w:color="auto" w:fill="auto"/>
            <w:noWrap/>
            <w:hideMark/>
          </w:tcPr>
          <w:p w14:paraId="59D804CD" w14:textId="7B6D67A2"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1,</w:t>
            </w:r>
            <w:r w:rsidR="00C75D50" w:rsidRPr="00A37BCE">
              <w:rPr>
                <w:rFonts w:cstheme="minorHAnsi"/>
                <w:color w:val="002060"/>
                <w:sz w:val="18"/>
                <w:lang w:val="sr-Cyrl-RS"/>
              </w:rPr>
              <w:t>4</w:t>
            </w:r>
          </w:p>
        </w:tc>
        <w:tc>
          <w:tcPr>
            <w:tcW w:w="638" w:type="pct"/>
            <w:shd w:val="clear" w:color="auto" w:fill="auto"/>
            <w:noWrap/>
            <w:hideMark/>
          </w:tcPr>
          <w:p w14:paraId="4F3D1393" w14:textId="1CF4DCB5"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1,</w:t>
            </w:r>
            <w:r w:rsidR="00C75D50" w:rsidRPr="00A37BCE">
              <w:rPr>
                <w:rFonts w:cstheme="minorHAnsi"/>
                <w:color w:val="002060"/>
                <w:sz w:val="18"/>
                <w:lang w:val="sr-Cyrl-RS"/>
              </w:rPr>
              <w:t>3</w:t>
            </w:r>
          </w:p>
        </w:tc>
      </w:tr>
      <w:tr w:rsidR="00C42357" w:rsidRPr="00A37BCE" w14:paraId="19FCA019" w14:textId="77777777" w:rsidTr="00AE15F8">
        <w:trPr>
          <w:trHeight w:val="300"/>
        </w:trPr>
        <w:tc>
          <w:tcPr>
            <w:tcW w:w="2537" w:type="pct"/>
            <w:shd w:val="clear" w:color="auto" w:fill="auto"/>
            <w:noWrap/>
            <w:vAlign w:val="bottom"/>
            <w:hideMark/>
          </w:tcPr>
          <w:p w14:paraId="1EC6C856" w14:textId="77777777" w:rsidR="00C75D50" w:rsidRPr="00A37BCE" w:rsidRDefault="00C75D50" w:rsidP="002C1D90">
            <w:pPr>
              <w:spacing w:after="0" w:line="240" w:lineRule="auto"/>
              <w:ind w:left="360" w:hanging="360"/>
              <w:jc w:val="both"/>
              <w:rPr>
                <w:rFonts w:cstheme="minorHAnsi"/>
                <w:color w:val="002060"/>
                <w:sz w:val="18"/>
                <w:lang w:val="sr-Cyrl-RS"/>
              </w:rPr>
            </w:pPr>
            <w:r w:rsidRPr="00A37BCE">
              <w:rPr>
                <w:rFonts w:cstheme="minorHAnsi"/>
                <w:color w:val="002060"/>
                <w:sz w:val="18"/>
                <w:lang w:val="sr-Cyrl-RS"/>
              </w:rPr>
              <w:t>Бруто инвестиције у основне фондове</w:t>
            </w:r>
          </w:p>
        </w:tc>
        <w:tc>
          <w:tcPr>
            <w:tcW w:w="552" w:type="pct"/>
            <w:shd w:val="clear" w:color="auto" w:fill="auto"/>
            <w:noWrap/>
            <w:hideMark/>
          </w:tcPr>
          <w:p w14:paraId="4B004F34" w14:textId="4CB37C08"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2,</w:t>
            </w:r>
            <w:r w:rsidR="00C75D50" w:rsidRPr="00A37BCE">
              <w:rPr>
                <w:rFonts w:cstheme="minorHAnsi"/>
                <w:color w:val="002060"/>
                <w:sz w:val="18"/>
                <w:lang w:val="sr-Cyrl-RS"/>
              </w:rPr>
              <w:t>8</w:t>
            </w:r>
          </w:p>
        </w:tc>
        <w:tc>
          <w:tcPr>
            <w:tcW w:w="636" w:type="pct"/>
            <w:shd w:val="clear" w:color="auto" w:fill="auto"/>
            <w:noWrap/>
            <w:hideMark/>
          </w:tcPr>
          <w:p w14:paraId="65EB4E10" w14:textId="1A9F803B"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4,</w:t>
            </w:r>
            <w:r w:rsidR="00C75D50" w:rsidRPr="00A37BCE">
              <w:rPr>
                <w:rFonts w:cstheme="minorHAnsi"/>
                <w:color w:val="002060"/>
                <w:sz w:val="18"/>
                <w:lang w:val="sr-Cyrl-RS"/>
              </w:rPr>
              <w:t>0</w:t>
            </w:r>
          </w:p>
        </w:tc>
        <w:tc>
          <w:tcPr>
            <w:tcW w:w="636" w:type="pct"/>
            <w:shd w:val="clear" w:color="auto" w:fill="auto"/>
            <w:noWrap/>
            <w:hideMark/>
          </w:tcPr>
          <w:p w14:paraId="0F1EA34B" w14:textId="7A8F6699"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3,</w:t>
            </w:r>
            <w:r w:rsidR="00C75D50" w:rsidRPr="00A37BCE">
              <w:rPr>
                <w:rFonts w:cstheme="minorHAnsi"/>
                <w:color w:val="002060"/>
                <w:sz w:val="18"/>
                <w:lang w:val="sr-Cyrl-RS"/>
              </w:rPr>
              <w:t>2</w:t>
            </w:r>
          </w:p>
        </w:tc>
        <w:tc>
          <w:tcPr>
            <w:tcW w:w="638" w:type="pct"/>
            <w:shd w:val="clear" w:color="auto" w:fill="auto"/>
            <w:noWrap/>
            <w:hideMark/>
          </w:tcPr>
          <w:p w14:paraId="256B21CE" w14:textId="0A5F3E1A"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2,</w:t>
            </w:r>
            <w:r w:rsidR="00C75D50" w:rsidRPr="00A37BCE">
              <w:rPr>
                <w:rFonts w:cstheme="minorHAnsi"/>
                <w:color w:val="002060"/>
                <w:sz w:val="18"/>
                <w:lang w:val="sr-Cyrl-RS"/>
              </w:rPr>
              <w:t>9</w:t>
            </w:r>
          </w:p>
        </w:tc>
      </w:tr>
      <w:tr w:rsidR="00C42357" w:rsidRPr="00A37BCE" w14:paraId="50A629A8" w14:textId="77777777" w:rsidTr="00AE15F8">
        <w:trPr>
          <w:trHeight w:val="300"/>
        </w:trPr>
        <w:tc>
          <w:tcPr>
            <w:tcW w:w="2537" w:type="pct"/>
            <w:shd w:val="clear" w:color="auto" w:fill="auto"/>
            <w:noWrap/>
            <w:vAlign w:val="bottom"/>
            <w:hideMark/>
          </w:tcPr>
          <w:p w14:paraId="0B96A4C5" w14:textId="77777777" w:rsidR="00C75D50" w:rsidRPr="00A37BCE" w:rsidRDefault="00C75D50" w:rsidP="002C1D90">
            <w:pPr>
              <w:spacing w:after="0" w:line="240" w:lineRule="auto"/>
              <w:ind w:left="360" w:hanging="360"/>
              <w:jc w:val="both"/>
              <w:rPr>
                <w:rFonts w:cstheme="minorHAnsi"/>
                <w:color w:val="002060"/>
                <w:sz w:val="18"/>
                <w:lang w:val="sr-Cyrl-RS"/>
              </w:rPr>
            </w:pPr>
            <w:r w:rsidRPr="00A37BCE">
              <w:rPr>
                <w:rFonts w:cstheme="minorHAnsi"/>
                <w:color w:val="002060"/>
                <w:sz w:val="18"/>
                <w:lang w:val="sr-Cyrl-RS"/>
              </w:rPr>
              <w:t>Извоз</w:t>
            </w:r>
          </w:p>
        </w:tc>
        <w:tc>
          <w:tcPr>
            <w:tcW w:w="552" w:type="pct"/>
            <w:shd w:val="clear" w:color="auto" w:fill="auto"/>
            <w:noWrap/>
            <w:hideMark/>
          </w:tcPr>
          <w:p w14:paraId="2D3BCA32" w14:textId="24C4A747"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5,</w:t>
            </w:r>
            <w:r w:rsidR="00C75D50" w:rsidRPr="00A37BCE">
              <w:rPr>
                <w:rFonts w:cstheme="minorHAnsi"/>
                <w:color w:val="002060"/>
                <w:sz w:val="18"/>
                <w:lang w:val="sr-Cyrl-RS"/>
              </w:rPr>
              <w:t>6</w:t>
            </w:r>
          </w:p>
        </w:tc>
        <w:tc>
          <w:tcPr>
            <w:tcW w:w="636" w:type="pct"/>
            <w:shd w:val="clear" w:color="auto" w:fill="auto"/>
            <w:noWrap/>
            <w:hideMark/>
          </w:tcPr>
          <w:p w14:paraId="69C8B595" w14:textId="1D0C3296"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3,</w:t>
            </w:r>
            <w:r w:rsidR="00C75D50" w:rsidRPr="00A37BCE">
              <w:rPr>
                <w:rFonts w:cstheme="minorHAnsi"/>
                <w:color w:val="002060"/>
                <w:sz w:val="18"/>
                <w:lang w:val="sr-Cyrl-RS"/>
              </w:rPr>
              <w:t>1</w:t>
            </w:r>
          </w:p>
        </w:tc>
        <w:tc>
          <w:tcPr>
            <w:tcW w:w="636" w:type="pct"/>
            <w:shd w:val="clear" w:color="auto" w:fill="auto"/>
            <w:noWrap/>
            <w:hideMark/>
          </w:tcPr>
          <w:p w14:paraId="53EAF1AA" w14:textId="678491EF"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3,</w:t>
            </w:r>
            <w:r w:rsidR="00C75D50" w:rsidRPr="00A37BCE">
              <w:rPr>
                <w:rFonts w:cstheme="minorHAnsi"/>
                <w:color w:val="002060"/>
                <w:sz w:val="18"/>
                <w:lang w:val="sr-Cyrl-RS"/>
              </w:rPr>
              <w:t>8</w:t>
            </w:r>
          </w:p>
        </w:tc>
        <w:tc>
          <w:tcPr>
            <w:tcW w:w="638" w:type="pct"/>
            <w:shd w:val="clear" w:color="auto" w:fill="auto"/>
            <w:noWrap/>
            <w:hideMark/>
          </w:tcPr>
          <w:p w14:paraId="7745ED1B" w14:textId="582E91DD"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3,</w:t>
            </w:r>
            <w:r w:rsidR="00C75D50" w:rsidRPr="00A37BCE">
              <w:rPr>
                <w:rFonts w:cstheme="minorHAnsi"/>
                <w:color w:val="002060"/>
                <w:sz w:val="18"/>
                <w:lang w:val="sr-Cyrl-RS"/>
              </w:rPr>
              <w:t>6</w:t>
            </w:r>
          </w:p>
        </w:tc>
      </w:tr>
      <w:tr w:rsidR="00C42357" w:rsidRPr="00A37BCE" w14:paraId="401AE206" w14:textId="77777777" w:rsidTr="00AE15F8">
        <w:trPr>
          <w:trHeight w:val="300"/>
        </w:trPr>
        <w:tc>
          <w:tcPr>
            <w:tcW w:w="2537" w:type="pct"/>
            <w:shd w:val="clear" w:color="auto" w:fill="auto"/>
            <w:noWrap/>
            <w:vAlign w:val="bottom"/>
            <w:hideMark/>
          </w:tcPr>
          <w:p w14:paraId="1198EDD2" w14:textId="77777777" w:rsidR="00C75D50" w:rsidRPr="00A37BCE" w:rsidRDefault="00C75D50" w:rsidP="002C1D90">
            <w:pPr>
              <w:spacing w:after="0" w:line="240" w:lineRule="auto"/>
              <w:ind w:left="360" w:hanging="360"/>
              <w:jc w:val="both"/>
              <w:rPr>
                <w:rFonts w:cstheme="minorHAnsi"/>
                <w:color w:val="002060"/>
                <w:sz w:val="18"/>
                <w:lang w:val="sr-Cyrl-RS"/>
              </w:rPr>
            </w:pPr>
            <w:r w:rsidRPr="00A37BCE">
              <w:rPr>
                <w:rFonts w:cstheme="minorHAnsi"/>
                <w:color w:val="002060"/>
                <w:sz w:val="18"/>
                <w:lang w:val="sr-Cyrl-RS"/>
              </w:rPr>
              <w:t>Увоз</w:t>
            </w:r>
          </w:p>
        </w:tc>
        <w:tc>
          <w:tcPr>
            <w:tcW w:w="552" w:type="pct"/>
            <w:shd w:val="clear" w:color="auto" w:fill="auto"/>
            <w:noWrap/>
            <w:hideMark/>
          </w:tcPr>
          <w:p w14:paraId="32E85852" w14:textId="657AB605"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4,</w:t>
            </w:r>
            <w:r w:rsidR="00C75D50" w:rsidRPr="00A37BCE">
              <w:rPr>
                <w:rFonts w:cstheme="minorHAnsi"/>
                <w:color w:val="002060"/>
                <w:sz w:val="18"/>
                <w:lang w:val="sr-Cyrl-RS"/>
              </w:rPr>
              <w:t>2</w:t>
            </w:r>
          </w:p>
        </w:tc>
        <w:tc>
          <w:tcPr>
            <w:tcW w:w="636" w:type="pct"/>
            <w:shd w:val="clear" w:color="auto" w:fill="auto"/>
            <w:noWrap/>
            <w:hideMark/>
          </w:tcPr>
          <w:p w14:paraId="16912320" w14:textId="7AFBBE33"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3,</w:t>
            </w:r>
            <w:r w:rsidR="00C75D50" w:rsidRPr="00A37BCE">
              <w:rPr>
                <w:rFonts w:cstheme="minorHAnsi"/>
                <w:color w:val="002060"/>
                <w:sz w:val="18"/>
                <w:lang w:val="sr-Cyrl-RS"/>
              </w:rPr>
              <w:t>5</w:t>
            </w:r>
          </w:p>
        </w:tc>
        <w:tc>
          <w:tcPr>
            <w:tcW w:w="636" w:type="pct"/>
            <w:shd w:val="clear" w:color="auto" w:fill="auto"/>
            <w:noWrap/>
            <w:hideMark/>
          </w:tcPr>
          <w:p w14:paraId="58FD343A" w14:textId="10F0A87A"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4,</w:t>
            </w:r>
            <w:r w:rsidR="00C75D50" w:rsidRPr="00A37BCE">
              <w:rPr>
                <w:rFonts w:cstheme="minorHAnsi"/>
                <w:color w:val="002060"/>
                <w:sz w:val="18"/>
                <w:lang w:val="sr-Cyrl-RS"/>
              </w:rPr>
              <w:t>5</w:t>
            </w:r>
          </w:p>
        </w:tc>
        <w:tc>
          <w:tcPr>
            <w:tcW w:w="638" w:type="pct"/>
            <w:shd w:val="clear" w:color="auto" w:fill="auto"/>
            <w:noWrap/>
            <w:hideMark/>
          </w:tcPr>
          <w:p w14:paraId="04C9785B" w14:textId="233816A1"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3,</w:t>
            </w:r>
            <w:r w:rsidR="00C75D50" w:rsidRPr="00A37BCE">
              <w:rPr>
                <w:rFonts w:cstheme="minorHAnsi"/>
                <w:color w:val="002060"/>
                <w:sz w:val="18"/>
                <w:lang w:val="sr-Cyrl-RS"/>
              </w:rPr>
              <w:t>9</w:t>
            </w:r>
          </w:p>
        </w:tc>
      </w:tr>
      <w:tr w:rsidR="00C42357" w:rsidRPr="00A37BCE" w14:paraId="1EE7554C" w14:textId="77777777" w:rsidTr="00AE15F8">
        <w:trPr>
          <w:trHeight w:val="300"/>
        </w:trPr>
        <w:tc>
          <w:tcPr>
            <w:tcW w:w="2537" w:type="pct"/>
            <w:shd w:val="clear" w:color="auto" w:fill="auto"/>
            <w:noWrap/>
            <w:vAlign w:val="bottom"/>
            <w:hideMark/>
          </w:tcPr>
          <w:p w14:paraId="625DC509" w14:textId="05844F46" w:rsidR="00C75D50" w:rsidRPr="00A37BCE" w:rsidRDefault="00C75D50" w:rsidP="002C1D90">
            <w:pPr>
              <w:spacing w:after="0" w:line="240" w:lineRule="auto"/>
              <w:ind w:left="255" w:hanging="360"/>
              <w:jc w:val="both"/>
              <w:rPr>
                <w:rFonts w:cstheme="minorHAnsi"/>
                <w:color w:val="002060"/>
                <w:sz w:val="18"/>
                <w:lang w:val="sr-Cyrl-RS"/>
              </w:rPr>
            </w:pPr>
            <w:r w:rsidRPr="00A37BCE">
              <w:rPr>
                <w:rFonts w:cstheme="minorHAnsi"/>
                <w:color w:val="002060"/>
                <w:sz w:val="18"/>
                <w:lang w:val="sr-Cyrl-RS"/>
              </w:rPr>
              <w:t>Запосленост</w:t>
            </w:r>
          </w:p>
        </w:tc>
        <w:tc>
          <w:tcPr>
            <w:tcW w:w="552" w:type="pct"/>
            <w:shd w:val="clear" w:color="auto" w:fill="auto"/>
            <w:noWrap/>
            <w:hideMark/>
          </w:tcPr>
          <w:p w14:paraId="425CE7B3" w14:textId="2EA499DB"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1,</w:t>
            </w:r>
            <w:r w:rsidR="00C75D50" w:rsidRPr="00A37BCE">
              <w:rPr>
                <w:rFonts w:cstheme="minorHAnsi"/>
                <w:color w:val="002060"/>
                <w:sz w:val="18"/>
                <w:lang w:val="sr-Cyrl-RS"/>
              </w:rPr>
              <w:t>6</w:t>
            </w:r>
          </w:p>
        </w:tc>
        <w:tc>
          <w:tcPr>
            <w:tcW w:w="636" w:type="pct"/>
            <w:shd w:val="clear" w:color="auto" w:fill="auto"/>
            <w:noWrap/>
            <w:hideMark/>
          </w:tcPr>
          <w:p w14:paraId="01319A6B" w14:textId="4F2C9555"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1,</w:t>
            </w:r>
            <w:r w:rsidR="00C75D50" w:rsidRPr="00A37BCE">
              <w:rPr>
                <w:rFonts w:cstheme="minorHAnsi"/>
                <w:color w:val="002060"/>
                <w:sz w:val="18"/>
                <w:lang w:val="sr-Cyrl-RS"/>
              </w:rPr>
              <w:t>4</w:t>
            </w:r>
          </w:p>
        </w:tc>
        <w:tc>
          <w:tcPr>
            <w:tcW w:w="636" w:type="pct"/>
            <w:shd w:val="clear" w:color="auto" w:fill="auto"/>
            <w:noWrap/>
            <w:hideMark/>
          </w:tcPr>
          <w:p w14:paraId="66FDACEC" w14:textId="4597A740"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0,</w:t>
            </w:r>
            <w:r w:rsidR="00C75D50" w:rsidRPr="00A37BCE">
              <w:rPr>
                <w:rFonts w:cstheme="minorHAnsi"/>
                <w:color w:val="002060"/>
                <w:sz w:val="18"/>
                <w:lang w:val="sr-Cyrl-RS"/>
              </w:rPr>
              <w:t>9</w:t>
            </w:r>
          </w:p>
        </w:tc>
        <w:tc>
          <w:tcPr>
            <w:tcW w:w="638" w:type="pct"/>
            <w:shd w:val="clear" w:color="auto" w:fill="auto"/>
            <w:noWrap/>
            <w:hideMark/>
          </w:tcPr>
          <w:p w14:paraId="2CDFC077" w14:textId="36DB4D9C"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0,</w:t>
            </w:r>
            <w:r w:rsidR="00C75D50" w:rsidRPr="00A37BCE">
              <w:rPr>
                <w:rFonts w:cstheme="minorHAnsi"/>
                <w:color w:val="002060"/>
                <w:sz w:val="18"/>
                <w:lang w:val="sr-Cyrl-RS"/>
              </w:rPr>
              <w:t>8</w:t>
            </w:r>
          </w:p>
        </w:tc>
      </w:tr>
      <w:tr w:rsidR="00C42357" w:rsidRPr="00A37BCE" w14:paraId="654B330A" w14:textId="77777777" w:rsidTr="00AE15F8">
        <w:trPr>
          <w:trHeight w:val="300"/>
        </w:trPr>
        <w:tc>
          <w:tcPr>
            <w:tcW w:w="2537" w:type="pct"/>
            <w:shd w:val="clear" w:color="auto" w:fill="auto"/>
            <w:noWrap/>
            <w:vAlign w:val="bottom"/>
            <w:hideMark/>
          </w:tcPr>
          <w:p w14:paraId="2BC003B3" w14:textId="49E3336F" w:rsidR="00C75D50" w:rsidRPr="00A37BCE" w:rsidRDefault="00C75D50" w:rsidP="002C1D90">
            <w:pPr>
              <w:spacing w:after="0" w:line="240" w:lineRule="auto"/>
              <w:ind w:left="255" w:hanging="360"/>
              <w:jc w:val="both"/>
              <w:rPr>
                <w:rFonts w:cstheme="minorHAnsi"/>
                <w:color w:val="002060"/>
                <w:sz w:val="18"/>
                <w:lang w:val="sr-Cyrl-RS"/>
              </w:rPr>
            </w:pPr>
            <w:r w:rsidRPr="00A37BCE">
              <w:rPr>
                <w:rFonts w:cstheme="minorHAnsi"/>
                <w:color w:val="002060"/>
                <w:sz w:val="18"/>
                <w:lang w:val="sr-Cyrl-RS"/>
              </w:rPr>
              <w:t>Стопа незапослености</w:t>
            </w:r>
            <w:r w:rsidR="00FE6CC1" w:rsidRPr="00A37BCE">
              <w:rPr>
                <w:rFonts w:cstheme="minorHAnsi"/>
                <w:color w:val="002060"/>
                <w:sz w:val="18"/>
                <w:lang w:val="sr-Cyrl-RS"/>
              </w:rPr>
              <w:t>, проценат радне снаге</w:t>
            </w:r>
          </w:p>
        </w:tc>
        <w:tc>
          <w:tcPr>
            <w:tcW w:w="552" w:type="pct"/>
            <w:shd w:val="clear" w:color="auto" w:fill="auto"/>
            <w:noWrap/>
            <w:hideMark/>
          </w:tcPr>
          <w:p w14:paraId="005AC19F" w14:textId="786C9752"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9,</w:t>
            </w:r>
            <w:r w:rsidR="00C75D50" w:rsidRPr="00A37BCE">
              <w:rPr>
                <w:rFonts w:cstheme="minorHAnsi"/>
                <w:color w:val="002060"/>
                <w:sz w:val="18"/>
                <w:lang w:val="sr-Cyrl-RS"/>
              </w:rPr>
              <w:t>1</w:t>
            </w:r>
          </w:p>
        </w:tc>
        <w:tc>
          <w:tcPr>
            <w:tcW w:w="636" w:type="pct"/>
            <w:shd w:val="clear" w:color="auto" w:fill="auto"/>
            <w:noWrap/>
            <w:hideMark/>
          </w:tcPr>
          <w:p w14:paraId="34C2B133" w14:textId="7A482C27"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8,</w:t>
            </w:r>
            <w:r w:rsidR="00C75D50" w:rsidRPr="00A37BCE">
              <w:rPr>
                <w:rFonts w:cstheme="minorHAnsi"/>
                <w:color w:val="002060"/>
                <w:sz w:val="18"/>
                <w:lang w:val="sr-Cyrl-RS"/>
              </w:rPr>
              <w:t>3</w:t>
            </w:r>
          </w:p>
        </w:tc>
        <w:tc>
          <w:tcPr>
            <w:tcW w:w="636" w:type="pct"/>
            <w:shd w:val="clear" w:color="auto" w:fill="auto"/>
            <w:noWrap/>
            <w:hideMark/>
          </w:tcPr>
          <w:p w14:paraId="2C14D376" w14:textId="3C165240"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7,</w:t>
            </w:r>
            <w:r w:rsidR="00C75D50" w:rsidRPr="00A37BCE">
              <w:rPr>
                <w:rFonts w:cstheme="minorHAnsi"/>
                <w:color w:val="002060"/>
                <w:sz w:val="18"/>
                <w:lang w:val="sr-Cyrl-RS"/>
              </w:rPr>
              <w:t>8</w:t>
            </w:r>
          </w:p>
        </w:tc>
        <w:tc>
          <w:tcPr>
            <w:tcW w:w="638" w:type="pct"/>
            <w:shd w:val="clear" w:color="auto" w:fill="auto"/>
            <w:noWrap/>
            <w:hideMark/>
          </w:tcPr>
          <w:p w14:paraId="3601273E" w14:textId="2DF396A7"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7,</w:t>
            </w:r>
            <w:r w:rsidR="00C75D50" w:rsidRPr="00A37BCE">
              <w:rPr>
                <w:rFonts w:cstheme="minorHAnsi"/>
                <w:color w:val="002060"/>
                <w:sz w:val="18"/>
                <w:lang w:val="sr-Cyrl-RS"/>
              </w:rPr>
              <w:t>4</w:t>
            </w:r>
          </w:p>
        </w:tc>
      </w:tr>
      <w:tr w:rsidR="00C42357" w:rsidRPr="00A37BCE" w14:paraId="5B569DF1" w14:textId="77777777" w:rsidTr="00AE15F8">
        <w:trPr>
          <w:trHeight w:val="300"/>
        </w:trPr>
        <w:tc>
          <w:tcPr>
            <w:tcW w:w="2537" w:type="pct"/>
            <w:shd w:val="clear" w:color="auto" w:fill="auto"/>
            <w:noWrap/>
            <w:vAlign w:val="bottom"/>
            <w:hideMark/>
          </w:tcPr>
          <w:p w14:paraId="10F1E558" w14:textId="77777777" w:rsidR="00C75D50" w:rsidRPr="00A37BCE" w:rsidRDefault="00C75D50" w:rsidP="002C1D90">
            <w:pPr>
              <w:spacing w:after="0" w:line="240" w:lineRule="auto"/>
              <w:ind w:left="255" w:hanging="360"/>
              <w:jc w:val="both"/>
              <w:rPr>
                <w:rFonts w:cstheme="minorHAnsi"/>
                <w:color w:val="002060"/>
                <w:sz w:val="18"/>
                <w:lang w:val="sr-Cyrl-RS"/>
              </w:rPr>
            </w:pPr>
            <w:r w:rsidRPr="00A37BCE">
              <w:rPr>
                <w:rFonts w:cstheme="minorHAnsi"/>
                <w:color w:val="002060"/>
                <w:sz w:val="18"/>
                <w:lang w:val="sr-Cyrl-RS"/>
              </w:rPr>
              <w:t>Инфлација</w:t>
            </w:r>
          </w:p>
        </w:tc>
        <w:tc>
          <w:tcPr>
            <w:tcW w:w="552" w:type="pct"/>
            <w:shd w:val="clear" w:color="auto" w:fill="auto"/>
            <w:noWrap/>
            <w:vAlign w:val="center"/>
            <w:hideMark/>
          </w:tcPr>
          <w:p w14:paraId="2AF82B39" w14:textId="5AC08F5B"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1,</w:t>
            </w:r>
            <w:r w:rsidR="00C75D50" w:rsidRPr="00A37BCE">
              <w:rPr>
                <w:rFonts w:cstheme="minorHAnsi"/>
                <w:color w:val="002060"/>
                <w:sz w:val="18"/>
                <w:lang w:val="sr-Cyrl-RS"/>
              </w:rPr>
              <w:t>5</w:t>
            </w:r>
          </w:p>
        </w:tc>
        <w:tc>
          <w:tcPr>
            <w:tcW w:w="636" w:type="pct"/>
            <w:shd w:val="clear" w:color="auto" w:fill="auto"/>
            <w:noWrap/>
            <w:vAlign w:val="center"/>
            <w:hideMark/>
          </w:tcPr>
          <w:p w14:paraId="0D9F03C6" w14:textId="607A34DD"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1,</w:t>
            </w:r>
            <w:r w:rsidR="00C75D50" w:rsidRPr="00A37BCE">
              <w:rPr>
                <w:rFonts w:cstheme="minorHAnsi"/>
                <w:color w:val="002060"/>
                <w:sz w:val="18"/>
                <w:lang w:val="sr-Cyrl-RS"/>
              </w:rPr>
              <w:t>7</w:t>
            </w:r>
          </w:p>
        </w:tc>
        <w:tc>
          <w:tcPr>
            <w:tcW w:w="636" w:type="pct"/>
            <w:shd w:val="clear" w:color="auto" w:fill="auto"/>
            <w:noWrap/>
            <w:vAlign w:val="center"/>
            <w:hideMark/>
          </w:tcPr>
          <w:p w14:paraId="28608325" w14:textId="4BC46444"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1,</w:t>
            </w:r>
            <w:r w:rsidR="00C75D50" w:rsidRPr="00A37BCE">
              <w:rPr>
                <w:rFonts w:cstheme="minorHAnsi"/>
                <w:color w:val="002060"/>
                <w:sz w:val="18"/>
                <w:lang w:val="sr-Cyrl-RS"/>
              </w:rPr>
              <w:t>7</w:t>
            </w:r>
          </w:p>
        </w:tc>
        <w:tc>
          <w:tcPr>
            <w:tcW w:w="638" w:type="pct"/>
            <w:shd w:val="clear" w:color="auto" w:fill="auto"/>
            <w:noWrap/>
            <w:vAlign w:val="center"/>
            <w:hideMark/>
          </w:tcPr>
          <w:p w14:paraId="1993EF78" w14:textId="038541BF"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1,</w:t>
            </w:r>
            <w:r w:rsidR="00C75D50" w:rsidRPr="00A37BCE">
              <w:rPr>
                <w:rFonts w:cstheme="minorHAnsi"/>
                <w:color w:val="002060"/>
                <w:sz w:val="18"/>
                <w:lang w:val="sr-Cyrl-RS"/>
              </w:rPr>
              <w:t>7</w:t>
            </w:r>
          </w:p>
        </w:tc>
      </w:tr>
      <w:tr w:rsidR="00C42357" w:rsidRPr="00A37BCE" w14:paraId="26759577" w14:textId="77777777" w:rsidTr="00AE15F8">
        <w:trPr>
          <w:trHeight w:val="300"/>
        </w:trPr>
        <w:tc>
          <w:tcPr>
            <w:tcW w:w="2537" w:type="pct"/>
            <w:shd w:val="clear" w:color="auto" w:fill="auto"/>
            <w:noWrap/>
            <w:vAlign w:val="bottom"/>
            <w:hideMark/>
          </w:tcPr>
          <w:p w14:paraId="24F60E1B" w14:textId="77777777" w:rsidR="00C75D50" w:rsidRPr="00A37BCE" w:rsidRDefault="00C75D50" w:rsidP="002C1D90">
            <w:pPr>
              <w:spacing w:after="0" w:line="240" w:lineRule="auto"/>
              <w:ind w:left="255" w:hanging="360"/>
              <w:jc w:val="both"/>
              <w:rPr>
                <w:rFonts w:cstheme="minorHAnsi"/>
                <w:color w:val="002060"/>
                <w:sz w:val="18"/>
                <w:lang w:val="sr-Cyrl-RS"/>
              </w:rPr>
            </w:pPr>
            <w:r w:rsidRPr="00A37BCE">
              <w:rPr>
                <w:rFonts w:cstheme="minorHAnsi"/>
                <w:color w:val="002060"/>
                <w:sz w:val="18"/>
                <w:lang w:val="sr-Cyrl-RS"/>
              </w:rPr>
              <w:t>Јединични трошкови рада</w:t>
            </w:r>
          </w:p>
        </w:tc>
        <w:tc>
          <w:tcPr>
            <w:tcW w:w="552" w:type="pct"/>
            <w:shd w:val="clear" w:color="auto" w:fill="auto"/>
            <w:noWrap/>
            <w:vAlign w:val="center"/>
            <w:hideMark/>
          </w:tcPr>
          <w:p w14:paraId="0E87D656" w14:textId="57EEFC83"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0,</w:t>
            </w:r>
            <w:r w:rsidR="00C75D50" w:rsidRPr="00A37BCE">
              <w:rPr>
                <w:rFonts w:cstheme="minorHAnsi"/>
                <w:color w:val="002060"/>
                <w:sz w:val="18"/>
                <w:lang w:val="sr-Cyrl-RS"/>
              </w:rPr>
              <w:t>7</w:t>
            </w:r>
          </w:p>
        </w:tc>
        <w:tc>
          <w:tcPr>
            <w:tcW w:w="636" w:type="pct"/>
            <w:shd w:val="clear" w:color="auto" w:fill="auto"/>
            <w:noWrap/>
            <w:vAlign w:val="center"/>
            <w:hideMark/>
          </w:tcPr>
          <w:p w14:paraId="0C366162" w14:textId="145DE9E8"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1,</w:t>
            </w:r>
            <w:r w:rsidR="00C75D50" w:rsidRPr="00A37BCE">
              <w:rPr>
                <w:rFonts w:cstheme="minorHAnsi"/>
                <w:color w:val="002060"/>
                <w:sz w:val="18"/>
                <w:lang w:val="sr-Cyrl-RS"/>
              </w:rPr>
              <w:t>6</w:t>
            </w:r>
          </w:p>
        </w:tc>
        <w:tc>
          <w:tcPr>
            <w:tcW w:w="636" w:type="pct"/>
            <w:shd w:val="clear" w:color="auto" w:fill="auto"/>
            <w:noWrap/>
            <w:vAlign w:val="center"/>
            <w:hideMark/>
          </w:tcPr>
          <w:p w14:paraId="1D42B2A9" w14:textId="61E94956"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1,</w:t>
            </w:r>
            <w:r w:rsidR="00C75D50" w:rsidRPr="00A37BCE">
              <w:rPr>
                <w:rFonts w:cstheme="minorHAnsi"/>
                <w:color w:val="002060"/>
                <w:sz w:val="18"/>
                <w:lang w:val="sr-Cyrl-RS"/>
              </w:rPr>
              <w:t>3</w:t>
            </w:r>
          </w:p>
        </w:tc>
        <w:tc>
          <w:tcPr>
            <w:tcW w:w="638" w:type="pct"/>
            <w:shd w:val="clear" w:color="auto" w:fill="auto"/>
            <w:noWrap/>
            <w:vAlign w:val="center"/>
            <w:hideMark/>
          </w:tcPr>
          <w:p w14:paraId="22CCD0DE" w14:textId="1FE43ACB"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1,</w:t>
            </w:r>
            <w:r w:rsidR="00C75D50" w:rsidRPr="00A37BCE">
              <w:rPr>
                <w:rFonts w:cstheme="minorHAnsi"/>
                <w:color w:val="002060"/>
                <w:sz w:val="18"/>
                <w:lang w:val="sr-Cyrl-RS"/>
              </w:rPr>
              <w:t>7</w:t>
            </w:r>
          </w:p>
        </w:tc>
      </w:tr>
      <w:tr w:rsidR="00C42357" w:rsidRPr="00A37BCE" w14:paraId="38F4EEDD" w14:textId="77777777" w:rsidTr="00AE15F8">
        <w:trPr>
          <w:trHeight w:val="300"/>
        </w:trPr>
        <w:tc>
          <w:tcPr>
            <w:tcW w:w="2537" w:type="pct"/>
            <w:shd w:val="clear" w:color="auto" w:fill="auto"/>
            <w:noWrap/>
            <w:vAlign w:val="bottom"/>
            <w:hideMark/>
          </w:tcPr>
          <w:p w14:paraId="07F3AE48" w14:textId="77777777" w:rsidR="00C75D50" w:rsidRPr="00A37BCE" w:rsidRDefault="00C75D50" w:rsidP="002C1D90">
            <w:pPr>
              <w:spacing w:after="0" w:line="240" w:lineRule="auto"/>
              <w:ind w:left="255" w:hanging="360"/>
              <w:jc w:val="both"/>
              <w:rPr>
                <w:rFonts w:cstheme="minorHAnsi"/>
                <w:color w:val="002060"/>
                <w:sz w:val="18"/>
                <w:lang w:val="sr-Cyrl-RS"/>
              </w:rPr>
            </w:pPr>
            <w:r w:rsidRPr="00A37BCE">
              <w:rPr>
                <w:rFonts w:cstheme="minorHAnsi"/>
                <w:color w:val="002060"/>
                <w:sz w:val="18"/>
                <w:lang w:val="sr-Cyrl-RS"/>
              </w:rPr>
              <w:t>Фискални резултат опште државе, % БДП</w:t>
            </w:r>
          </w:p>
        </w:tc>
        <w:tc>
          <w:tcPr>
            <w:tcW w:w="552" w:type="pct"/>
            <w:shd w:val="clear" w:color="auto" w:fill="auto"/>
            <w:noWrap/>
            <w:hideMark/>
          </w:tcPr>
          <w:p w14:paraId="2A71AE8A" w14:textId="5B3E6532"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-1,</w:t>
            </w:r>
            <w:r w:rsidR="00C75D50" w:rsidRPr="00A37BCE">
              <w:rPr>
                <w:rFonts w:cstheme="minorHAnsi"/>
                <w:color w:val="002060"/>
                <w:sz w:val="18"/>
                <w:lang w:val="sr-Cyrl-RS"/>
              </w:rPr>
              <w:t>0</w:t>
            </w:r>
          </w:p>
        </w:tc>
        <w:tc>
          <w:tcPr>
            <w:tcW w:w="636" w:type="pct"/>
            <w:shd w:val="clear" w:color="auto" w:fill="auto"/>
            <w:noWrap/>
            <w:hideMark/>
          </w:tcPr>
          <w:p w14:paraId="6641A851" w14:textId="48203C92"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-0,</w:t>
            </w:r>
            <w:r w:rsidR="00C75D50" w:rsidRPr="00A37BCE">
              <w:rPr>
                <w:rFonts w:cstheme="minorHAnsi"/>
                <w:color w:val="002060"/>
                <w:sz w:val="18"/>
                <w:lang w:val="sr-Cyrl-RS"/>
              </w:rPr>
              <w:t>6</w:t>
            </w:r>
          </w:p>
        </w:tc>
        <w:tc>
          <w:tcPr>
            <w:tcW w:w="636" w:type="pct"/>
            <w:shd w:val="clear" w:color="auto" w:fill="auto"/>
            <w:noWrap/>
            <w:hideMark/>
          </w:tcPr>
          <w:p w14:paraId="7FE31080" w14:textId="16E914A3"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-0,</w:t>
            </w:r>
            <w:r w:rsidR="00C75D50" w:rsidRPr="00A37BCE">
              <w:rPr>
                <w:rFonts w:cstheme="minorHAnsi"/>
                <w:color w:val="002060"/>
                <w:sz w:val="18"/>
                <w:lang w:val="sr-Cyrl-RS"/>
              </w:rPr>
              <w:t>8</w:t>
            </w:r>
          </w:p>
        </w:tc>
        <w:tc>
          <w:tcPr>
            <w:tcW w:w="638" w:type="pct"/>
            <w:shd w:val="clear" w:color="auto" w:fill="auto"/>
            <w:noWrap/>
            <w:hideMark/>
          </w:tcPr>
          <w:p w14:paraId="44FCFFFA" w14:textId="3C2987BA"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-0,</w:t>
            </w:r>
            <w:r w:rsidR="00C75D50" w:rsidRPr="00A37BCE">
              <w:rPr>
                <w:rFonts w:cstheme="minorHAnsi"/>
                <w:color w:val="002060"/>
                <w:sz w:val="18"/>
                <w:lang w:val="sr-Cyrl-RS"/>
              </w:rPr>
              <w:t>5</w:t>
            </w:r>
          </w:p>
        </w:tc>
      </w:tr>
      <w:tr w:rsidR="00C42357" w:rsidRPr="00A37BCE" w14:paraId="3F5519DD" w14:textId="77777777" w:rsidTr="00AE15F8">
        <w:trPr>
          <w:trHeight w:val="300"/>
        </w:trPr>
        <w:tc>
          <w:tcPr>
            <w:tcW w:w="2537" w:type="pct"/>
            <w:shd w:val="clear" w:color="auto" w:fill="auto"/>
            <w:noWrap/>
            <w:vAlign w:val="bottom"/>
            <w:hideMark/>
          </w:tcPr>
          <w:p w14:paraId="277C7458" w14:textId="77777777" w:rsidR="00C75D50" w:rsidRPr="00A37BCE" w:rsidRDefault="00C75D50" w:rsidP="002C1D90">
            <w:pPr>
              <w:spacing w:after="0" w:line="240" w:lineRule="auto"/>
              <w:ind w:left="255" w:hanging="360"/>
              <w:jc w:val="both"/>
              <w:rPr>
                <w:rFonts w:cstheme="minorHAnsi"/>
                <w:color w:val="002060"/>
                <w:sz w:val="18"/>
                <w:lang w:val="sr-Cyrl-RS"/>
              </w:rPr>
            </w:pPr>
            <w:r w:rsidRPr="00A37BCE">
              <w:rPr>
                <w:rFonts w:cstheme="minorHAnsi"/>
                <w:color w:val="002060"/>
                <w:sz w:val="18"/>
                <w:lang w:val="sr-Cyrl-RS"/>
              </w:rPr>
              <w:t>Бруто дуг опште државе, % БДП</w:t>
            </w:r>
          </w:p>
        </w:tc>
        <w:tc>
          <w:tcPr>
            <w:tcW w:w="552" w:type="pct"/>
            <w:shd w:val="clear" w:color="auto" w:fill="auto"/>
            <w:noWrap/>
            <w:vAlign w:val="center"/>
            <w:hideMark/>
          </w:tcPr>
          <w:p w14:paraId="6C88288F" w14:textId="2BF7E9A1"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86,</w:t>
            </w:r>
            <w:r w:rsidR="00C75D50" w:rsidRPr="00A37BCE">
              <w:rPr>
                <w:rFonts w:cstheme="minorHAnsi"/>
                <w:color w:val="002060"/>
                <w:sz w:val="18"/>
                <w:lang w:val="sr-Cyrl-RS"/>
              </w:rPr>
              <w:t>6</w:t>
            </w:r>
          </w:p>
        </w:tc>
        <w:tc>
          <w:tcPr>
            <w:tcW w:w="636" w:type="pct"/>
            <w:shd w:val="clear" w:color="auto" w:fill="auto"/>
            <w:noWrap/>
            <w:vAlign w:val="center"/>
            <w:hideMark/>
          </w:tcPr>
          <w:p w14:paraId="3E88F8ED" w14:textId="13DD4999"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84,</w:t>
            </w:r>
            <w:r w:rsidR="00C75D50" w:rsidRPr="00A37BCE">
              <w:rPr>
                <w:rFonts w:cstheme="minorHAnsi"/>
                <w:color w:val="002060"/>
                <w:sz w:val="18"/>
                <w:lang w:val="sr-Cyrl-RS"/>
              </w:rPr>
              <w:t>8</w:t>
            </w:r>
          </w:p>
        </w:tc>
        <w:tc>
          <w:tcPr>
            <w:tcW w:w="636" w:type="pct"/>
            <w:shd w:val="clear" w:color="auto" w:fill="auto"/>
            <w:noWrap/>
            <w:vAlign w:val="center"/>
            <w:hideMark/>
          </w:tcPr>
          <w:p w14:paraId="27C2630E" w14:textId="760E73A6"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82,</w:t>
            </w:r>
            <w:r w:rsidR="00C75D50" w:rsidRPr="00A37BCE">
              <w:rPr>
                <w:rFonts w:cstheme="minorHAnsi"/>
                <w:color w:val="002060"/>
                <w:sz w:val="18"/>
                <w:lang w:val="sr-Cyrl-RS"/>
              </w:rPr>
              <w:t>8</w:t>
            </w:r>
          </w:p>
        </w:tc>
        <w:tc>
          <w:tcPr>
            <w:tcW w:w="638" w:type="pct"/>
            <w:shd w:val="clear" w:color="auto" w:fill="auto"/>
            <w:noWrap/>
            <w:vAlign w:val="center"/>
            <w:hideMark/>
          </w:tcPr>
          <w:p w14:paraId="675EEA73" w14:textId="1A3DF959"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80,</w:t>
            </w:r>
            <w:r w:rsidR="00C75D50" w:rsidRPr="00A37BCE">
              <w:rPr>
                <w:rFonts w:cstheme="minorHAnsi"/>
                <w:color w:val="002060"/>
                <w:sz w:val="18"/>
                <w:lang w:val="sr-Cyrl-RS"/>
              </w:rPr>
              <w:t>6</w:t>
            </w:r>
          </w:p>
        </w:tc>
      </w:tr>
      <w:tr w:rsidR="00C42357" w:rsidRPr="00A37BCE" w14:paraId="1B49B3AF" w14:textId="77777777" w:rsidTr="00AE15F8">
        <w:trPr>
          <w:trHeight w:val="300"/>
        </w:trPr>
        <w:tc>
          <w:tcPr>
            <w:tcW w:w="2537" w:type="pct"/>
            <w:tcBorders>
              <w:bottom w:val="single" w:sz="4" w:space="0" w:color="002060"/>
            </w:tcBorders>
            <w:shd w:val="clear" w:color="auto" w:fill="auto"/>
            <w:noWrap/>
            <w:vAlign w:val="bottom"/>
            <w:hideMark/>
          </w:tcPr>
          <w:p w14:paraId="3ECE1631" w14:textId="39E8BDAC" w:rsidR="00C75D50" w:rsidRPr="00A37BCE" w:rsidRDefault="00C75D50" w:rsidP="002C1D90">
            <w:pPr>
              <w:spacing w:after="0" w:line="240" w:lineRule="auto"/>
              <w:ind w:left="255" w:hanging="360"/>
              <w:jc w:val="both"/>
              <w:rPr>
                <w:rFonts w:cstheme="minorHAnsi"/>
                <w:color w:val="002060"/>
                <w:sz w:val="18"/>
                <w:lang w:val="sr-Cyrl-RS"/>
              </w:rPr>
            </w:pPr>
            <w:r w:rsidRPr="00A37BCE">
              <w:rPr>
                <w:rFonts w:cstheme="minorHAnsi"/>
                <w:color w:val="002060"/>
                <w:sz w:val="18"/>
                <w:lang w:val="sr-Cyrl-RS"/>
              </w:rPr>
              <w:t>Салдо текућег рачуна, %</w:t>
            </w:r>
            <w:r w:rsidR="00302ADE" w:rsidRPr="00A37BCE">
              <w:rPr>
                <w:rFonts w:cstheme="minorHAnsi"/>
                <w:color w:val="002060"/>
                <w:sz w:val="18"/>
                <w:lang w:val="sr-Cyrl-RS"/>
              </w:rPr>
              <w:t xml:space="preserve"> </w:t>
            </w:r>
            <w:r w:rsidRPr="00A37BCE">
              <w:rPr>
                <w:rFonts w:cstheme="minorHAnsi"/>
                <w:color w:val="002060"/>
                <w:sz w:val="18"/>
                <w:lang w:val="sr-Cyrl-RS"/>
              </w:rPr>
              <w:t>БДП</w:t>
            </w:r>
          </w:p>
        </w:tc>
        <w:tc>
          <w:tcPr>
            <w:tcW w:w="552" w:type="pct"/>
            <w:tcBorders>
              <w:bottom w:val="single" w:sz="4" w:space="0" w:color="002060"/>
            </w:tcBorders>
            <w:shd w:val="clear" w:color="auto" w:fill="auto"/>
            <w:noWrap/>
            <w:vAlign w:val="center"/>
            <w:hideMark/>
          </w:tcPr>
          <w:p w14:paraId="033626A7" w14:textId="66464832"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3,</w:t>
            </w:r>
            <w:r w:rsidR="00C75D50" w:rsidRPr="00A37BCE">
              <w:rPr>
                <w:rFonts w:cstheme="minorHAnsi"/>
                <w:color w:val="002060"/>
                <w:sz w:val="18"/>
                <w:lang w:val="sr-Cyrl-RS"/>
              </w:rPr>
              <w:t>5</w:t>
            </w:r>
          </w:p>
        </w:tc>
        <w:tc>
          <w:tcPr>
            <w:tcW w:w="636" w:type="pct"/>
            <w:tcBorders>
              <w:bottom w:val="single" w:sz="4" w:space="0" w:color="002060"/>
            </w:tcBorders>
            <w:shd w:val="clear" w:color="auto" w:fill="auto"/>
            <w:noWrap/>
            <w:vAlign w:val="center"/>
            <w:hideMark/>
          </w:tcPr>
          <w:p w14:paraId="4F7587C5" w14:textId="130F5368"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3,</w:t>
            </w:r>
            <w:r w:rsidR="00C75D50" w:rsidRPr="00A37BCE">
              <w:rPr>
                <w:rFonts w:cstheme="minorHAnsi"/>
                <w:color w:val="002060"/>
                <w:sz w:val="18"/>
                <w:lang w:val="sr-Cyrl-RS"/>
              </w:rPr>
              <w:t>2</w:t>
            </w:r>
          </w:p>
        </w:tc>
        <w:tc>
          <w:tcPr>
            <w:tcW w:w="636" w:type="pct"/>
            <w:tcBorders>
              <w:bottom w:val="single" w:sz="4" w:space="0" w:color="002060"/>
            </w:tcBorders>
            <w:shd w:val="clear" w:color="auto" w:fill="auto"/>
            <w:noWrap/>
            <w:vAlign w:val="center"/>
            <w:hideMark/>
          </w:tcPr>
          <w:p w14:paraId="6AE665C3" w14:textId="4E807EFA"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2,</w:t>
            </w:r>
            <w:r w:rsidR="00C75D50" w:rsidRPr="00A37BCE">
              <w:rPr>
                <w:rFonts w:cstheme="minorHAnsi"/>
                <w:color w:val="002060"/>
                <w:sz w:val="18"/>
                <w:lang w:val="sr-Cyrl-RS"/>
              </w:rPr>
              <w:t>8</w:t>
            </w:r>
          </w:p>
        </w:tc>
        <w:tc>
          <w:tcPr>
            <w:tcW w:w="638" w:type="pct"/>
            <w:tcBorders>
              <w:bottom w:val="single" w:sz="4" w:space="0" w:color="002060"/>
            </w:tcBorders>
            <w:shd w:val="clear" w:color="auto" w:fill="auto"/>
            <w:noWrap/>
            <w:vAlign w:val="center"/>
            <w:hideMark/>
          </w:tcPr>
          <w:p w14:paraId="23DAC87A" w14:textId="1C68FEFA" w:rsidR="00C75D50" w:rsidRPr="00A37BCE" w:rsidRDefault="007A77AC" w:rsidP="002C1D90">
            <w:pPr>
              <w:spacing w:after="0" w:line="240" w:lineRule="auto"/>
              <w:ind w:left="255"/>
              <w:jc w:val="center"/>
              <w:rPr>
                <w:rFonts w:cstheme="minorHAnsi"/>
                <w:color w:val="002060"/>
                <w:sz w:val="18"/>
                <w:lang w:val="sr-Cyrl-RS"/>
              </w:rPr>
            </w:pPr>
            <w:r w:rsidRPr="00A37BCE">
              <w:rPr>
                <w:rFonts w:cstheme="minorHAnsi"/>
                <w:color w:val="002060"/>
                <w:sz w:val="18"/>
                <w:lang w:val="sr-Cyrl-RS"/>
              </w:rPr>
              <w:t>2,</w:t>
            </w:r>
            <w:r w:rsidR="00C75D50" w:rsidRPr="00A37BCE">
              <w:rPr>
                <w:rFonts w:cstheme="minorHAnsi"/>
                <w:color w:val="002060"/>
                <w:sz w:val="18"/>
                <w:lang w:val="sr-Cyrl-RS"/>
              </w:rPr>
              <w:t>8</w:t>
            </w:r>
          </w:p>
        </w:tc>
      </w:tr>
    </w:tbl>
    <w:p w14:paraId="24C31591" w14:textId="2BA6AD64" w:rsidR="00C75D50" w:rsidRPr="00A37BCE" w:rsidRDefault="00AE15F8" w:rsidP="00C75D50">
      <w:pPr>
        <w:jc w:val="both"/>
        <w:rPr>
          <w:rFonts w:cstheme="minorHAnsi"/>
          <w:bCs/>
          <w:color w:val="44546A" w:themeColor="text2"/>
          <w:sz w:val="20"/>
          <w:szCs w:val="72"/>
          <w:lang w:val="sr-Cyrl-RS"/>
        </w:rPr>
        <w:sectPr w:rsidR="00C75D50" w:rsidRPr="00A37BCE" w:rsidSect="00C75D50">
          <w:type w:val="continuous"/>
          <w:pgSz w:w="12240" w:h="15840"/>
          <w:pgMar w:top="1440" w:right="1440" w:bottom="1440" w:left="1440" w:header="720" w:footer="720" w:gutter="0"/>
          <w:cols w:space="720"/>
          <w:docGrid w:linePitch="360"/>
        </w:sectPr>
      </w:pPr>
      <w:r w:rsidRPr="00A37BCE">
        <w:rPr>
          <w:rFonts w:cstheme="minorHAnsi"/>
          <w:bCs/>
          <w:color w:val="44546A" w:themeColor="text2"/>
          <w:sz w:val="16"/>
          <w:szCs w:val="72"/>
          <w:lang w:val="sr-Cyrl-RS"/>
        </w:rPr>
        <w:t>Извор: Макроекономске пројекције стручњака ЕЦБ за подручје еврозоне, септембар 2018.</w:t>
      </w:r>
    </w:p>
    <w:p w14:paraId="66BBD7C8" w14:textId="2CB6BD85" w:rsidR="00DB17B8" w:rsidRPr="00A37BCE" w:rsidRDefault="00DB17B8" w:rsidP="00DB17B8">
      <w:pPr>
        <w:spacing w:after="120" w:line="276" w:lineRule="auto"/>
        <w:jc w:val="both"/>
        <w:rPr>
          <w:rFonts w:cstheme="minorHAnsi"/>
          <w:bCs/>
          <w:color w:val="44546A" w:themeColor="text2"/>
          <w:sz w:val="20"/>
          <w:szCs w:val="72"/>
          <w:lang w:val="sr-Cyrl-RS"/>
        </w:rPr>
      </w:pPr>
      <w:r w:rsidRPr="00A37BCE">
        <w:rPr>
          <w:rFonts w:cstheme="minorHAnsi"/>
          <w:bCs/>
          <w:color w:val="1F3864" w:themeColor="accent1" w:themeShade="80"/>
          <w:sz w:val="20"/>
          <w:szCs w:val="72"/>
          <w:lang w:val="sr-Cyrl-RS"/>
        </w:rPr>
        <w:lastRenderedPageBreak/>
        <w:t>Очекује се умеренији раст</w:t>
      </w:r>
      <w:r w:rsidR="00367B4C" w:rsidRPr="00A37BCE">
        <w:rPr>
          <w:rFonts w:cstheme="minorHAnsi"/>
          <w:bCs/>
          <w:color w:val="1F3864" w:themeColor="accent1" w:themeShade="80"/>
          <w:sz w:val="20"/>
          <w:szCs w:val="72"/>
          <w:lang w:val="sr-Cyrl-RS"/>
        </w:rPr>
        <w:t xml:space="preserve"> </w:t>
      </w:r>
      <w:r w:rsidR="00A37BCE" w:rsidRPr="00A37BCE">
        <w:rPr>
          <w:rFonts w:cstheme="minorHAnsi"/>
          <w:bCs/>
          <w:color w:val="1F3864" w:themeColor="accent1" w:themeShade="80"/>
          <w:sz w:val="20"/>
          <w:szCs w:val="72"/>
          <w:lang w:val="sr-Cyrl-RS"/>
        </w:rPr>
        <w:t>контингента</w:t>
      </w:r>
      <w:r w:rsidR="00367B4C" w:rsidRPr="00A37BCE">
        <w:rPr>
          <w:rFonts w:cstheme="minorHAnsi"/>
          <w:bCs/>
          <w:color w:val="1F3864" w:themeColor="accent1" w:themeShade="80"/>
          <w:sz w:val="20"/>
          <w:szCs w:val="72"/>
          <w:lang w:val="sr-Cyrl-RS"/>
        </w:rPr>
        <w:t xml:space="preserve"> активног становништва, </w:t>
      </w:r>
      <w:r w:rsidRPr="00A37BCE">
        <w:rPr>
          <w:rFonts w:cstheme="minorHAnsi"/>
          <w:bCs/>
          <w:color w:val="44546A" w:themeColor="text2"/>
          <w:sz w:val="20"/>
          <w:szCs w:val="72"/>
          <w:lang w:val="sr-Cyrl-RS"/>
        </w:rPr>
        <w:t>будући да ће ефекти миграциј</w:t>
      </w:r>
      <w:r w:rsidR="00B84377" w:rsidRPr="00A37BCE">
        <w:rPr>
          <w:rFonts w:cstheme="minorHAnsi"/>
          <w:bCs/>
          <w:color w:val="44546A" w:themeColor="text2"/>
          <w:sz w:val="20"/>
          <w:szCs w:val="72"/>
          <w:lang w:val="sr-Cyrl-RS"/>
        </w:rPr>
        <w:t>a и интеграције миграната</w:t>
      </w:r>
      <w:r w:rsidRPr="00A37BCE">
        <w:rPr>
          <w:rFonts w:cstheme="minorHAnsi"/>
          <w:bCs/>
          <w:color w:val="44546A" w:themeColor="text2"/>
          <w:sz w:val="20"/>
          <w:szCs w:val="72"/>
          <w:lang w:val="sr-Cyrl-RS"/>
        </w:rPr>
        <w:t xml:space="preserve"> би</w:t>
      </w:r>
      <w:r w:rsidR="00367B4C" w:rsidRPr="00A37BCE">
        <w:rPr>
          <w:rFonts w:cstheme="minorHAnsi"/>
          <w:bCs/>
          <w:color w:val="44546A" w:themeColor="text2"/>
          <w:sz w:val="20"/>
          <w:szCs w:val="72"/>
          <w:lang w:val="sr-Cyrl-RS"/>
        </w:rPr>
        <w:t>ти умањени старењем популације</w:t>
      </w:r>
      <w:r w:rsidRPr="00A37BCE">
        <w:rPr>
          <w:rFonts w:cstheme="minorHAnsi"/>
          <w:bCs/>
          <w:color w:val="44546A" w:themeColor="text2"/>
          <w:sz w:val="20"/>
          <w:szCs w:val="72"/>
          <w:lang w:val="sr-Cyrl-RS"/>
        </w:rPr>
        <w:t>. Имајући то у виду, предвиђа се</w:t>
      </w:r>
      <w:r w:rsidR="00B84377" w:rsidRPr="00A37BCE">
        <w:rPr>
          <w:rFonts w:cstheme="minorHAnsi"/>
          <w:bCs/>
          <w:color w:val="44546A" w:themeColor="text2"/>
          <w:sz w:val="20"/>
          <w:szCs w:val="72"/>
          <w:lang w:val="sr-Cyrl-RS"/>
        </w:rPr>
        <w:t xml:space="preserve"> </w:t>
      </w:r>
      <w:r w:rsidR="00B84377" w:rsidRPr="00A37BCE">
        <w:rPr>
          <w:rFonts w:cstheme="minorHAnsi"/>
          <w:bCs/>
          <w:color w:val="44546A" w:themeColor="text2"/>
          <w:sz w:val="20"/>
          <w:szCs w:val="72"/>
          <w:lang w:val="sr-Cyrl-RS"/>
        </w:rPr>
        <w:lastRenderedPageBreak/>
        <w:t xml:space="preserve">смањење стопе незапослености </w:t>
      </w:r>
      <w:r w:rsidRPr="00A37BCE">
        <w:rPr>
          <w:rFonts w:cstheme="minorHAnsi"/>
          <w:bCs/>
          <w:color w:val="44546A" w:themeColor="text2"/>
          <w:sz w:val="20"/>
          <w:szCs w:val="72"/>
          <w:lang w:val="sr-Cyrl-RS"/>
        </w:rPr>
        <w:t>са 8,3% у другом кварталу 2018. године (што је најнижа стопа од 2008. године) на 7,4% у 20</w:t>
      </w:r>
      <w:r w:rsidR="00C60BFB" w:rsidRPr="00A37BCE">
        <w:rPr>
          <w:rFonts w:cstheme="minorHAnsi"/>
          <w:bCs/>
          <w:color w:val="44546A" w:themeColor="text2"/>
          <w:sz w:val="20"/>
          <w:szCs w:val="72"/>
          <w:lang w:val="sr-Cyrl-RS"/>
        </w:rPr>
        <w:t xml:space="preserve">20. години. </w:t>
      </w:r>
      <w:r w:rsidR="006047AC" w:rsidRPr="00A37BCE">
        <w:rPr>
          <w:rFonts w:cstheme="minorHAnsi"/>
          <w:bCs/>
          <w:color w:val="1F3864" w:themeColor="accent1" w:themeShade="80"/>
          <w:sz w:val="20"/>
          <w:szCs w:val="72"/>
          <w:lang w:val="sr-Cyrl-RS"/>
        </w:rPr>
        <w:t>Мањак</w:t>
      </w:r>
      <w:r w:rsidR="00B84377" w:rsidRPr="00A37BCE">
        <w:rPr>
          <w:rFonts w:cstheme="minorHAnsi"/>
          <w:bCs/>
          <w:color w:val="1F3864" w:themeColor="accent1" w:themeShade="80"/>
          <w:sz w:val="20"/>
          <w:szCs w:val="72"/>
          <w:lang w:val="sr-Cyrl-RS"/>
        </w:rPr>
        <w:t xml:space="preserve"> </w:t>
      </w:r>
      <w:r w:rsidR="00B84377" w:rsidRPr="00A37BCE">
        <w:rPr>
          <w:rFonts w:cstheme="minorHAnsi"/>
          <w:bCs/>
          <w:color w:val="44546A" w:themeColor="text2"/>
          <w:sz w:val="20"/>
          <w:szCs w:val="72"/>
          <w:lang w:val="sr-Cyrl-RS"/>
        </w:rPr>
        <w:t>радне снаге</w:t>
      </w:r>
      <w:r w:rsidR="00B84377" w:rsidRPr="00231D59">
        <w:rPr>
          <w:rFonts w:cstheme="minorHAnsi"/>
          <w:bCs/>
          <w:color w:val="44546A" w:themeColor="text2"/>
          <w:sz w:val="20"/>
          <w:szCs w:val="72"/>
          <w:lang w:val="sr-Cyrl-RS"/>
        </w:rPr>
        <w:t xml:space="preserve"> </w:t>
      </w:r>
      <w:r w:rsidR="00B84377" w:rsidRPr="00A37BCE">
        <w:rPr>
          <w:rFonts w:cstheme="minorHAnsi"/>
          <w:bCs/>
          <w:color w:val="44546A" w:themeColor="text2"/>
          <w:sz w:val="20"/>
          <w:szCs w:val="72"/>
          <w:lang w:val="sr-Cyrl-RS"/>
        </w:rPr>
        <w:t xml:space="preserve">у неким земљама </w:t>
      </w:r>
      <w:r w:rsidR="00D93F19" w:rsidRPr="00A37BCE">
        <w:rPr>
          <w:rFonts w:cstheme="minorHAnsi"/>
          <w:bCs/>
          <w:color w:val="44546A" w:themeColor="text2"/>
          <w:sz w:val="20"/>
          <w:szCs w:val="72"/>
          <w:lang w:val="sr-Cyrl-RS"/>
        </w:rPr>
        <w:t>постај</w:t>
      </w:r>
      <w:r w:rsidR="008069CF" w:rsidRPr="00A37BCE">
        <w:rPr>
          <w:rFonts w:cstheme="minorHAnsi"/>
          <w:bCs/>
          <w:color w:val="44546A" w:themeColor="text2"/>
          <w:sz w:val="20"/>
          <w:szCs w:val="72"/>
          <w:lang w:val="sr-Cyrl-RS"/>
        </w:rPr>
        <w:t>е</w:t>
      </w:r>
      <w:r w:rsidR="00D93F19" w:rsidRPr="00A37BCE">
        <w:rPr>
          <w:rFonts w:cstheme="minorHAnsi"/>
          <w:bCs/>
          <w:color w:val="44546A" w:themeColor="text2"/>
          <w:sz w:val="20"/>
          <w:szCs w:val="72"/>
          <w:lang w:val="sr-Cyrl-RS"/>
        </w:rPr>
        <w:t xml:space="preserve"> све </w:t>
      </w:r>
      <w:r w:rsidR="00D93F19" w:rsidRPr="00A37BCE">
        <w:rPr>
          <w:rFonts w:cstheme="minorHAnsi"/>
          <w:bCs/>
          <w:color w:val="44546A" w:themeColor="text2"/>
          <w:sz w:val="20"/>
          <w:szCs w:val="72"/>
          <w:lang w:val="sr-Cyrl-RS"/>
        </w:rPr>
        <w:lastRenderedPageBreak/>
        <w:t>озбиљнији проблем</w:t>
      </w:r>
      <w:r w:rsidR="008069CF" w:rsidRPr="00A37BCE">
        <w:rPr>
          <w:rFonts w:cstheme="minorHAnsi"/>
          <w:bCs/>
          <w:color w:val="44546A" w:themeColor="text2"/>
          <w:sz w:val="20"/>
          <w:szCs w:val="72"/>
          <w:lang w:val="sr-Cyrl-RS"/>
        </w:rPr>
        <w:t>,</w:t>
      </w:r>
      <w:r w:rsidR="00D93F19" w:rsidRPr="00A37BCE">
        <w:rPr>
          <w:rFonts w:cstheme="minorHAnsi"/>
          <w:bCs/>
          <w:color w:val="44546A" w:themeColor="text2"/>
          <w:sz w:val="20"/>
          <w:szCs w:val="72"/>
          <w:lang w:val="sr-Cyrl-RS"/>
        </w:rPr>
        <w:t xml:space="preserve"> који ће </w:t>
      </w:r>
      <w:r w:rsidR="00B84377" w:rsidRPr="00A37BCE">
        <w:rPr>
          <w:rFonts w:cstheme="minorHAnsi"/>
          <w:bCs/>
          <w:color w:val="44546A" w:themeColor="text2"/>
          <w:sz w:val="20"/>
          <w:szCs w:val="72"/>
          <w:lang w:val="sr-Cyrl-RS"/>
        </w:rPr>
        <w:t>имати за последицу спорији</w:t>
      </w:r>
      <w:r w:rsidR="00735A07" w:rsidRPr="00A37BCE">
        <w:rPr>
          <w:rFonts w:cstheme="minorHAnsi"/>
          <w:bCs/>
          <w:color w:val="44546A" w:themeColor="text2"/>
          <w:sz w:val="20"/>
          <w:szCs w:val="72"/>
          <w:lang w:val="sr-Cyrl-RS"/>
        </w:rPr>
        <w:t xml:space="preserve"> </w:t>
      </w:r>
      <w:r w:rsidR="00B84377" w:rsidRPr="00A37BCE">
        <w:rPr>
          <w:rFonts w:cstheme="minorHAnsi"/>
          <w:bCs/>
          <w:color w:val="44546A" w:themeColor="text2"/>
          <w:sz w:val="20"/>
          <w:szCs w:val="72"/>
          <w:lang w:val="sr-Cyrl-RS"/>
        </w:rPr>
        <w:t>темпо</w:t>
      </w:r>
      <w:r w:rsidRPr="00A37BCE">
        <w:rPr>
          <w:rFonts w:cstheme="minorHAnsi"/>
          <w:bCs/>
          <w:color w:val="44546A" w:themeColor="text2"/>
          <w:sz w:val="20"/>
          <w:szCs w:val="72"/>
          <w:lang w:val="sr-Cyrl-RS"/>
        </w:rPr>
        <w:t xml:space="preserve"> раст</w:t>
      </w:r>
      <w:r w:rsidR="00B84377" w:rsidRPr="00A37BCE">
        <w:rPr>
          <w:rFonts w:cstheme="minorHAnsi"/>
          <w:bCs/>
          <w:color w:val="44546A" w:themeColor="text2"/>
          <w:sz w:val="20"/>
          <w:szCs w:val="72"/>
          <w:lang w:val="sr-Cyrl-RS"/>
        </w:rPr>
        <w:t xml:space="preserve">а запослености. </w:t>
      </w:r>
      <w:r w:rsidR="00FA1F2E" w:rsidRPr="00A37BCE">
        <w:rPr>
          <w:rFonts w:cstheme="minorHAnsi"/>
          <w:bCs/>
          <w:color w:val="44546A" w:themeColor="text2"/>
          <w:sz w:val="20"/>
          <w:szCs w:val="72"/>
          <w:lang w:val="sr-Cyrl-RS"/>
        </w:rPr>
        <w:t>Продуктивност рада бележи успоравање у првој половини 2018. године али се</w:t>
      </w:r>
      <w:r w:rsidRPr="00A37BCE">
        <w:rPr>
          <w:rFonts w:cstheme="minorHAnsi"/>
          <w:bCs/>
          <w:color w:val="44546A" w:themeColor="text2"/>
          <w:sz w:val="20"/>
          <w:szCs w:val="72"/>
          <w:lang w:val="sr-Cyrl-RS"/>
        </w:rPr>
        <w:t xml:space="preserve"> очекује се да ће </w:t>
      </w:r>
      <w:r w:rsidR="00FA1F2E" w:rsidRPr="00A37BCE">
        <w:rPr>
          <w:rFonts w:cstheme="minorHAnsi"/>
          <w:bCs/>
          <w:color w:val="44546A" w:themeColor="text2"/>
          <w:sz w:val="20"/>
          <w:szCs w:val="72"/>
          <w:lang w:val="sr-Cyrl-RS"/>
        </w:rPr>
        <w:t>благо убрзати у последњим месецима</w:t>
      </w:r>
      <w:r w:rsidR="00BC3903" w:rsidRPr="00A37BCE">
        <w:rPr>
          <w:rFonts w:cstheme="minorHAnsi"/>
          <w:bCs/>
          <w:color w:val="44546A" w:themeColor="text2"/>
          <w:sz w:val="20"/>
          <w:szCs w:val="72"/>
          <w:lang w:val="sr-Cyrl-RS"/>
        </w:rPr>
        <w:t>,</w:t>
      </w:r>
      <w:r w:rsidR="00CC108C" w:rsidRPr="00A37BCE">
        <w:rPr>
          <w:rFonts w:cstheme="minorHAnsi"/>
          <w:bCs/>
          <w:color w:val="44546A" w:themeColor="text2"/>
          <w:sz w:val="20"/>
          <w:szCs w:val="72"/>
          <w:lang w:val="sr-Cyrl-RS"/>
        </w:rPr>
        <w:t xml:space="preserve"> а затим достићи п</w:t>
      </w:r>
      <w:r w:rsidR="00FA1F2E" w:rsidRPr="00A37BCE">
        <w:rPr>
          <w:rFonts w:cstheme="minorHAnsi"/>
          <w:bCs/>
          <w:color w:val="44546A" w:themeColor="text2"/>
          <w:sz w:val="20"/>
          <w:szCs w:val="72"/>
          <w:lang w:val="sr-Cyrl-RS"/>
        </w:rPr>
        <w:t xml:space="preserve">реткризни ниво </w:t>
      </w:r>
      <w:r w:rsidRPr="00A37BCE">
        <w:rPr>
          <w:rFonts w:cstheme="minorHAnsi"/>
          <w:bCs/>
          <w:color w:val="44546A" w:themeColor="text2"/>
          <w:sz w:val="20"/>
          <w:szCs w:val="72"/>
          <w:lang w:val="sr-Cyrl-RS"/>
        </w:rPr>
        <w:t xml:space="preserve">до краја 2020. године. </w:t>
      </w:r>
      <w:r w:rsidR="0093197D" w:rsidRPr="00A37BCE">
        <w:rPr>
          <w:rFonts w:cstheme="minorHAnsi"/>
          <w:bCs/>
          <w:color w:val="44546A" w:themeColor="text2"/>
          <w:sz w:val="20"/>
          <w:szCs w:val="72"/>
          <w:lang w:val="sr-Cyrl-RS"/>
        </w:rPr>
        <w:t xml:space="preserve">Пројектована је </w:t>
      </w:r>
      <w:r w:rsidRPr="00A37BCE">
        <w:rPr>
          <w:rFonts w:cstheme="minorHAnsi"/>
          <w:bCs/>
          <w:color w:val="44546A" w:themeColor="text2"/>
          <w:sz w:val="20"/>
          <w:szCs w:val="72"/>
          <w:lang w:val="sr-Cyrl-RS"/>
        </w:rPr>
        <w:t>просечна стопа инфлације</w:t>
      </w:r>
      <w:r w:rsidR="0093197D" w:rsidRPr="00A37BCE">
        <w:rPr>
          <w:rFonts w:cstheme="minorHAnsi"/>
          <w:bCs/>
          <w:color w:val="44546A" w:themeColor="text2"/>
          <w:sz w:val="20"/>
          <w:szCs w:val="72"/>
          <w:lang w:val="sr-Cyrl-RS"/>
        </w:rPr>
        <w:t xml:space="preserve"> од 1,7% за сваку</w:t>
      </w:r>
      <w:r w:rsidRPr="00A37BCE">
        <w:rPr>
          <w:rFonts w:cstheme="minorHAnsi"/>
          <w:bCs/>
          <w:color w:val="44546A" w:themeColor="text2"/>
          <w:sz w:val="20"/>
          <w:szCs w:val="72"/>
          <w:lang w:val="sr-Cyrl-RS"/>
        </w:rPr>
        <w:t xml:space="preserve"> години периода пројекције, уз могућност </w:t>
      </w:r>
      <w:r w:rsidR="006047AC" w:rsidRPr="00A37BCE">
        <w:rPr>
          <w:rFonts w:cstheme="minorHAnsi"/>
          <w:bCs/>
          <w:color w:val="44546A" w:themeColor="text2"/>
          <w:sz w:val="20"/>
          <w:szCs w:val="72"/>
          <w:lang w:val="sr-Cyrl-RS"/>
        </w:rPr>
        <w:t xml:space="preserve">изражене волатилности </w:t>
      </w:r>
      <w:r w:rsidRPr="00A37BCE">
        <w:rPr>
          <w:rFonts w:cstheme="minorHAnsi"/>
          <w:bCs/>
          <w:color w:val="44546A" w:themeColor="text2"/>
          <w:sz w:val="20"/>
          <w:szCs w:val="72"/>
          <w:lang w:val="sr-Cyrl-RS"/>
        </w:rPr>
        <w:t>на кварталном нивоу</w:t>
      </w:r>
      <w:r w:rsidR="00912C72" w:rsidRPr="00A37BCE">
        <w:rPr>
          <w:rFonts w:cstheme="minorHAnsi"/>
          <w:bCs/>
          <w:color w:val="44546A" w:themeColor="text2"/>
          <w:sz w:val="20"/>
          <w:szCs w:val="72"/>
          <w:lang w:val="sr-Cyrl-RS"/>
        </w:rPr>
        <w:t>. Стабилно кретање инфлације</w:t>
      </w:r>
      <w:r w:rsidR="00146101" w:rsidRPr="00A37BCE">
        <w:rPr>
          <w:rFonts w:cstheme="minorHAnsi"/>
          <w:bCs/>
          <w:color w:val="44546A" w:themeColor="text2"/>
          <w:sz w:val="20"/>
          <w:szCs w:val="72"/>
          <w:lang w:val="sr-Cyrl-RS"/>
        </w:rPr>
        <w:t xml:space="preserve"> биће резултат</w:t>
      </w:r>
      <w:r w:rsidR="00912C72" w:rsidRPr="00A37BCE">
        <w:rPr>
          <w:rFonts w:cstheme="minorHAnsi"/>
          <w:bCs/>
          <w:color w:val="44546A" w:themeColor="text2"/>
          <w:sz w:val="20"/>
          <w:szCs w:val="72"/>
          <w:lang w:val="sr-Cyrl-RS"/>
        </w:rPr>
        <w:t xml:space="preserve"> уједначени</w:t>
      </w:r>
      <w:r w:rsidR="00146101" w:rsidRPr="00A37BCE">
        <w:rPr>
          <w:rFonts w:cstheme="minorHAnsi"/>
          <w:bCs/>
          <w:color w:val="44546A" w:themeColor="text2"/>
          <w:sz w:val="20"/>
          <w:szCs w:val="72"/>
          <w:lang w:val="sr-Cyrl-RS"/>
        </w:rPr>
        <w:t>х</w:t>
      </w:r>
      <w:r w:rsidR="00912C72" w:rsidRPr="00A37BCE">
        <w:rPr>
          <w:rFonts w:cstheme="minorHAnsi"/>
          <w:bCs/>
          <w:color w:val="44546A" w:themeColor="text2"/>
          <w:sz w:val="20"/>
          <w:szCs w:val="72"/>
          <w:lang w:val="sr-Cyrl-RS"/>
        </w:rPr>
        <w:t xml:space="preserve"> дефлаторни</w:t>
      </w:r>
      <w:r w:rsidR="00146101" w:rsidRPr="00A37BCE">
        <w:rPr>
          <w:rFonts w:cstheme="minorHAnsi"/>
          <w:bCs/>
          <w:color w:val="44546A" w:themeColor="text2"/>
          <w:sz w:val="20"/>
          <w:szCs w:val="72"/>
          <w:lang w:val="sr-Cyrl-RS"/>
        </w:rPr>
        <w:t>х</w:t>
      </w:r>
      <w:r w:rsidR="00912C72" w:rsidRPr="00A37BCE">
        <w:rPr>
          <w:rFonts w:cstheme="minorHAnsi"/>
          <w:bCs/>
          <w:color w:val="44546A" w:themeColor="text2"/>
          <w:sz w:val="20"/>
          <w:szCs w:val="72"/>
          <w:lang w:val="sr-Cyrl-RS"/>
        </w:rPr>
        <w:t xml:space="preserve"> и инфлаторни</w:t>
      </w:r>
      <w:r w:rsidR="00146101" w:rsidRPr="00A37BCE">
        <w:rPr>
          <w:rFonts w:cstheme="minorHAnsi"/>
          <w:bCs/>
          <w:color w:val="44546A" w:themeColor="text2"/>
          <w:sz w:val="20"/>
          <w:szCs w:val="72"/>
          <w:lang w:val="sr-Cyrl-RS"/>
        </w:rPr>
        <w:t>х</w:t>
      </w:r>
      <w:r w:rsidR="00912C72" w:rsidRPr="00A37BCE">
        <w:rPr>
          <w:rFonts w:cstheme="minorHAnsi"/>
          <w:bCs/>
          <w:color w:val="44546A" w:themeColor="text2"/>
          <w:sz w:val="20"/>
          <w:szCs w:val="72"/>
          <w:lang w:val="sr-Cyrl-RS"/>
        </w:rPr>
        <w:t xml:space="preserve"> притис</w:t>
      </w:r>
      <w:r w:rsidR="00146101" w:rsidRPr="00A37BCE">
        <w:rPr>
          <w:rFonts w:cstheme="minorHAnsi"/>
          <w:bCs/>
          <w:color w:val="44546A" w:themeColor="text2"/>
          <w:sz w:val="20"/>
          <w:szCs w:val="72"/>
          <w:lang w:val="sr-Cyrl-RS"/>
        </w:rPr>
        <w:t>ака</w:t>
      </w:r>
      <w:r w:rsidR="00912C72" w:rsidRPr="00A37BCE">
        <w:rPr>
          <w:rFonts w:cstheme="minorHAnsi"/>
          <w:bCs/>
          <w:color w:val="44546A" w:themeColor="text2"/>
          <w:sz w:val="20"/>
          <w:szCs w:val="72"/>
          <w:lang w:val="sr-Cyrl-RS"/>
        </w:rPr>
        <w:t xml:space="preserve">. Док </w:t>
      </w:r>
      <w:r w:rsidR="00146101" w:rsidRPr="00A37BCE">
        <w:rPr>
          <w:rFonts w:cstheme="minorHAnsi"/>
          <w:bCs/>
          <w:color w:val="44546A" w:themeColor="text2"/>
          <w:sz w:val="20"/>
          <w:szCs w:val="72"/>
          <w:lang w:val="sr-Cyrl-RS"/>
        </w:rPr>
        <w:t>се</w:t>
      </w:r>
      <w:r w:rsidR="00912C72" w:rsidRPr="00A37BCE">
        <w:rPr>
          <w:rFonts w:cstheme="minorHAnsi"/>
          <w:bCs/>
          <w:color w:val="44546A" w:themeColor="text2"/>
          <w:sz w:val="20"/>
          <w:szCs w:val="72"/>
          <w:lang w:val="sr-Cyrl-RS"/>
        </w:rPr>
        <w:t xml:space="preserve"> дезинфлаторн</w:t>
      </w:r>
      <w:r w:rsidR="00146101" w:rsidRPr="00A37BCE">
        <w:rPr>
          <w:rFonts w:cstheme="minorHAnsi"/>
          <w:bCs/>
          <w:color w:val="44546A" w:themeColor="text2"/>
          <w:sz w:val="20"/>
          <w:szCs w:val="72"/>
          <w:lang w:val="sr-Cyrl-RS"/>
        </w:rPr>
        <w:t xml:space="preserve">и утицај очекује од </w:t>
      </w:r>
      <w:r w:rsidRPr="00A37BCE">
        <w:rPr>
          <w:rFonts w:cstheme="minorHAnsi"/>
          <w:bCs/>
          <w:color w:val="44546A" w:themeColor="text2"/>
          <w:sz w:val="20"/>
          <w:szCs w:val="72"/>
          <w:lang w:val="sr-Cyrl-RS"/>
        </w:rPr>
        <w:t>сма</w:t>
      </w:r>
      <w:r w:rsidR="00912C72" w:rsidRPr="00A37BCE">
        <w:rPr>
          <w:rFonts w:cstheme="minorHAnsi"/>
          <w:bCs/>
          <w:color w:val="44546A" w:themeColor="text2"/>
          <w:sz w:val="20"/>
          <w:szCs w:val="72"/>
          <w:lang w:val="sr-Cyrl-RS"/>
        </w:rPr>
        <w:t>њења цена нафте</w:t>
      </w:r>
      <w:r w:rsidR="00146101" w:rsidRPr="00A37BCE">
        <w:rPr>
          <w:rFonts w:cstheme="minorHAnsi"/>
          <w:bCs/>
          <w:color w:val="44546A" w:themeColor="text2"/>
          <w:sz w:val="20"/>
          <w:szCs w:val="72"/>
          <w:lang w:val="sr-Cyrl-RS"/>
        </w:rPr>
        <w:t xml:space="preserve">, инфлаторни ефекат ће дати базна инфлација услед привредног раста изнад потенцијалног и последично бржег повећања зарада. Раст базне инфлације ће убрзати </w:t>
      </w:r>
      <w:r w:rsidRPr="00A37BCE">
        <w:rPr>
          <w:rFonts w:cstheme="minorHAnsi"/>
          <w:bCs/>
          <w:color w:val="44546A" w:themeColor="text2"/>
          <w:sz w:val="20"/>
          <w:szCs w:val="72"/>
          <w:lang w:val="sr-Cyrl-RS"/>
        </w:rPr>
        <w:t>са 1,1% у 2018</w:t>
      </w:r>
      <w:r w:rsidR="00FA6506" w:rsidRPr="00A37BCE">
        <w:rPr>
          <w:rFonts w:cstheme="minorHAnsi"/>
          <w:bCs/>
          <w:color w:val="44546A" w:themeColor="text2"/>
          <w:sz w:val="20"/>
          <w:szCs w:val="72"/>
          <w:lang w:val="sr-Cyrl-RS"/>
        </w:rPr>
        <w:t>. години на 1,8% у 2020. години. Значајан</w:t>
      </w:r>
      <w:r w:rsidRPr="00A37BCE">
        <w:rPr>
          <w:rFonts w:cstheme="minorHAnsi"/>
          <w:bCs/>
          <w:color w:val="44546A" w:themeColor="text2"/>
          <w:sz w:val="20"/>
          <w:szCs w:val="72"/>
          <w:lang w:val="sr-Cyrl-RS"/>
        </w:rPr>
        <w:t xml:space="preserve"> раст зарада у овом периоду</w:t>
      </w:r>
      <w:r w:rsidR="00FA6506" w:rsidRPr="00A37BCE">
        <w:rPr>
          <w:rFonts w:cstheme="minorHAnsi"/>
          <w:bCs/>
          <w:color w:val="44546A" w:themeColor="text2"/>
          <w:sz w:val="20"/>
          <w:szCs w:val="72"/>
          <w:lang w:val="sr-Cyrl-RS"/>
        </w:rPr>
        <w:t xml:space="preserve"> биће детерми</w:t>
      </w:r>
      <w:r w:rsidR="008069CF" w:rsidRPr="00A37BCE">
        <w:rPr>
          <w:rFonts w:cstheme="minorHAnsi"/>
          <w:bCs/>
          <w:color w:val="44546A" w:themeColor="text2"/>
          <w:sz w:val="20"/>
          <w:szCs w:val="72"/>
          <w:lang w:val="sr-Cyrl-RS"/>
        </w:rPr>
        <w:t>нисан повећањем продуктивности,</w:t>
      </w:r>
      <w:r w:rsidR="00FA6506" w:rsidRPr="00A37BCE">
        <w:rPr>
          <w:rFonts w:cstheme="minorHAnsi"/>
          <w:bCs/>
          <w:color w:val="44546A" w:themeColor="text2"/>
          <w:sz w:val="20"/>
          <w:szCs w:val="72"/>
          <w:lang w:val="sr-Cyrl-RS"/>
        </w:rPr>
        <w:t xml:space="preserve"> мањом понудом радне снаге и побољшаним</w:t>
      </w:r>
      <w:r w:rsidRPr="00A37BCE">
        <w:rPr>
          <w:rFonts w:cstheme="minorHAnsi"/>
          <w:bCs/>
          <w:color w:val="44546A" w:themeColor="text2"/>
          <w:sz w:val="20"/>
          <w:szCs w:val="72"/>
          <w:lang w:val="sr-Cyrl-RS"/>
        </w:rPr>
        <w:t xml:space="preserve"> </w:t>
      </w:r>
      <w:r w:rsidR="00FA6506" w:rsidRPr="00A37BCE">
        <w:rPr>
          <w:rFonts w:cstheme="minorHAnsi"/>
          <w:bCs/>
          <w:color w:val="44546A" w:themeColor="text2"/>
          <w:sz w:val="20"/>
          <w:szCs w:val="72"/>
          <w:lang w:val="sr-Cyrl-RS"/>
        </w:rPr>
        <w:t>условима</w:t>
      </w:r>
      <w:r w:rsidRPr="00A37BCE">
        <w:rPr>
          <w:rFonts w:cstheme="minorHAnsi"/>
          <w:bCs/>
          <w:color w:val="44546A" w:themeColor="text2"/>
          <w:sz w:val="20"/>
          <w:szCs w:val="72"/>
          <w:lang w:val="sr-Cyrl-RS"/>
        </w:rPr>
        <w:t xml:space="preserve"> на тржишт</w:t>
      </w:r>
      <w:r w:rsidR="00C60BFB" w:rsidRPr="00A37BCE">
        <w:rPr>
          <w:rFonts w:cstheme="minorHAnsi"/>
          <w:bCs/>
          <w:color w:val="44546A" w:themeColor="text2"/>
          <w:sz w:val="20"/>
          <w:szCs w:val="72"/>
          <w:lang w:val="sr-Cyrl-RS"/>
        </w:rPr>
        <w:t>у рада.</w:t>
      </w:r>
      <w:r w:rsidR="003848B5" w:rsidRPr="00A37BCE">
        <w:rPr>
          <w:rFonts w:cstheme="minorHAnsi"/>
          <w:bCs/>
          <w:color w:val="44546A" w:themeColor="text2"/>
          <w:sz w:val="20"/>
          <w:szCs w:val="72"/>
          <w:lang w:val="sr-Cyrl-RS"/>
        </w:rPr>
        <w:t xml:space="preserve"> У</w:t>
      </w:r>
      <w:r w:rsidR="006047AC" w:rsidRPr="00A37BCE">
        <w:rPr>
          <w:rFonts w:cstheme="minorHAnsi"/>
          <w:bCs/>
          <w:color w:val="44546A" w:themeColor="text2"/>
          <w:sz w:val="20"/>
          <w:szCs w:val="72"/>
          <w:lang w:val="sr-Cyrl-RS"/>
        </w:rPr>
        <w:t xml:space="preserve"> наредне три године се не очекује инфлаторно дејство профитних </w:t>
      </w:r>
      <w:r w:rsidR="006047AC" w:rsidRPr="00A37BCE">
        <w:rPr>
          <w:rFonts w:cstheme="minorHAnsi"/>
          <w:bCs/>
          <w:color w:val="44546A" w:themeColor="text2"/>
          <w:sz w:val="20"/>
          <w:szCs w:val="72"/>
          <w:lang w:val="sr-Cyrl-RS"/>
        </w:rPr>
        <w:lastRenderedPageBreak/>
        <w:t>маржи,</w:t>
      </w:r>
      <w:r w:rsidR="00FA6506" w:rsidRPr="00A37BCE">
        <w:rPr>
          <w:rFonts w:cstheme="minorHAnsi"/>
          <w:bCs/>
          <w:color w:val="44546A" w:themeColor="text2"/>
          <w:sz w:val="20"/>
          <w:szCs w:val="72"/>
          <w:lang w:val="sr-Cyrl-RS"/>
        </w:rPr>
        <w:t xml:space="preserve"> </w:t>
      </w:r>
      <w:r w:rsidR="008A48AA" w:rsidRPr="00A37BCE">
        <w:rPr>
          <w:rFonts w:cstheme="minorHAnsi"/>
          <w:bCs/>
          <w:color w:val="44546A" w:themeColor="text2"/>
          <w:sz w:val="20"/>
          <w:szCs w:val="72"/>
          <w:lang w:val="sr-Cyrl-RS"/>
        </w:rPr>
        <w:t>што је један од индикатора који претходи успоравању</w:t>
      </w:r>
      <w:r w:rsidRPr="00A37BCE">
        <w:rPr>
          <w:rFonts w:cstheme="minorHAnsi"/>
          <w:bCs/>
          <w:color w:val="44546A" w:themeColor="text2"/>
          <w:sz w:val="20"/>
          <w:szCs w:val="72"/>
          <w:lang w:val="sr-Cyrl-RS"/>
        </w:rPr>
        <w:t xml:space="preserve"> привредног раста.</w:t>
      </w:r>
    </w:p>
    <w:p w14:paraId="67C4ABC7" w14:textId="088E2BEC" w:rsidR="00DB17B8" w:rsidRPr="00A37BCE" w:rsidRDefault="00DB17B8" w:rsidP="00DB17B8">
      <w:pPr>
        <w:spacing w:after="120" w:line="276" w:lineRule="auto"/>
        <w:jc w:val="both"/>
        <w:rPr>
          <w:rFonts w:cstheme="minorHAnsi"/>
          <w:bCs/>
          <w:color w:val="44546A" w:themeColor="text2"/>
          <w:sz w:val="20"/>
          <w:szCs w:val="72"/>
          <w:lang w:val="sr-Cyrl-RS"/>
        </w:rPr>
        <w:sectPr w:rsidR="00DB17B8" w:rsidRPr="00A37BCE" w:rsidSect="00671DF9">
          <w:type w:val="continuous"/>
          <w:pgSz w:w="12240" w:h="15840"/>
          <w:pgMar w:top="1440" w:right="1440" w:bottom="1440" w:left="1440" w:header="720" w:footer="720" w:gutter="0"/>
          <w:cols w:num="2" w:space="720"/>
          <w:docGrid w:linePitch="360"/>
        </w:sectPr>
      </w:pPr>
      <w:r w:rsidRPr="00A37BCE">
        <w:rPr>
          <w:rFonts w:cstheme="minorHAnsi"/>
          <w:bCs/>
          <w:color w:val="44546A" w:themeColor="text2"/>
          <w:sz w:val="20"/>
          <w:szCs w:val="72"/>
          <w:lang w:val="sr-Cyrl-RS"/>
        </w:rPr>
        <w:t>Пројекцијом је предвиђено да фискална политика буде неутрална у 2018. години, благо експанзивна у 2019. години, а затим поново неутрална у 2020. години. Током 2018. године, нешто већа државна п</w:t>
      </w:r>
      <w:r w:rsidR="00ED375E" w:rsidRPr="00A37BCE">
        <w:rPr>
          <w:rFonts w:cstheme="minorHAnsi"/>
          <w:bCs/>
          <w:color w:val="44546A" w:themeColor="text2"/>
          <w:sz w:val="20"/>
          <w:szCs w:val="72"/>
          <w:lang w:val="sr-Cyrl-RS"/>
        </w:rPr>
        <w:t>отрошња ће бити неутралисана</w:t>
      </w:r>
      <w:r w:rsidRPr="00A37BCE">
        <w:rPr>
          <w:rFonts w:cstheme="minorHAnsi"/>
          <w:bCs/>
          <w:color w:val="44546A" w:themeColor="text2"/>
          <w:sz w:val="20"/>
          <w:szCs w:val="72"/>
          <w:lang w:val="sr-Cyrl-RS"/>
        </w:rPr>
        <w:t xml:space="preserve"> растућим директним</w:t>
      </w:r>
      <w:r w:rsidR="00ED375E" w:rsidRPr="00A37BCE">
        <w:rPr>
          <w:rFonts w:cstheme="minorHAnsi"/>
          <w:bCs/>
          <w:color w:val="44546A" w:themeColor="text2"/>
          <w:sz w:val="20"/>
          <w:szCs w:val="72"/>
          <w:lang w:val="sr-Cyrl-RS"/>
        </w:rPr>
        <w:t xml:space="preserve"> пореским</w:t>
      </w:r>
      <w:r w:rsidRPr="00A37BCE">
        <w:rPr>
          <w:rFonts w:cstheme="minorHAnsi"/>
          <w:bCs/>
          <w:color w:val="44546A" w:themeColor="text2"/>
          <w:sz w:val="20"/>
          <w:szCs w:val="72"/>
          <w:lang w:val="sr-Cyrl-RS"/>
        </w:rPr>
        <w:t xml:space="preserve"> приходима, док ће у 2019. години смањење директних пореза у </w:t>
      </w:r>
      <w:r w:rsidR="00F86A8B" w:rsidRPr="00A37BCE">
        <w:rPr>
          <w:rFonts w:cstheme="minorHAnsi"/>
          <w:bCs/>
          <w:color w:val="44546A" w:themeColor="text2"/>
          <w:sz w:val="20"/>
          <w:szCs w:val="72"/>
          <w:lang w:val="sr-Cyrl-RS"/>
        </w:rPr>
        <w:t xml:space="preserve">неким државама превагнути над </w:t>
      </w:r>
      <w:r w:rsidRPr="00A37BCE">
        <w:rPr>
          <w:rFonts w:cstheme="minorHAnsi"/>
          <w:bCs/>
          <w:color w:val="44546A" w:themeColor="text2"/>
          <w:sz w:val="20"/>
          <w:szCs w:val="72"/>
          <w:lang w:val="sr-Cyrl-RS"/>
        </w:rPr>
        <w:t>мерама консолидације у другим земљама еврозоне. Такође, фискални дефицит и јавни дуг би требало да се нађу на силазној путањи у току пројектованог периода. Смањење фискалног дефицита је извесно због нижих каматних стопа, што ће довести до тога да кредити буду рефинансирани по повољнијим условима. Опадање учешћа јавног дуга у БДП је подржано одрживим позитивним примарним билансом и повољним односом каматне стопе у односу на стопу раста БДП</w:t>
      </w:r>
      <w:r w:rsidR="00D23AD9">
        <w:rPr>
          <w:rFonts w:cstheme="minorHAnsi"/>
          <w:bCs/>
          <w:color w:val="44546A" w:themeColor="text2"/>
          <w:sz w:val="20"/>
          <w:szCs w:val="72"/>
          <w:lang w:val="sr-Cyrl-RS"/>
        </w:rPr>
        <w:t>.</w:t>
      </w:r>
    </w:p>
    <w:p w14:paraId="3EB2BCFF" w14:textId="49C8E70A" w:rsidR="00ED7D2D" w:rsidRPr="00A37BCE" w:rsidRDefault="00B331AE" w:rsidP="00E4595A">
      <w:pPr>
        <w:spacing w:before="240"/>
        <w:rPr>
          <w:rFonts w:cstheme="minorHAnsi"/>
          <w:b/>
          <w:color w:val="2F5496" w:themeColor="accent1" w:themeShade="BF"/>
          <w:lang w:val="sr-Cyrl-RS"/>
        </w:rPr>
      </w:pPr>
      <w:r w:rsidRPr="00A37BCE">
        <w:rPr>
          <w:rFonts w:cstheme="minorHAnsi"/>
          <w:noProof/>
        </w:rPr>
        <w:lastRenderedPageBreak/>
        <mc:AlternateContent>
          <mc:Choice Requires="wps">
            <w:drawing>
              <wp:anchor distT="0" distB="0" distL="114300" distR="114300" simplePos="0" relativeHeight="251686912" behindDoc="1" locked="0" layoutInCell="1" allowOverlap="1" wp14:anchorId="160E5FDC" wp14:editId="0C5000B1">
                <wp:simplePos x="0" y="0"/>
                <wp:positionH relativeFrom="margin">
                  <wp:posOffset>-28575</wp:posOffset>
                </wp:positionH>
                <wp:positionV relativeFrom="paragraph">
                  <wp:posOffset>354329</wp:posOffset>
                </wp:positionV>
                <wp:extent cx="6028055" cy="3895725"/>
                <wp:effectExtent l="0" t="0" r="0" b="9525"/>
                <wp:wrapNone/>
                <wp:docPr id="42" name="Rectangle 42"/>
                <wp:cNvGraphicFramePr/>
                <a:graphic xmlns:a="http://schemas.openxmlformats.org/drawingml/2006/main">
                  <a:graphicData uri="http://schemas.microsoft.com/office/word/2010/wordprocessingShape">
                    <wps:wsp>
                      <wps:cNvSpPr/>
                      <wps:spPr>
                        <a:xfrm>
                          <a:off x="0" y="0"/>
                          <a:ext cx="6028055" cy="3895725"/>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40FF25F9" id="Rectangle 42" o:spid="_x0000_s1026" style="position:absolute;margin-left:-2.25pt;margin-top:27.9pt;width:474.65pt;height:306.75pt;z-index:-251629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zRFtQIAAPQFAAAOAAAAZHJzL2Uyb0RvYy54bWysVFFP2zAQfp+0/2D5fSTtWlYqUlSBmCYx&#10;QMDEs+vYbSTb59lu0+7X72wnKQLEw7QXx/adv/vuy92dX+y1IjvhfAOmoqOTkhJhONSNWVf019P1&#10;lxklPjBTMwVGVPQgPL1YfP503tq5GMMGVC0cQRDj562t6CYEOy8KzzdCM38CVhg0SnCaBTy6dVE7&#10;1iK6VsW4LE+LFlxtHXDhPd5eZSNdJHwpBQ93UnoRiKoocgtpdWldxbVYnLP52jG7aXhHg/0DC80a&#10;g0EHqCsWGNm65g2UbrgDDzKccNAFSNlwkXLAbEblq2weN8yKlAuK4+0gk/9/sPx2d+9IU1d0MqbE&#10;MI3/6AFVY2atBME7FKi1fo5+j/bedSeP25jtXjodv5gH2SdRD4OoYh8Ix8vTcjwrp1NKONq+zs6m&#10;38bTiFocn1vnw3cBmsRNRR3GT2Ky3Y0P2bV3idEsC+G6UapztzwgYjTI9aVKvFL5CDyQHcMfv1qP&#10;kl1t9U+o891sWpbp9yOPwT2xGlBWH8BlVp0HQvScIg1l4mogcsx+8aaIMmbh0i4clMjeD0LiH0Cp&#10;xonlwCYTZZwLE3ICfsNqka8j/ff5K4OASQ6MP2B3ALGvjsL02JmlzP7xqUitMzwuPyKWHw8vUmQw&#10;YXisGwPuPQCFWXWRs38vUpYmqrSC+oD16SA3rrf8usEauWE+3DOHnYo9jdMn3OEiFbQVhW5HyQbc&#10;n/fuoz82EFopabHzK+p/b5kTlKgfBlvrbDSZxFGRDhMsVzy4l5bVS4vZ6kvAGhvhnLM8baN/UP1W&#10;OtDPOKSWMSqamOEYu6I8uP5wGfJEwjHHxXKZ3HA8YE3dmEfLI3hUNfbA0/6ZOdtVfsAeu4V+SrD5&#10;q37JvvGlgeU2gGxSMx117fTG0ZIKvxuDcXa9PCev47Be/AUAAP//AwBQSwMEFAAGAAgAAAAhAAO7&#10;O/fgAAAACQEAAA8AAABkcnMvZG93bnJldi54bWxMj8FOwzAQRO9I/IO1SNxaB0hCE+JUgIQACQlR&#10;WnHdxkscEdshdtv071lOcNvRjGbfVMvJ9mJPY+i8U3AxT0CQa7zuXKtg/f4wW4AIEZ3G3jtScKQA&#10;y/r0pMJS+4N7o/0qtoJLXChRgYlxKKUMjSGLYe4Hcux9+tFiZDm2Uo944HLby8skyaXFzvEHgwPd&#10;G2q+VjurAB/vgslecVMcN+vk2Xwsnq6/X5Q6P5tub0BEmuJfGH7xGR1qZtr6ndNB9ApmacZJBVnG&#10;C9gv0pSPrYI8L65A1pX8v6D+AQAA//8DAFBLAQItABQABgAIAAAAIQC2gziS/gAAAOEBAAATAAAA&#10;AAAAAAAAAAAAAAAAAABbQ29udGVudF9UeXBlc10ueG1sUEsBAi0AFAAGAAgAAAAhADj9If/WAAAA&#10;lAEAAAsAAAAAAAAAAAAAAAAALwEAAF9yZWxzLy5yZWxzUEsBAi0AFAAGAAgAAAAhAFJfNEW1AgAA&#10;9AUAAA4AAAAAAAAAAAAAAAAALgIAAGRycy9lMm9Eb2MueG1sUEsBAi0AFAAGAAgAAAAhAAO7O/fg&#10;AAAACQEAAA8AAAAAAAAAAAAAAAAADwUAAGRycy9kb3ducmV2LnhtbFBLBQYAAAAABAAEAPMAAAAc&#10;BgAAAAA=&#10;" fillcolor="#d8d8d8 [2732]" stroked="f" strokeweight="1pt">
                <v:fill r:id="rId21" o:title="" color2="white [3212]" type="pattern"/>
                <w10:wrap anchorx="margin"/>
              </v:rect>
            </w:pict>
          </mc:Fallback>
        </mc:AlternateContent>
      </w:r>
    </w:p>
    <w:p w14:paraId="492387F3" w14:textId="73D897D2" w:rsidR="00DB17B8" w:rsidRPr="00A37BCE" w:rsidRDefault="00DB17B8" w:rsidP="003C1760">
      <w:pPr>
        <w:spacing w:before="240"/>
        <w:jc w:val="center"/>
        <w:rPr>
          <w:rFonts w:cstheme="minorHAnsi"/>
          <w:b/>
          <w:color w:val="2F5496" w:themeColor="accent1" w:themeShade="BF"/>
          <w:lang w:val="sr-Cyrl-RS"/>
        </w:rPr>
      </w:pPr>
      <w:r w:rsidRPr="00A37BCE">
        <w:rPr>
          <w:rFonts w:cstheme="minorHAnsi"/>
          <w:b/>
          <w:color w:val="2F5496" w:themeColor="accent1" w:themeShade="BF"/>
          <w:lang w:val="sr-Cyrl-RS"/>
        </w:rPr>
        <w:t>Компаративна анализа цикличног кретања економске активности Србије и најважнијих спољнотрговинских партнера</w:t>
      </w:r>
    </w:p>
    <w:p w14:paraId="2FF61BC9" w14:textId="77777777" w:rsidR="00DB17B8" w:rsidRPr="00A37BCE" w:rsidRDefault="00DB17B8" w:rsidP="00DB17B8">
      <w:pPr>
        <w:spacing w:after="120" w:line="276" w:lineRule="auto"/>
        <w:jc w:val="both"/>
        <w:rPr>
          <w:rFonts w:cstheme="minorHAnsi"/>
          <w:bCs/>
          <w:color w:val="44546A" w:themeColor="text2"/>
          <w:sz w:val="20"/>
          <w:szCs w:val="72"/>
          <w:lang w:val="sr-Cyrl-RS"/>
        </w:rPr>
        <w:sectPr w:rsidR="00DB17B8" w:rsidRPr="00A37BCE" w:rsidSect="00DB17B8">
          <w:type w:val="continuous"/>
          <w:pgSz w:w="12240" w:h="15840"/>
          <w:pgMar w:top="1440" w:right="1440" w:bottom="1440" w:left="1440" w:header="720" w:footer="720" w:gutter="0"/>
          <w:cols w:space="720"/>
          <w:docGrid w:linePitch="360"/>
        </w:sectPr>
      </w:pPr>
    </w:p>
    <w:p w14:paraId="79E38082" w14:textId="470F18F9" w:rsidR="00ED7D2D" w:rsidRPr="00A37BCE" w:rsidRDefault="00ED7D2D" w:rsidP="00ED7D2D">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lastRenderedPageBreak/>
        <w:t>Земље ЕУ су најважнији спољнотрговински партнер Србије будући да се са њима обавља око две трећине промета, при чему размена само са Италијом и Немачком покрива четвртину укупне размене. У 2017. години извоз српске робе у ЕУ је достигао готово десет милијарди евра, док је увоз премашио 12 млрд. Из земаља ЕУ долази и највећи део СДИ (78,7%), а значајан део укупних улагања иде у извозно орјентисане компаније (око 40%).</w:t>
      </w:r>
      <w:r w:rsidR="003F1D6A" w:rsidRPr="00A37BCE">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t>Наведени подаци показују да значајан део спољне тражње за нашим добрима долази из ЕУ али и да економска кретања у овим земљама могу имати снажне реперкусије на привреду Србије. Како би се детаљније сагледала међузависност ових економија анализирана је њихова динамика економске активности у цикличном контексту.</w:t>
      </w:r>
    </w:p>
    <w:p w14:paraId="71149A15" w14:textId="6F905FE2" w:rsidR="00ED7D2D" w:rsidRPr="00A37BCE" w:rsidRDefault="00ED7D2D" w:rsidP="00ED7D2D">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 xml:space="preserve">Анализа је извршена применом приступа </w:t>
      </w:r>
      <w:r w:rsidR="00FB5FEF" w:rsidRPr="00A37BCE">
        <w:rPr>
          <w:rFonts w:cstheme="minorHAnsi"/>
          <w:bCs/>
          <w:color w:val="44546A" w:themeColor="text2"/>
          <w:sz w:val="20"/>
          <w:szCs w:val="72"/>
          <w:lang w:val="sr-Cyrl-RS"/>
        </w:rPr>
        <w:t>„</w:t>
      </w:r>
      <w:r w:rsidRPr="00A37BCE">
        <w:rPr>
          <w:rFonts w:cstheme="minorHAnsi"/>
          <w:bCs/>
          <w:color w:val="44546A" w:themeColor="text2"/>
          <w:sz w:val="20"/>
          <w:szCs w:val="72"/>
          <w:lang w:val="sr-Cyrl-RS"/>
        </w:rPr>
        <w:t xml:space="preserve">циклуса </w:t>
      </w:r>
      <w:r w:rsidR="00A37BCE" w:rsidRPr="00A37BCE">
        <w:rPr>
          <w:rFonts w:cstheme="minorHAnsi"/>
          <w:bCs/>
          <w:color w:val="44546A" w:themeColor="text2"/>
          <w:sz w:val="20"/>
          <w:szCs w:val="72"/>
          <w:lang w:val="sr-Cyrl-RS"/>
        </w:rPr>
        <w:t>раста</w:t>
      </w:r>
      <w:r w:rsidR="000814C2" w:rsidRPr="000814C2">
        <w:rPr>
          <w:rFonts w:cstheme="minorHAnsi"/>
          <w:bCs/>
          <w:color w:val="44546A" w:themeColor="text2"/>
          <w:sz w:val="20"/>
          <w:szCs w:val="72"/>
          <w:lang w:val="sr-Cyrl-RS"/>
        </w:rPr>
        <w:t>ˮ</w:t>
      </w:r>
      <w:r w:rsidRPr="00A37BCE">
        <w:rPr>
          <w:rFonts w:cstheme="minorHAnsi"/>
          <w:bCs/>
          <w:color w:val="44546A" w:themeColor="text2"/>
          <w:sz w:val="20"/>
          <w:szCs w:val="72"/>
          <w:lang w:val="sr-Cyrl-RS"/>
        </w:rPr>
        <w:t xml:space="preserve"> који узима у обзир како флуктуације у апсолутном нивоу економске активности, тако и </w:t>
      </w:r>
      <w:r w:rsidRPr="00A37BCE">
        <w:rPr>
          <w:rFonts w:cstheme="minorHAnsi"/>
          <w:bCs/>
          <w:color w:val="44546A" w:themeColor="text2"/>
          <w:sz w:val="20"/>
          <w:szCs w:val="72"/>
          <w:lang w:val="sr-Cyrl-RS"/>
        </w:rPr>
        <w:lastRenderedPageBreak/>
        <w:t xml:space="preserve">флуктуације у релативном нивоу, односно промене у динамици стопе раста. Према овом приступу циклуси се дефинишу као осцилације навише и наниже у односу на дугорочни тренд и представљају периоде убрзања односно успоравања економске активности. То значи да смањење стопе раста не значи рецесију у класичном смислу, али представља промену у серији одступања од дугорочног тренда и означава улазак економије у фазу успоравања. Као мера привредне активности коришћен је квартални БДП посматраних земаља, дугорочни тренд је идентификован применом </w:t>
      </w:r>
      <w:r w:rsidRPr="000814C2">
        <w:rPr>
          <w:rFonts w:cstheme="minorHAnsi"/>
          <w:bCs/>
          <w:i/>
          <w:color w:val="44546A" w:themeColor="text2"/>
          <w:sz w:val="20"/>
          <w:szCs w:val="72"/>
          <w:lang w:val="sr-Cyrl-RS"/>
        </w:rPr>
        <w:t>Hodrick-Prescott</w:t>
      </w:r>
      <w:r w:rsidRPr="00A37BCE">
        <w:rPr>
          <w:rFonts w:cstheme="minorHAnsi"/>
          <w:bCs/>
          <w:color w:val="44546A" w:themeColor="text2"/>
          <w:sz w:val="20"/>
          <w:szCs w:val="72"/>
          <w:lang w:val="sr-Cyrl-RS"/>
        </w:rPr>
        <w:t xml:space="preserve"> филтера, док су преломне тачке утврђене у складу са </w:t>
      </w:r>
      <w:r w:rsidRPr="000814C2">
        <w:rPr>
          <w:rFonts w:cstheme="minorHAnsi"/>
          <w:bCs/>
          <w:i/>
          <w:color w:val="44546A" w:themeColor="text2"/>
          <w:sz w:val="20"/>
          <w:szCs w:val="72"/>
          <w:lang w:val="sr-Cyrl-RS"/>
        </w:rPr>
        <w:t>Harding-Pagan</w:t>
      </w:r>
      <w:r w:rsidRPr="00A37BCE">
        <w:rPr>
          <w:rFonts w:cstheme="minorHAnsi"/>
          <w:bCs/>
          <w:color w:val="44546A" w:themeColor="text2"/>
          <w:sz w:val="20"/>
          <w:szCs w:val="72"/>
          <w:lang w:val="sr-Cyrl-RS"/>
        </w:rPr>
        <w:t xml:space="preserve"> методом. Прво је анализирана међузависност цикличног кретања економске активности Немачке, Италије и ЕУ 28, а потом је сагледан њихов утицај </w:t>
      </w:r>
      <w:r w:rsidR="007E1AAF" w:rsidRPr="00A37BCE">
        <w:rPr>
          <w:rFonts w:cstheme="minorHAnsi"/>
          <w:bCs/>
          <w:color w:val="44546A" w:themeColor="text2"/>
          <w:sz w:val="20"/>
          <w:szCs w:val="72"/>
          <w:lang w:val="sr-Cyrl-RS"/>
        </w:rPr>
        <w:t>на привредну активност Србије.</w:t>
      </w:r>
    </w:p>
    <w:p w14:paraId="0E2AED94" w14:textId="316DA56E" w:rsidR="000836F4" w:rsidRPr="00A37BCE" w:rsidRDefault="00F57BF1" w:rsidP="000836F4">
      <w:pPr>
        <w:jc w:val="both"/>
        <w:rPr>
          <w:rFonts w:cstheme="minorHAnsi"/>
          <w:bCs/>
          <w:color w:val="44546A" w:themeColor="text2"/>
          <w:sz w:val="20"/>
          <w:szCs w:val="72"/>
          <w:lang w:val="sr-Cyrl-RS"/>
        </w:rPr>
      </w:pPr>
      <w:r w:rsidRPr="00A37BCE">
        <w:rPr>
          <w:rFonts w:cstheme="minorHAnsi"/>
          <w:noProof/>
        </w:rPr>
        <w:lastRenderedPageBreak/>
        <mc:AlternateContent>
          <mc:Choice Requires="wps">
            <w:drawing>
              <wp:anchor distT="0" distB="0" distL="114300" distR="114300" simplePos="0" relativeHeight="251697152" behindDoc="1" locked="0" layoutInCell="1" allowOverlap="1" wp14:anchorId="4AB16E93" wp14:editId="0DB2CBF3">
                <wp:simplePos x="0" y="0"/>
                <wp:positionH relativeFrom="margin">
                  <wp:posOffset>-142875</wp:posOffset>
                </wp:positionH>
                <wp:positionV relativeFrom="paragraph">
                  <wp:posOffset>-66676</wp:posOffset>
                </wp:positionV>
                <wp:extent cx="6161405" cy="8220075"/>
                <wp:effectExtent l="0" t="0" r="0" b="9525"/>
                <wp:wrapNone/>
                <wp:docPr id="63" name="Rectangle 63"/>
                <wp:cNvGraphicFramePr/>
                <a:graphic xmlns:a="http://schemas.openxmlformats.org/drawingml/2006/main">
                  <a:graphicData uri="http://schemas.microsoft.com/office/word/2010/wordprocessingShape">
                    <wps:wsp>
                      <wps:cNvSpPr/>
                      <wps:spPr>
                        <a:xfrm>
                          <a:off x="0" y="0"/>
                          <a:ext cx="6161405" cy="8220075"/>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7A869822" id="Rectangle 63" o:spid="_x0000_s1026" style="position:absolute;margin-left:-11.25pt;margin-top:-5.25pt;width:485.15pt;height:647.25pt;z-index:-2516193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6r5ztgIAAPQFAAAOAAAAZHJzL2Uyb0RvYy54bWysVF1P2zAUfZ+0/2D5fSTp2gIVKapATJMY&#10;IGDi2XXsJpLj69lu0+7X79pOUsQQD9NeHH8cn3vuie+9uNy3iuyEdQ3okhYnOSVCc6gavSnpz+eb&#10;L2eUOM90xRRoUdKDcPRy+fnTRWcWYgI1qEpYgiTaLTpT0tp7s8gyx2vRMncCRmg8lGBb5nFpN1ll&#10;WYfsrcomeT7POrCVscCFc7h7nQ7pMvJLKbi/l9IJT1RJUZuPo43jOozZ8oItNpaZuuG9DPYPKlrW&#10;aAw6Ul0zz8jWNn9RtQ234ED6Ew5tBlI2XMQcMJsif5PNU82MiLmgOc6MNrn/R8vvdg+WNFVJ518p&#10;0azFf/SIrjG9UYLgHhrUGbdA3JN5sP3K4TRku5e2DV/Mg+yjqYfRVLH3hOPmvJgX03xGCcezswn+&#10;tNNZYM2O1411/puAloRJSS3Gj2ay3a3zCTpAQjTDvL9plOrhhvvJLOLl5kpFXfH5CFyQHcMfv94U&#10;8Vxt2x9Qpb2zWZ7H3486RnhUNbKsP6BLqnoEUgyagj6lw6ghaEy4sJMFG5NxceYPSiT0o5D4B9Cq&#10;SVQ5qklCGedC+5SAq1kl0naQ/75+pZEwMEuMP3L3BKGujsYM3Elljw9XRSyd8XL+kbB0ebwRI4P2&#10;4+W20WDfI1CYVR854QeTkjXBpTVUB3yfFlLhOsNvGnwjt8z5B2axUrGmsfv4exykgq6k0M8oqcH+&#10;fm8/4LGA8JSSDiu/pO7XlllBifqusbTOi+k0tIq4mM5OJ7iwr0/Wr0/0tr0CfGMF9jnD4zTgvRqm&#10;0kL7gk1qFaLiEdMcY5eUezssrnzqSNjmuFitIgzbA76pW/1keCAProYaeN6/MGv6l++xxu5g6BJs&#10;8aZeEjbc1LDaepBNLKajr73f2Friw+/bYOhdr9cRdWzWyz8AAAD//wMAUEsDBBQABgAIAAAAIQCV&#10;Z+go4gAAAAwBAAAPAAAAZHJzL2Rvd25yZXYueG1sTI/NTsMwEITvSLyDtUjcWrtRS9MQpwIkBEiV&#10;EP1Rr9vExBHxOsRum749ywluM9pPszP5cnCtOJk+NJ40TMYKhKHSVw3VGrab51EKIkSkCltPRsPF&#10;BFgW11c5ZpU/04c5rWMtOIRChhpsjF0mZSitcRjGvjPEt0/fO4xs+1pWPZ453LUyUepOOmyIP1js&#10;zJM15df66DTgy2Ows3fcLS67rXqz+/R1/r3S+vZmeLgHEc0Q/2D4rc/VoeBOB3+kKohWwyhJZoyy&#10;mCgWTCymcx5zYDRJpwpkkcv/I4ofAAAA//8DAFBLAQItABQABgAIAAAAIQC2gziS/gAAAOEBAAAT&#10;AAAAAAAAAAAAAAAAAAAAAABbQ29udGVudF9UeXBlc10ueG1sUEsBAi0AFAAGAAgAAAAhADj9If/W&#10;AAAAlAEAAAsAAAAAAAAAAAAAAAAALwEAAF9yZWxzLy5yZWxzUEsBAi0AFAAGAAgAAAAhAEXqvnO2&#10;AgAA9AUAAA4AAAAAAAAAAAAAAAAALgIAAGRycy9lMm9Eb2MueG1sUEsBAi0AFAAGAAgAAAAhAJVn&#10;6CjiAAAADAEAAA8AAAAAAAAAAAAAAAAAEAUAAGRycy9kb3ducmV2LnhtbFBLBQYAAAAABAAEAPMA&#10;AAAfBgAAAAA=&#10;" fillcolor="#d8d8d8 [2732]" stroked="f" strokeweight="1pt">
                <v:fill r:id="rId21" o:title="" color2="white [3212]" type="pattern"/>
                <w10:wrap anchorx="margin"/>
              </v:rect>
            </w:pict>
          </mc:Fallback>
        </mc:AlternateContent>
      </w:r>
      <w:r w:rsidR="00ED7D2D" w:rsidRPr="00A37BCE">
        <w:rPr>
          <w:rFonts w:cstheme="minorHAnsi"/>
          <w:bCs/>
          <w:color w:val="44546A" w:themeColor="text2"/>
          <w:sz w:val="20"/>
          <w:szCs w:val="72"/>
          <w:lang w:val="sr-Cyrl-RS"/>
        </w:rPr>
        <w:t>Резултати анализе указују на значајну међузависност у цикличном кретању економске активности Немачке и Италије, као и чињеницу да њихова кретања опредељују динамику циклуса на нивоу ЕУ 28. Током анализираног периода преломне тачке циклуса немачке и италијанске привреде дешавају се готово истовремено, а просечно трајање фаза убрзања и успоравања, као и њихове амплитуде су приближно исте. Синхронизација динамике економске активности потврђена је и „Concordance“ индексом. Овај коефицијент корелације између Немачке и Италије износи 0,84, Немачке и ЕУ 0,89, а између Италије и ЕУ 0,91.</w:t>
      </w:r>
    </w:p>
    <w:p w14:paraId="2D5A6A88" w14:textId="0565CBAE" w:rsidR="00B331AE" w:rsidRPr="00A37BCE" w:rsidRDefault="00CE5E55" w:rsidP="000836F4">
      <w:pPr>
        <w:jc w:val="both"/>
        <w:rPr>
          <w:rFonts w:cstheme="minorHAnsi"/>
          <w:b/>
          <w:color w:val="002060"/>
          <w:sz w:val="20"/>
          <w:lang w:val="sr-Cyrl-RS"/>
        </w:rPr>
      </w:pPr>
      <w:r w:rsidRPr="00A37BCE">
        <w:rPr>
          <w:rFonts w:cstheme="minorHAnsi"/>
          <w:b/>
          <w:color w:val="002060"/>
          <w:sz w:val="20"/>
          <w:lang w:val="sr-Cyrl-RS"/>
        </w:rPr>
        <w:t>Циклично кретање економске активности, % одступања у односу на дугорочни тренд</w:t>
      </w:r>
    </w:p>
    <w:p w14:paraId="3757674D" w14:textId="7A06439E" w:rsidR="00B331AE" w:rsidRPr="00A37BCE" w:rsidRDefault="00CE5E55" w:rsidP="000836F4">
      <w:pPr>
        <w:jc w:val="both"/>
        <w:rPr>
          <w:rFonts w:cstheme="minorHAnsi"/>
          <w:b/>
          <w:color w:val="002060"/>
          <w:sz w:val="20"/>
          <w:lang w:val="sr-Cyrl-RS"/>
        </w:rPr>
      </w:pPr>
      <w:r w:rsidRPr="00A37BCE">
        <w:rPr>
          <w:rFonts w:cstheme="minorHAnsi"/>
          <w:bCs/>
          <w:noProof/>
          <w:color w:val="44546A" w:themeColor="text2"/>
          <w:sz w:val="20"/>
          <w:szCs w:val="72"/>
        </w:rPr>
        <w:drawing>
          <wp:inline distT="0" distB="0" distL="0" distR="0" wp14:anchorId="2226AC3B" wp14:editId="5297EFEF">
            <wp:extent cx="2743200" cy="1780540"/>
            <wp:effectExtent l="0" t="0" r="0" b="0"/>
            <wp:docPr id="23" name="Picture 23" descr="C:\Users\rade.ciric\AppData\Local\Microsoft\Windows\INetCache\Content.Outlook\ZJY3QPMJ\srbij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ade.ciric\AppData\Local\Microsoft\Windows\INetCache\Content.Outlook\ZJY3QPMJ\srbija.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43200" cy="1780540"/>
                    </a:xfrm>
                    <a:prstGeom prst="rect">
                      <a:avLst/>
                    </a:prstGeom>
                    <a:noFill/>
                    <a:ln>
                      <a:noFill/>
                    </a:ln>
                  </pic:spPr>
                </pic:pic>
              </a:graphicData>
            </a:graphic>
          </wp:inline>
        </w:drawing>
      </w:r>
    </w:p>
    <w:p w14:paraId="69B3EDC9" w14:textId="6DC48751" w:rsidR="00C07D7A" w:rsidRPr="00A37BCE" w:rsidRDefault="00CE5E55" w:rsidP="00CE5E55">
      <w:pPr>
        <w:jc w:val="both"/>
        <w:rPr>
          <w:rFonts w:cstheme="minorHAnsi"/>
          <w:b/>
          <w:color w:val="002060"/>
          <w:sz w:val="20"/>
          <w:lang w:val="sr-Cyrl-RS"/>
        </w:rPr>
        <w:sectPr w:rsidR="00C07D7A" w:rsidRPr="00A37BCE" w:rsidSect="00DB17B8">
          <w:type w:val="continuous"/>
          <w:pgSz w:w="12240" w:h="15840"/>
          <w:pgMar w:top="1440" w:right="1440" w:bottom="1440" w:left="1440" w:header="720" w:footer="720" w:gutter="0"/>
          <w:cols w:num="2" w:space="720"/>
          <w:docGrid w:linePitch="360"/>
        </w:sectPr>
      </w:pPr>
      <w:r w:rsidRPr="00A37BCE">
        <w:rPr>
          <w:rFonts w:cstheme="minorHAnsi"/>
          <w:bCs/>
          <w:noProof/>
          <w:color w:val="44546A" w:themeColor="text2"/>
          <w:sz w:val="20"/>
          <w:szCs w:val="72"/>
        </w:rPr>
        <w:lastRenderedPageBreak/>
        <w:drawing>
          <wp:inline distT="0" distB="0" distL="0" distR="0" wp14:anchorId="138A3C75" wp14:editId="0AE4274E">
            <wp:extent cx="2743200" cy="1760220"/>
            <wp:effectExtent l="0" t="0" r="0" b="0"/>
            <wp:docPr id="20" name="Picture 20" descr="C:\Users\rade.ciric\AppData\Local\Microsoft\Windows\INetCache\Content.Outlook\ZJY3QPMJ\италиј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ade.ciric\AppData\Local\Microsoft\Windows\INetCache\Content.Outlook\ZJY3QPMJ\италија.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43200" cy="1760220"/>
                    </a:xfrm>
                    <a:prstGeom prst="rect">
                      <a:avLst/>
                    </a:prstGeom>
                    <a:noFill/>
                    <a:ln>
                      <a:noFill/>
                    </a:ln>
                  </pic:spPr>
                </pic:pic>
              </a:graphicData>
            </a:graphic>
          </wp:inline>
        </w:drawing>
      </w:r>
      <w:r w:rsidRPr="00A37BCE">
        <w:rPr>
          <w:rFonts w:cstheme="minorHAnsi"/>
          <w:bCs/>
          <w:noProof/>
          <w:color w:val="44546A" w:themeColor="text2"/>
          <w:sz w:val="20"/>
          <w:szCs w:val="72"/>
        </w:rPr>
        <w:drawing>
          <wp:inline distT="0" distB="0" distL="0" distR="0" wp14:anchorId="76E11655" wp14:editId="3422C25A">
            <wp:extent cx="2742735" cy="1821976"/>
            <wp:effectExtent l="0" t="0" r="635" b="6985"/>
            <wp:docPr id="10" name="Picture 10" descr="C:\Users\rade.ciric\AppData\Local\Microsoft\Windows\INetCache\Content.Outlook\ZJY3QPMJ\немачк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ade.ciric\AppData\Local\Microsoft\Windows\INetCache\Content.Outlook\ZJY3QPMJ\немачка.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745011" cy="1823488"/>
                    </a:xfrm>
                    <a:prstGeom prst="rect">
                      <a:avLst/>
                    </a:prstGeom>
                    <a:noFill/>
                    <a:ln>
                      <a:noFill/>
                    </a:ln>
                  </pic:spPr>
                </pic:pic>
              </a:graphicData>
            </a:graphic>
          </wp:inline>
        </w:drawing>
      </w:r>
      <w:r w:rsidR="00C07D7A" w:rsidRPr="00A37BCE">
        <w:rPr>
          <w:rFonts w:cstheme="minorHAnsi"/>
          <w:bCs/>
          <w:color w:val="44546A" w:themeColor="text2"/>
          <w:sz w:val="16"/>
          <w:szCs w:val="72"/>
          <w:lang w:val="sr-Cyrl-RS"/>
        </w:rPr>
        <w:t>Извор: Министарство финанси</w:t>
      </w:r>
      <w:r w:rsidR="00ED7D2D" w:rsidRPr="00A37BCE">
        <w:rPr>
          <w:rFonts w:cstheme="minorHAnsi"/>
          <w:bCs/>
          <w:color w:val="44546A" w:themeColor="text2"/>
          <w:sz w:val="16"/>
          <w:szCs w:val="72"/>
          <w:lang w:val="sr-Cyrl-RS"/>
        </w:rPr>
        <w:t>ј</w:t>
      </w:r>
      <w:r w:rsidR="00981195" w:rsidRPr="00A37BCE">
        <w:rPr>
          <w:rFonts w:cstheme="minorHAnsi"/>
          <w:bCs/>
          <w:color w:val="44546A" w:themeColor="text2"/>
          <w:sz w:val="16"/>
          <w:szCs w:val="72"/>
          <w:lang w:val="sr-Cyrl-RS"/>
        </w:rPr>
        <w:t>а</w:t>
      </w:r>
    </w:p>
    <w:tbl>
      <w:tblPr>
        <w:tblStyle w:val="GridTable5Dark-Accent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90"/>
        <w:gridCol w:w="1295"/>
        <w:gridCol w:w="1385"/>
        <w:gridCol w:w="1206"/>
        <w:gridCol w:w="1595"/>
        <w:gridCol w:w="1395"/>
        <w:gridCol w:w="1294"/>
      </w:tblGrid>
      <w:tr w:rsidR="00DB17B8" w:rsidRPr="00A37BCE" w14:paraId="7C0B78E4" w14:textId="77777777" w:rsidTr="002C1D90">
        <w:trPr>
          <w:cnfStyle w:val="100000000000" w:firstRow="1" w:lastRow="0" w:firstColumn="0" w:lastColumn="0" w:oddVBand="0" w:evenVBand="0" w:oddHBand="0" w:evenHBand="0" w:firstRowFirstColumn="0" w:firstRowLastColumn="0" w:lastRowFirstColumn="0" w:lastRowLastColumn="0"/>
          <w:trHeight w:val="332"/>
          <w:jc w:val="center"/>
        </w:trPr>
        <w:tc>
          <w:tcPr>
            <w:cnfStyle w:val="001000000000" w:firstRow="0" w:lastRow="0" w:firstColumn="1" w:lastColumn="0" w:oddVBand="0" w:evenVBand="0" w:oddHBand="0" w:evenHBand="0" w:firstRowFirstColumn="0" w:firstRowLastColumn="0" w:lastRowFirstColumn="0" w:lastRowLastColumn="0"/>
            <w:tcW w:w="9360" w:type="dxa"/>
            <w:gridSpan w:val="7"/>
            <w:tcBorders>
              <w:left w:val="none" w:sz="0" w:space="0" w:color="auto"/>
              <w:right w:val="none" w:sz="0" w:space="0" w:color="auto"/>
            </w:tcBorders>
            <w:shd w:val="clear" w:color="auto" w:fill="auto"/>
          </w:tcPr>
          <w:p w14:paraId="4B75AA1A" w14:textId="1C56F21E" w:rsidR="00DB17B8" w:rsidRPr="00A37BCE" w:rsidRDefault="00DB17B8" w:rsidP="002C1D90">
            <w:pPr>
              <w:jc w:val="center"/>
              <w:rPr>
                <w:rFonts w:cstheme="minorHAnsi"/>
                <w:b w:val="0"/>
                <w:bCs w:val="0"/>
                <w:color w:val="002060"/>
                <w:sz w:val="18"/>
                <w:lang w:val="sr-Cyrl-RS"/>
              </w:rPr>
            </w:pPr>
            <w:r w:rsidRPr="00A37BCE">
              <w:rPr>
                <w:rFonts w:cstheme="minorHAnsi"/>
                <w:bCs w:val="0"/>
                <w:color w:val="002060"/>
                <w:sz w:val="20"/>
                <w:lang w:val="sr-Cyrl-RS"/>
              </w:rPr>
              <w:lastRenderedPageBreak/>
              <w:t>Трајање и амплитуде фаза експанзије и успоравања</w:t>
            </w:r>
          </w:p>
        </w:tc>
      </w:tr>
      <w:tr w:rsidR="00DB17B8" w:rsidRPr="00A37BCE" w14:paraId="3D42A249" w14:textId="77777777" w:rsidTr="000814C2">
        <w:trPr>
          <w:cnfStyle w:val="000000100000" w:firstRow="0" w:lastRow="0" w:firstColumn="0" w:lastColumn="0" w:oddVBand="0" w:evenVBand="0" w:oddHBand="1" w:evenHBand="0" w:firstRowFirstColumn="0" w:firstRowLastColumn="0" w:lastRowFirstColumn="0" w:lastRowLastColumn="0"/>
          <w:trHeight w:val="638"/>
          <w:jc w:val="center"/>
        </w:trPr>
        <w:tc>
          <w:tcPr>
            <w:cnfStyle w:val="001000000000" w:firstRow="0" w:lastRow="0" w:firstColumn="1" w:lastColumn="0" w:oddVBand="0" w:evenVBand="0" w:oddHBand="0" w:evenHBand="0" w:firstRowFirstColumn="0" w:firstRowLastColumn="0" w:lastRowFirstColumn="0" w:lastRowLastColumn="0"/>
            <w:tcW w:w="1190" w:type="dxa"/>
            <w:tcBorders>
              <w:top w:val="single" w:sz="4" w:space="0" w:color="002060"/>
              <w:left w:val="none" w:sz="0" w:space="0" w:color="auto"/>
            </w:tcBorders>
            <w:shd w:val="clear" w:color="auto" w:fill="auto"/>
          </w:tcPr>
          <w:p w14:paraId="5F29ADAD" w14:textId="476CBBCE" w:rsidR="00DB17B8" w:rsidRPr="00A37BCE" w:rsidRDefault="00DB17B8" w:rsidP="002C1D90">
            <w:pPr>
              <w:jc w:val="center"/>
              <w:rPr>
                <w:rFonts w:cstheme="minorHAnsi"/>
                <w:b w:val="0"/>
                <w:bCs w:val="0"/>
                <w:color w:val="002060"/>
                <w:sz w:val="18"/>
                <w:lang w:val="sr-Cyrl-RS"/>
              </w:rPr>
            </w:pPr>
          </w:p>
        </w:tc>
        <w:tc>
          <w:tcPr>
            <w:tcW w:w="1295" w:type="dxa"/>
            <w:tcBorders>
              <w:top w:val="single" w:sz="4" w:space="0" w:color="002060"/>
              <w:bottom w:val="single" w:sz="4" w:space="0" w:color="002060"/>
            </w:tcBorders>
            <w:shd w:val="clear" w:color="auto" w:fill="auto"/>
          </w:tcPr>
          <w:p w14:paraId="5CF8A096" w14:textId="37E731F9" w:rsidR="00DB17B8" w:rsidRPr="00A37BCE" w:rsidRDefault="00DB17B8" w:rsidP="006C6F5F">
            <w:pPr>
              <w:jc w:val="center"/>
              <w:cnfStyle w:val="000000100000" w:firstRow="0" w:lastRow="0" w:firstColumn="0" w:lastColumn="0" w:oddVBand="0" w:evenVBand="0" w:oddHBand="1" w:evenHBand="0" w:firstRowFirstColumn="0" w:firstRowLastColumn="0" w:lastRowFirstColumn="0" w:lastRowLastColumn="0"/>
              <w:rPr>
                <w:rFonts w:cstheme="minorHAnsi"/>
                <w:bCs/>
                <w:color w:val="002060"/>
                <w:sz w:val="18"/>
                <w:lang w:val="sr-Cyrl-RS"/>
              </w:rPr>
            </w:pPr>
            <w:r w:rsidRPr="00A37BCE">
              <w:rPr>
                <w:rFonts w:cstheme="minorHAnsi"/>
                <w:bCs/>
                <w:color w:val="002060"/>
                <w:sz w:val="18"/>
                <w:lang w:val="sr-Cyrl-RS"/>
              </w:rPr>
              <w:t xml:space="preserve">Просечно трајање </w:t>
            </w:r>
            <w:r w:rsidR="006C6F5F" w:rsidRPr="00A37BCE">
              <w:rPr>
                <w:rFonts w:cstheme="minorHAnsi"/>
                <w:bCs/>
                <w:color w:val="002060"/>
                <w:sz w:val="18"/>
                <w:lang w:val="sr-Cyrl-RS"/>
              </w:rPr>
              <w:t>убрзања</w:t>
            </w:r>
            <w:r w:rsidR="004E4676" w:rsidRPr="00A37BCE">
              <w:rPr>
                <w:rFonts w:cstheme="minorHAnsi"/>
                <w:bCs/>
                <w:color w:val="002060"/>
                <w:sz w:val="18"/>
                <w:lang w:val="sr-Cyrl-RS"/>
              </w:rPr>
              <w:t xml:space="preserve"> (у кварталима)</w:t>
            </w:r>
          </w:p>
        </w:tc>
        <w:tc>
          <w:tcPr>
            <w:tcW w:w="1385" w:type="dxa"/>
            <w:tcBorders>
              <w:top w:val="single" w:sz="4" w:space="0" w:color="002060"/>
              <w:bottom w:val="single" w:sz="4" w:space="0" w:color="002060"/>
            </w:tcBorders>
            <w:shd w:val="clear" w:color="auto" w:fill="auto"/>
          </w:tcPr>
          <w:p w14:paraId="4935730F" w14:textId="0AB36AB4" w:rsidR="00DB17B8" w:rsidRPr="00A37BCE" w:rsidRDefault="00DB17B8" w:rsidP="002C1D90">
            <w:pPr>
              <w:jc w:val="center"/>
              <w:cnfStyle w:val="000000100000" w:firstRow="0" w:lastRow="0" w:firstColumn="0" w:lastColumn="0" w:oddVBand="0" w:evenVBand="0" w:oddHBand="1" w:evenHBand="0" w:firstRowFirstColumn="0" w:firstRowLastColumn="0" w:lastRowFirstColumn="0" w:lastRowLastColumn="0"/>
              <w:rPr>
                <w:rFonts w:cstheme="minorHAnsi"/>
                <w:bCs/>
                <w:color w:val="002060"/>
                <w:sz w:val="18"/>
                <w:lang w:val="sr-Cyrl-RS"/>
              </w:rPr>
            </w:pPr>
            <w:r w:rsidRPr="00A37BCE">
              <w:rPr>
                <w:rFonts w:cstheme="minorHAnsi"/>
                <w:bCs/>
                <w:color w:val="002060"/>
                <w:sz w:val="18"/>
                <w:lang w:val="sr-Cyrl-RS"/>
              </w:rPr>
              <w:t>Просечно трајање успоравања</w:t>
            </w:r>
            <w:r w:rsidR="004E4676" w:rsidRPr="00A37BCE">
              <w:rPr>
                <w:rFonts w:cstheme="minorHAnsi"/>
                <w:bCs/>
                <w:color w:val="002060"/>
                <w:sz w:val="18"/>
                <w:lang w:val="sr-Cyrl-RS"/>
              </w:rPr>
              <w:t xml:space="preserve"> (у кварталима)</w:t>
            </w:r>
          </w:p>
        </w:tc>
        <w:tc>
          <w:tcPr>
            <w:tcW w:w="1206" w:type="dxa"/>
            <w:tcBorders>
              <w:top w:val="single" w:sz="4" w:space="0" w:color="002060"/>
              <w:bottom w:val="single" w:sz="4" w:space="0" w:color="002060"/>
            </w:tcBorders>
            <w:shd w:val="clear" w:color="auto" w:fill="auto"/>
          </w:tcPr>
          <w:p w14:paraId="228BD4C0" w14:textId="617492CC" w:rsidR="00DB17B8" w:rsidRPr="00A37BCE" w:rsidRDefault="00DB17B8" w:rsidP="002C1D90">
            <w:pPr>
              <w:jc w:val="center"/>
              <w:cnfStyle w:val="000000100000" w:firstRow="0" w:lastRow="0" w:firstColumn="0" w:lastColumn="0" w:oddVBand="0" w:evenVBand="0" w:oddHBand="1" w:evenHBand="0" w:firstRowFirstColumn="0" w:firstRowLastColumn="0" w:lastRowFirstColumn="0" w:lastRowLastColumn="0"/>
              <w:rPr>
                <w:rFonts w:cstheme="minorHAnsi"/>
                <w:bCs/>
                <w:color w:val="002060"/>
                <w:sz w:val="18"/>
                <w:lang w:val="sr-Cyrl-RS"/>
              </w:rPr>
            </w:pPr>
            <w:r w:rsidRPr="00A37BCE">
              <w:rPr>
                <w:rFonts w:cstheme="minorHAnsi"/>
                <w:bCs/>
                <w:color w:val="002060"/>
                <w:sz w:val="18"/>
                <w:lang w:val="sr-Cyrl-RS"/>
              </w:rPr>
              <w:t>Просечно трајање</w:t>
            </w:r>
            <w:r w:rsidR="004E4676" w:rsidRPr="00A37BCE">
              <w:rPr>
                <w:rFonts w:cstheme="minorHAnsi"/>
                <w:bCs/>
                <w:color w:val="002060"/>
                <w:sz w:val="18"/>
                <w:lang w:val="sr-Cyrl-RS"/>
              </w:rPr>
              <w:t xml:space="preserve"> (у кварталима)</w:t>
            </w:r>
          </w:p>
        </w:tc>
        <w:tc>
          <w:tcPr>
            <w:tcW w:w="1595" w:type="dxa"/>
            <w:tcBorders>
              <w:top w:val="single" w:sz="4" w:space="0" w:color="002060"/>
              <w:bottom w:val="single" w:sz="4" w:space="0" w:color="002060"/>
            </w:tcBorders>
            <w:shd w:val="clear" w:color="auto" w:fill="auto"/>
          </w:tcPr>
          <w:p w14:paraId="696D9C78" w14:textId="0F917C16" w:rsidR="00DB17B8" w:rsidRPr="00A37BCE" w:rsidRDefault="00DB17B8" w:rsidP="006C6F5F">
            <w:pPr>
              <w:jc w:val="center"/>
              <w:cnfStyle w:val="000000100000" w:firstRow="0" w:lastRow="0" w:firstColumn="0" w:lastColumn="0" w:oddVBand="0" w:evenVBand="0" w:oddHBand="1" w:evenHBand="0" w:firstRowFirstColumn="0" w:firstRowLastColumn="0" w:lastRowFirstColumn="0" w:lastRowLastColumn="0"/>
              <w:rPr>
                <w:rFonts w:cstheme="minorHAnsi"/>
                <w:bCs/>
                <w:color w:val="002060"/>
                <w:sz w:val="18"/>
                <w:lang w:val="sr-Cyrl-RS"/>
              </w:rPr>
            </w:pPr>
            <w:r w:rsidRPr="00A37BCE">
              <w:rPr>
                <w:rFonts w:cstheme="minorHAnsi"/>
                <w:bCs/>
                <w:color w:val="002060"/>
                <w:sz w:val="18"/>
                <w:lang w:val="sr-Cyrl-RS"/>
              </w:rPr>
              <w:t xml:space="preserve">Просечна амплитуда </w:t>
            </w:r>
            <w:r w:rsidR="006C6F5F" w:rsidRPr="00A37BCE">
              <w:rPr>
                <w:rFonts w:cstheme="minorHAnsi"/>
                <w:bCs/>
                <w:color w:val="002060"/>
                <w:sz w:val="18"/>
                <w:lang w:val="sr-Cyrl-RS"/>
              </w:rPr>
              <w:t>убрзања</w:t>
            </w:r>
            <w:r w:rsidR="004E4676" w:rsidRPr="00A37BCE">
              <w:rPr>
                <w:rFonts w:cstheme="minorHAnsi"/>
                <w:bCs/>
                <w:color w:val="002060"/>
                <w:sz w:val="18"/>
                <w:lang w:val="sr-Cyrl-RS"/>
              </w:rPr>
              <w:t>, %</w:t>
            </w:r>
          </w:p>
        </w:tc>
        <w:tc>
          <w:tcPr>
            <w:tcW w:w="1395" w:type="dxa"/>
            <w:tcBorders>
              <w:top w:val="single" w:sz="4" w:space="0" w:color="002060"/>
              <w:bottom w:val="single" w:sz="4" w:space="0" w:color="002060"/>
            </w:tcBorders>
            <w:shd w:val="clear" w:color="auto" w:fill="auto"/>
          </w:tcPr>
          <w:p w14:paraId="2D1895D1" w14:textId="5D202486" w:rsidR="00DB17B8" w:rsidRPr="00A37BCE" w:rsidRDefault="00DB17B8" w:rsidP="002C1D90">
            <w:pPr>
              <w:jc w:val="center"/>
              <w:cnfStyle w:val="000000100000" w:firstRow="0" w:lastRow="0" w:firstColumn="0" w:lastColumn="0" w:oddVBand="0" w:evenVBand="0" w:oddHBand="1" w:evenHBand="0" w:firstRowFirstColumn="0" w:firstRowLastColumn="0" w:lastRowFirstColumn="0" w:lastRowLastColumn="0"/>
              <w:rPr>
                <w:rFonts w:cstheme="minorHAnsi"/>
                <w:bCs/>
                <w:color w:val="002060"/>
                <w:sz w:val="18"/>
                <w:lang w:val="sr-Cyrl-RS"/>
              </w:rPr>
            </w:pPr>
            <w:r w:rsidRPr="00A37BCE">
              <w:rPr>
                <w:rFonts w:cstheme="minorHAnsi"/>
                <w:bCs/>
                <w:color w:val="002060"/>
                <w:sz w:val="18"/>
                <w:lang w:val="sr-Cyrl-RS"/>
              </w:rPr>
              <w:t>Просечна амплитуда успоравања</w:t>
            </w:r>
            <w:r w:rsidR="004E4676" w:rsidRPr="00A37BCE">
              <w:rPr>
                <w:rFonts w:cstheme="minorHAnsi"/>
                <w:bCs/>
                <w:color w:val="002060"/>
                <w:sz w:val="18"/>
                <w:lang w:val="sr-Cyrl-RS"/>
              </w:rPr>
              <w:t>, %</w:t>
            </w:r>
          </w:p>
        </w:tc>
        <w:tc>
          <w:tcPr>
            <w:tcW w:w="1294" w:type="dxa"/>
            <w:tcBorders>
              <w:top w:val="single" w:sz="4" w:space="0" w:color="002060"/>
              <w:bottom w:val="single" w:sz="4" w:space="0" w:color="002060"/>
            </w:tcBorders>
            <w:shd w:val="clear" w:color="auto" w:fill="auto"/>
          </w:tcPr>
          <w:p w14:paraId="23382DD2" w14:textId="5DE04535" w:rsidR="00DB17B8" w:rsidRPr="00A37BCE" w:rsidRDefault="00DB17B8" w:rsidP="002C1D90">
            <w:pPr>
              <w:jc w:val="center"/>
              <w:cnfStyle w:val="000000100000" w:firstRow="0" w:lastRow="0" w:firstColumn="0" w:lastColumn="0" w:oddVBand="0" w:evenVBand="0" w:oddHBand="1" w:evenHBand="0" w:firstRowFirstColumn="0" w:firstRowLastColumn="0" w:lastRowFirstColumn="0" w:lastRowLastColumn="0"/>
              <w:rPr>
                <w:rFonts w:cstheme="minorHAnsi"/>
                <w:bCs/>
                <w:color w:val="002060"/>
                <w:sz w:val="18"/>
                <w:lang w:val="sr-Cyrl-RS"/>
              </w:rPr>
            </w:pPr>
            <w:r w:rsidRPr="00A37BCE">
              <w:rPr>
                <w:rFonts w:cstheme="minorHAnsi"/>
                <w:bCs/>
                <w:color w:val="002060"/>
                <w:sz w:val="18"/>
                <w:lang w:val="sr-Cyrl-RS"/>
              </w:rPr>
              <w:t>Просечна амплитуда</w:t>
            </w:r>
            <w:r w:rsidR="004E4676" w:rsidRPr="00A37BCE">
              <w:rPr>
                <w:rFonts w:cstheme="minorHAnsi"/>
                <w:bCs/>
                <w:color w:val="002060"/>
                <w:sz w:val="18"/>
                <w:lang w:val="sr-Cyrl-RS"/>
              </w:rPr>
              <w:t>,%</w:t>
            </w:r>
          </w:p>
        </w:tc>
      </w:tr>
      <w:tr w:rsidR="00DB17B8" w:rsidRPr="00A37BCE" w14:paraId="78035008" w14:textId="77777777" w:rsidTr="000814C2">
        <w:trPr>
          <w:trHeight w:val="261"/>
          <w:jc w:val="center"/>
        </w:trPr>
        <w:tc>
          <w:tcPr>
            <w:cnfStyle w:val="001000000000" w:firstRow="0" w:lastRow="0" w:firstColumn="1" w:lastColumn="0" w:oddVBand="0" w:evenVBand="0" w:oddHBand="0" w:evenHBand="0" w:firstRowFirstColumn="0" w:firstRowLastColumn="0" w:lastRowFirstColumn="0" w:lastRowLastColumn="0"/>
            <w:tcW w:w="1190" w:type="dxa"/>
            <w:tcBorders>
              <w:left w:val="none" w:sz="0" w:space="0" w:color="auto"/>
            </w:tcBorders>
            <w:shd w:val="clear" w:color="auto" w:fill="auto"/>
          </w:tcPr>
          <w:p w14:paraId="4058B1EC" w14:textId="10704B05" w:rsidR="00DB17B8" w:rsidRPr="00A37BCE" w:rsidRDefault="00DB17B8" w:rsidP="002C1D90">
            <w:pPr>
              <w:rPr>
                <w:rFonts w:cstheme="minorHAnsi"/>
                <w:b w:val="0"/>
                <w:bCs w:val="0"/>
                <w:color w:val="002060"/>
                <w:sz w:val="18"/>
                <w:lang w:val="sr-Cyrl-RS"/>
              </w:rPr>
            </w:pPr>
            <w:r w:rsidRPr="00A37BCE">
              <w:rPr>
                <w:rFonts w:cstheme="minorHAnsi"/>
                <w:b w:val="0"/>
                <w:bCs w:val="0"/>
                <w:color w:val="002060"/>
                <w:sz w:val="18"/>
                <w:lang w:val="sr-Cyrl-RS"/>
              </w:rPr>
              <w:t>ЕУ28</w:t>
            </w:r>
          </w:p>
        </w:tc>
        <w:tc>
          <w:tcPr>
            <w:tcW w:w="1295" w:type="dxa"/>
            <w:tcBorders>
              <w:top w:val="single" w:sz="4" w:space="0" w:color="002060"/>
            </w:tcBorders>
            <w:shd w:val="clear" w:color="auto" w:fill="auto"/>
          </w:tcPr>
          <w:p w14:paraId="25AE77B0" w14:textId="0C77F76D" w:rsidR="00DB17B8" w:rsidRPr="00A37BCE" w:rsidRDefault="0070727F" w:rsidP="002C1D90">
            <w:pPr>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lang w:val="sr-Cyrl-RS"/>
              </w:rPr>
            </w:pPr>
            <w:r w:rsidRPr="00A37BCE">
              <w:rPr>
                <w:rFonts w:cstheme="minorHAnsi"/>
                <w:color w:val="002060"/>
                <w:sz w:val="18"/>
                <w:lang w:val="sr-Cyrl-RS"/>
              </w:rPr>
              <w:t>9,2</w:t>
            </w:r>
          </w:p>
        </w:tc>
        <w:tc>
          <w:tcPr>
            <w:tcW w:w="1385" w:type="dxa"/>
            <w:tcBorders>
              <w:top w:val="single" w:sz="4" w:space="0" w:color="002060"/>
            </w:tcBorders>
            <w:shd w:val="clear" w:color="auto" w:fill="auto"/>
          </w:tcPr>
          <w:p w14:paraId="31326352" w14:textId="2341E0E5" w:rsidR="00DB17B8" w:rsidRPr="00A37BCE" w:rsidRDefault="0070727F" w:rsidP="002C1D90">
            <w:pPr>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lang w:val="sr-Cyrl-RS"/>
              </w:rPr>
            </w:pPr>
            <w:r w:rsidRPr="00A37BCE">
              <w:rPr>
                <w:rFonts w:cstheme="minorHAnsi"/>
                <w:color w:val="002060"/>
                <w:sz w:val="18"/>
                <w:lang w:val="sr-Cyrl-RS"/>
              </w:rPr>
              <w:t>7,2</w:t>
            </w:r>
          </w:p>
        </w:tc>
        <w:tc>
          <w:tcPr>
            <w:tcW w:w="1206" w:type="dxa"/>
            <w:tcBorders>
              <w:top w:val="single" w:sz="4" w:space="0" w:color="002060"/>
            </w:tcBorders>
            <w:shd w:val="clear" w:color="auto" w:fill="auto"/>
          </w:tcPr>
          <w:p w14:paraId="75190618" w14:textId="6E946BAA" w:rsidR="00DB17B8" w:rsidRPr="00A37BCE" w:rsidRDefault="0070727F" w:rsidP="002C1D90">
            <w:pPr>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lang w:val="sr-Cyrl-RS"/>
              </w:rPr>
            </w:pPr>
            <w:r w:rsidRPr="00A37BCE">
              <w:rPr>
                <w:rFonts w:cstheme="minorHAnsi"/>
                <w:color w:val="002060"/>
                <w:sz w:val="18"/>
                <w:lang w:val="sr-Cyrl-RS"/>
              </w:rPr>
              <w:t>16,4</w:t>
            </w:r>
          </w:p>
        </w:tc>
        <w:tc>
          <w:tcPr>
            <w:tcW w:w="1595" w:type="dxa"/>
            <w:tcBorders>
              <w:top w:val="single" w:sz="4" w:space="0" w:color="002060"/>
            </w:tcBorders>
            <w:shd w:val="clear" w:color="auto" w:fill="auto"/>
          </w:tcPr>
          <w:p w14:paraId="5C0BC798" w14:textId="06D1D509" w:rsidR="00DB17B8" w:rsidRPr="00A37BCE" w:rsidRDefault="0070727F" w:rsidP="002C1D90">
            <w:pPr>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lang w:val="sr-Cyrl-RS"/>
              </w:rPr>
            </w:pPr>
            <w:r w:rsidRPr="00A37BCE">
              <w:rPr>
                <w:rFonts w:cstheme="minorHAnsi"/>
                <w:color w:val="002060"/>
                <w:sz w:val="18"/>
                <w:lang w:val="sr-Cyrl-RS"/>
              </w:rPr>
              <w:t>1,9</w:t>
            </w:r>
          </w:p>
        </w:tc>
        <w:tc>
          <w:tcPr>
            <w:tcW w:w="1395" w:type="dxa"/>
            <w:tcBorders>
              <w:top w:val="single" w:sz="4" w:space="0" w:color="002060"/>
            </w:tcBorders>
            <w:shd w:val="clear" w:color="auto" w:fill="auto"/>
          </w:tcPr>
          <w:p w14:paraId="4AF4FC3E" w14:textId="01D68AD7" w:rsidR="00DB17B8" w:rsidRPr="00A37BCE" w:rsidRDefault="0070727F" w:rsidP="002C1D90">
            <w:pPr>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lang w:val="sr-Cyrl-RS"/>
              </w:rPr>
            </w:pPr>
            <w:r w:rsidRPr="00A37BCE">
              <w:rPr>
                <w:rFonts w:cstheme="minorHAnsi"/>
                <w:color w:val="002060"/>
                <w:sz w:val="18"/>
                <w:lang w:val="sr-Cyrl-RS"/>
              </w:rPr>
              <w:t>2,0</w:t>
            </w:r>
          </w:p>
        </w:tc>
        <w:tc>
          <w:tcPr>
            <w:tcW w:w="1294" w:type="dxa"/>
            <w:tcBorders>
              <w:top w:val="single" w:sz="4" w:space="0" w:color="002060"/>
            </w:tcBorders>
            <w:shd w:val="clear" w:color="auto" w:fill="auto"/>
          </w:tcPr>
          <w:p w14:paraId="337DB130" w14:textId="0BAFBC1D" w:rsidR="00DB17B8" w:rsidRPr="00A37BCE" w:rsidRDefault="0070727F" w:rsidP="002C1D90">
            <w:pPr>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lang w:val="sr-Cyrl-RS"/>
              </w:rPr>
            </w:pPr>
            <w:r w:rsidRPr="00A37BCE">
              <w:rPr>
                <w:rFonts w:cstheme="minorHAnsi"/>
                <w:color w:val="002060"/>
                <w:sz w:val="18"/>
                <w:lang w:val="sr-Cyrl-RS"/>
              </w:rPr>
              <w:t>1,95</w:t>
            </w:r>
          </w:p>
        </w:tc>
      </w:tr>
      <w:tr w:rsidR="00DB17B8" w:rsidRPr="00A37BCE" w14:paraId="7DF82D68" w14:textId="77777777" w:rsidTr="000814C2">
        <w:trPr>
          <w:cnfStyle w:val="000000100000" w:firstRow="0" w:lastRow="0" w:firstColumn="0" w:lastColumn="0" w:oddVBand="0" w:evenVBand="0" w:oddHBand="1" w:evenHBand="0" w:firstRowFirstColumn="0" w:firstRowLastColumn="0" w:lastRowFirstColumn="0" w:lastRowLastColumn="0"/>
          <w:trHeight w:val="245"/>
          <w:jc w:val="center"/>
        </w:trPr>
        <w:tc>
          <w:tcPr>
            <w:cnfStyle w:val="001000000000" w:firstRow="0" w:lastRow="0" w:firstColumn="1" w:lastColumn="0" w:oddVBand="0" w:evenVBand="0" w:oddHBand="0" w:evenHBand="0" w:firstRowFirstColumn="0" w:firstRowLastColumn="0" w:lastRowFirstColumn="0" w:lastRowLastColumn="0"/>
            <w:tcW w:w="1190" w:type="dxa"/>
            <w:tcBorders>
              <w:left w:val="none" w:sz="0" w:space="0" w:color="auto"/>
            </w:tcBorders>
            <w:shd w:val="clear" w:color="auto" w:fill="auto"/>
          </w:tcPr>
          <w:p w14:paraId="32223BB1" w14:textId="77777777" w:rsidR="00DB17B8" w:rsidRPr="00A37BCE" w:rsidRDefault="00DB17B8" w:rsidP="002C1D90">
            <w:pPr>
              <w:rPr>
                <w:rFonts w:cstheme="minorHAnsi"/>
                <w:b w:val="0"/>
                <w:bCs w:val="0"/>
                <w:color w:val="002060"/>
                <w:sz w:val="18"/>
                <w:lang w:val="sr-Cyrl-RS"/>
              </w:rPr>
            </w:pPr>
            <w:r w:rsidRPr="00A37BCE">
              <w:rPr>
                <w:rFonts w:cstheme="minorHAnsi"/>
                <w:b w:val="0"/>
                <w:bCs w:val="0"/>
                <w:color w:val="002060"/>
                <w:sz w:val="18"/>
                <w:lang w:val="sr-Cyrl-RS"/>
              </w:rPr>
              <w:t>Немачка</w:t>
            </w:r>
          </w:p>
        </w:tc>
        <w:tc>
          <w:tcPr>
            <w:tcW w:w="1295" w:type="dxa"/>
            <w:shd w:val="clear" w:color="auto" w:fill="auto"/>
          </w:tcPr>
          <w:p w14:paraId="6658C7A5" w14:textId="039D8B0C" w:rsidR="00DB17B8" w:rsidRPr="00A37BCE" w:rsidRDefault="00F6575E" w:rsidP="002C1D90">
            <w:pPr>
              <w:jc w:val="center"/>
              <w:cnfStyle w:val="000000100000" w:firstRow="0" w:lastRow="0" w:firstColumn="0" w:lastColumn="0" w:oddVBand="0" w:evenVBand="0" w:oddHBand="1" w:evenHBand="0" w:firstRowFirstColumn="0" w:firstRowLastColumn="0" w:lastRowFirstColumn="0" w:lastRowLastColumn="0"/>
              <w:rPr>
                <w:rFonts w:cstheme="minorHAnsi"/>
                <w:color w:val="002060"/>
                <w:sz w:val="18"/>
                <w:lang w:val="sr-Cyrl-RS"/>
              </w:rPr>
            </w:pPr>
            <w:r w:rsidRPr="00A37BCE">
              <w:rPr>
                <w:rFonts w:cstheme="minorHAnsi"/>
                <w:color w:val="002060"/>
                <w:sz w:val="18"/>
                <w:lang w:val="sr-Cyrl-RS"/>
              </w:rPr>
              <w:t>9,4</w:t>
            </w:r>
          </w:p>
        </w:tc>
        <w:tc>
          <w:tcPr>
            <w:tcW w:w="1385" w:type="dxa"/>
            <w:shd w:val="clear" w:color="auto" w:fill="auto"/>
          </w:tcPr>
          <w:p w14:paraId="76EFF6AE" w14:textId="4FD6420D" w:rsidR="00DB17B8" w:rsidRPr="00A37BCE" w:rsidRDefault="0070727F" w:rsidP="002C1D90">
            <w:pPr>
              <w:jc w:val="center"/>
              <w:cnfStyle w:val="000000100000" w:firstRow="0" w:lastRow="0" w:firstColumn="0" w:lastColumn="0" w:oddVBand="0" w:evenVBand="0" w:oddHBand="1" w:evenHBand="0" w:firstRowFirstColumn="0" w:firstRowLastColumn="0" w:lastRowFirstColumn="0" w:lastRowLastColumn="0"/>
              <w:rPr>
                <w:rFonts w:cstheme="minorHAnsi"/>
                <w:color w:val="002060"/>
                <w:sz w:val="18"/>
                <w:lang w:val="sr-Cyrl-RS"/>
              </w:rPr>
            </w:pPr>
            <w:r w:rsidRPr="00A37BCE">
              <w:rPr>
                <w:rFonts w:cstheme="minorHAnsi"/>
                <w:color w:val="002060"/>
                <w:sz w:val="18"/>
                <w:lang w:val="sr-Cyrl-RS"/>
              </w:rPr>
              <w:t>7,4</w:t>
            </w:r>
          </w:p>
        </w:tc>
        <w:tc>
          <w:tcPr>
            <w:tcW w:w="1206" w:type="dxa"/>
            <w:shd w:val="clear" w:color="auto" w:fill="auto"/>
          </w:tcPr>
          <w:p w14:paraId="6ED76712" w14:textId="7CC6BCD6" w:rsidR="00DB17B8" w:rsidRPr="00A37BCE" w:rsidRDefault="0070727F" w:rsidP="002C1D90">
            <w:pPr>
              <w:jc w:val="center"/>
              <w:cnfStyle w:val="000000100000" w:firstRow="0" w:lastRow="0" w:firstColumn="0" w:lastColumn="0" w:oddVBand="0" w:evenVBand="0" w:oddHBand="1" w:evenHBand="0" w:firstRowFirstColumn="0" w:firstRowLastColumn="0" w:lastRowFirstColumn="0" w:lastRowLastColumn="0"/>
              <w:rPr>
                <w:rFonts w:cstheme="minorHAnsi"/>
                <w:color w:val="002060"/>
                <w:sz w:val="18"/>
                <w:lang w:val="sr-Cyrl-RS"/>
              </w:rPr>
            </w:pPr>
            <w:r w:rsidRPr="00A37BCE">
              <w:rPr>
                <w:rFonts w:cstheme="minorHAnsi"/>
                <w:color w:val="002060"/>
                <w:sz w:val="18"/>
                <w:lang w:val="sr-Cyrl-RS"/>
              </w:rPr>
              <w:t>16,8</w:t>
            </w:r>
          </w:p>
        </w:tc>
        <w:tc>
          <w:tcPr>
            <w:tcW w:w="1595" w:type="dxa"/>
            <w:shd w:val="clear" w:color="auto" w:fill="auto"/>
          </w:tcPr>
          <w:p w14:paraId="589A131A" w14:textId="0806849A" w:rsidR="00DB17B8" w:rsidRPr="00A37BCE" w:rsidRDefault="0070727F" w:rsidP="002C1D90">
            <w:pPr>
              <w:jc w:val="center"/>
              <w:cnfStyle w:val="000000100000" w:firstRow="0" w:lastRow="0" w:firstColumn="0" w:lastColumn="0" w:oddVBand="0" w:evenVBand="0" w:oddHBand="1" w:evenHBand="0" w:firstRowFirstColumn="0" w:firstRowLastColumn="0" w:lastRowFirstColumn="0" w:lastRowLastColumn="0"/>
              <w:rPr>
                <w:rFonts w:cstheme="minorHAnsi"/>
                <w:color w:val="002060"/>
                <w:sz w:val="18"/>
                <w:lang w:val="sr-Cyrl-RS"/>
              </w:rPr>
            </w:pPr>
            <w:r w:rsidRPr="00A37BCE">
              <w:rPr>
                <w:rFonts w:cstheme="minorHAnsi"/>
                <w:color w:val="002060"/>
                <w:sz w:val="18"/>
                <w:lang w:val="sr-Cyrl-RS"/>
              </w:rPr>
              <w:t>2,3</w:t>
            </w:r>
          </w:p>
        </w:tc>
        <w:tc>
          <w:tcPr>
            <w:tcW w:w="1395" w:type="dxa"/>
            <w:shd w:val="clear" w:color="auto" w:fill="auto"/>
          </w:tcPr>
          <w:p w14:paraId="29DBA623" w14:textId="46DB9892" w:rsidR="00DB17B8" w:rsidRPr="00A37BCE" w:rsidRDefault="0070727F" w:rsidP="002C1D90">
            <w:pPr>
              <w:jc w:val="center"/>
              <w:cnfStyle w:val="000000100000" w:firstRow="0" w:lastRow="0" w:firstColumn="0" w:lastColumn="0" w:oddVBand="0" w:evenVBand="0" w:oddHBand="1" w:evenHBand="0" w:firstRowFirstColumn="0" w:firstRowLastColumn="0" w:lastRowFirstColumn="0" w:lastRowLastColumn="0"/>
              <w:rPr>
                <w:rFonts w:cstheme="minorHAnsi"/>
                <w:color w:val="002060"/>
                <w:sz w:val="18"/>
                <w:lang w:val="sr-Cyrl-RS"/>
              </w:rPr>
            </w:pPr>
            <w:r w:rsidRPr="00A37BCE">
              <w:rPr>
                <w:rFonts w:cstheme="minorHAnsi"/>
                <w:color w:val="002060"/>
                <w:sz w:val="18"/>
                <w:lang w:val="sr-Cyrl-RS"/>
              </w:rPr>
              <w:t>2,2</w:t>
            </w:r>
          </w:p>
        </w:tc>
        <w:tc>
          <w:tcPr>
            <w:tcW w:w="1294" w:type="dxa"/>
            <w:shd w:val="clear" w:color="auto" w:fill="auto"/>
          </w:tcPr>
          <w:p w14:paraId="6A815073" w14:textId="77777777" w:rsidR="00DB17B8" w:rsidRPr="00A37BCE" w:rsidRDefault="00DB17B8" w:rsidP="002C1D90">
            <w:pPr>
              <w:jc w:val="center"/>
              <w:cnfStyle w:val="000000100000" w:firstRow="0" w:lastRow="0" w:firstColumn="0" w:lastColumn="0" w:oddVBand="0" w:evenVBand="0" w:oddHBand="1" w:evenHBand="0" w:firstRowFirstColumn="0" w:firstRowLastColumn="0" w:lastRowFirstColumn="0" w:lastRowLastColumn="0"/>
              <w:rPr>
                <w:rFonts w:cstheme="minorHAnsi"/>
                <w:color w:val="002060"/>
                <w:sz w:val="18"/>
                <w:lang w:val="sr-Cyrl-RS"/>
              </w:rPr>
            </w:pPr>
            <w:r w:rsidRPr="00A37BCE">
              <w:rPr>
                <w:rFonts w:cstheme="minorHAnsi"/>
                <w:color w:val="002060"/>
                <w:sz w:val="18"/>
                <w:lang w:val="sr-Cyrl-RS"/>
              </w:rPr>
              <w:t>2,25</w:t>
            </w:r>
          </w:p>
        </w:tc>
      </w:tr>
      <w:tr w:rsidR="00DB17B8" w:rsidRPr="00A37BCE" w14:paraId="18AC9814" w14:textId="77777777" w:rsidTr="000814C2">
        <w:trPr>
          <w:trHeight w:val="261"/>
          <w:jc w:val="center"/>
        </w:trPr>
        <w:tc>
          <w:tcPr>
            <w:cnfStyle w:val="001000000000" w:firstRow="0" w:lastRow="0" w:firstColumn="1" w:lastColumn="0" w:oddVBand="0" w:evenVBand="0" w:oddHBand="0" w:evenHBand="0" w:firstRowFirstColumn="0" w:firstRowLastColumn="0" w:lastRowFirstColumn="0" w:lastRowLastColumn="0"/>
            <w:tcW w:w="1190" w:type="dxa"/>
            <w:tcBorders>
              <w:left w:val="none" w:sz="0" w:space="0" w:color="auto"/>
            </w:tcBorders>
            <w:shd w:val="clear" w:color="auto" w:fill="auto"/>
          </w:tcPr>
          <w:p w14:paraId="34F2E29F" w14:textId="1BEA92A2" w:rsidR="00DB17B8" w:rsidRPr="00A37BCE" w:rsidRDefault="00DB17B8" w:rsidP="002C1D90">
            <w:pPr>
              <w:rPr>
                <w:rFonts w:cstheme="minorHAnsi"/>
                <w:b w:val="0"/>
                <w:bCs w:val="0"/>
                <w:color w:val="002060"/>
                <w:sz w:val="18"/>
                <w:lang w:val="sr-Cyrl-RS"/>
              </w:rPr>
            </w:pPr>
            <w:r w:rsidRPr="00A37BCE">
              <w:rPr>
                <w:rFonts w:cstheme="minorHAnsi"/>
                <w:b w:val="0"/>
                <w:bCs w:val="0"/>
                <w:color w:val="002060"/>
                <w:sz w:val="18"/>
                <w:lang w:val="sr-Cyrl-RS"/>
              </w:rPr>
              <w:t>Италија</w:t>
            </w:r>
          </w:p>
        </w:tc>
        <w:tc>
          <w:tcPr>
            <w:tcW w:w="1295" w:type="dxa"/>
            <w:shd w:val="clear" w:color="auto" w:fill="auto"/>
          </w:tcPr>
          <w:p w14:paraId="64ECC0B5" w14:textId="7DB82549" w:rsidR="00DB17B8" w:rsidRPr="00A37BCE" w:rsidRDefault="0070727F" w:rsidP="002C1D90">
            <w:pPr>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lang w:val="sr-Cyrl-RS"/>
              </w:rPr>
            </w:pPr>
            <w:r w:rsidRPr="00A37BCE">
              <w:rPr>
                <w:rFonts w:cstheme="minorHAnsi"/>
                <w:color w:val="002060"/>
                <w:sz w:val="18"/>
                <w:lang w:val="sr-Cyrl-RS"/>
              </w:rPr>
              <w:t>8,5</w:t>
            </w:r>
          </w:p>
        </w:tc>
        <w:tc>
          <w:tcPr>
            <w:tcW w:w="1385" w:type="dxa"/>
            <w:shd w:val="clear" w:color="auto" w:fill="auto"/>
          </w:tcPr>
          <w:p w14:paraId="69A9BC83" w14:textId="4BBBB0C6" w:rsidR="00DB17B8" w:rsidRPr="00A37BCE" w:rsidRDefault="0070727F" w:rsidP="002C1D90">
            <w:pPr>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lang w:val="sr-Cyrl-RS"/>
              </w:rPr>
            </w:pPr>
            <w:r w:rsidRPr="00A37BCE">
              <w:rPr>
                <w:rFonts w:cstheme="minorHAnsi"/>
                <w:color w:val="002060"/>
                <w:sz w:val="18"/>
                <w:lang w:val="sr-Cyrl-RS"/>
              </w:rPr>
              <w:t>8,0</w:t>
            </w:r>
          </w:p>
        </w:tc>
        <w:tc>
          <w:tcPr>
            <w:tcW w:w="1206" w:type="dxa"/>
            <w:shd w:val="clear" w:color="auto" w:fill="auto"/>
          </w:tcPr>
          <w:p w14:paraId="2FB1E8D9" w14:textId="50C17FF7" w:rsidR="00DB17B8" w:rsidRPr="00A37BCE" w:rsidRDefault="0070727F" w:rsidP="002C1D90">
            <w:pPr>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lang w:val="sr-Cyrl-RS"/>
              </w:rPr>
            </w:pPr>
            <w:r w:rsidRPr="00A37BCE">
              <w:rPr>
                <w:rFonts w:cstheme="minorHAnsi"/>
                <w:color w:val="002060"/>
                <w:sz w:val="18"/>
                <w:lang w:val="sr-Cyrl-RS"/>
              </w:rPr>
              <w:t>16,5</w:t>
            </w:r>
          </w:p>
        </w:tc>
        <w:tc>
          <w:tcPr>
            <w:tcW w:w="1595" w:type="dxa"/>
            <w:shd w:val="clear" w:color="auto" w:fill="auto"/>
          </w:tcPr>
          <w:p w14:paraId="573E9EF4" w14:textId="141028DB" w:rsidR="00DB17B8" w:rsidRPr="00A37BCE" w:rsidRDefault="0070727F" w:rsidP="002C1D90">
            <w:pPr>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lang w:val="sr-Cyrl-RS"/>
              </w:rPr>
            </w:pPr>
            <w:r w:rsidRPr="00A37BCE">
              <w:rPr>
                <w:rFonts w:cstheme="minorHAnsi"/>
                <w:color w:val="002060"/>
                <w:sz w:val="18"/>
                <w:lang w:val="sr-Cyrl-RS"/>
              </w:rPr>
              <w:t>2,4</w:t>
            </w:r>
          </w:p>
        </w:tc>
        <w:tc>
          <w:tcPr>
            <w:tcW w:w="1395" w:type="dxa"/>
            <w:shd w:val="clear" w:color="auto" w:fill="auto"/>
          </w:tcPr>
          <w:p w14:paraId="1864D37B" w14:textId="1E9369E4" w:rsidR="00DB17B8" w:rsidRPr="00A37BCE" w:rsidRDefault="0070727F" w:rsidP="002C1D90">
            <w:pPr>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lang w:val="sr-Cyrl-RS"/>
              </w:rPr>
            </w:pPr>
            <w:r w:rsidRPr="00A37BCE">
              <w:rPr>
                <w:rFonts w:cstheme="minorHAnsi"/>
                <w:color w:val="002060"/>
                <w:sz w:val="18"/>
                <w:lang w:val="sr-Cyrl-RS"/>
              </w:rPr>
              <w:t>2,6</w:t>
            </w:r>
          </w:p>
        </w:tc>
        <w:tc>
          <w:tcPr>
            <w:tcW w:w="1294" w:type="dxa"/>
            <w:shd w:val="clear" w:color="auto" w:fill="auto"/>
          </w:tcPr>
          <w:p w14:paraId="6F11CB2E" w14:textId="6A992C88" w:rsidR="00DB17B8" w:rsidRPr="00A37BCE" w:rsidRDefault="0070727F" w:rsidP="002C1D90">
            <w:pPr>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lang w:val="sr-Cyrl-RS"/>
              </w:rPr>
            </w:pPr>
            <w:r w:rsidRPr="00A37BCE">
              <w:rPr>
                <w:rFonts w:cstheme="minorHAnsi"/>
                <w:color w:val="002060"/>
                <w:sz w:val="18"/>
                <w:lang w:val="sr-Cyrl-RS"/>
              </w:rPr>
              <w:t>2,50</w:t>
            </w:r>
          </w:p>
        </w:tc>
      </w:tr>
      <w:tr w:rsidR="00DB17B8" w:rsidRPr="00A37BCE" w14:paraId="379FFAD3" w14:textId="77777777" w:rsidTr="000814C2">
        <w:trPr>
          <w:cnfStyle w:val="000000100000" w:firstRow="0" w:lastRow="0" w:firstColumn="0" w:lastColumn="0" w:oddVBand="0" w:evenVBand="0" w:oddHBand="1" w:evenHBand="0" w:firstRowFirstColumn="0" w:firstRowLastColumn="0" w:lastRowFirstColumn="0" w:lastRowLastColumn="0"/>
          <w:trHeight w:val="245"/>
          <w:jc w:val="center"/>
        </w:trPr>
        <w:tc>
          <w:tcPr>
            <w:cnfStyle w:val="001000000000" w:firstRow="0" w:lastRow="0" w:firstColumn="1" w:lastColumn="0" w:oddVBand="0" w:evenVBand="0" w:oddHBand="0" w:evenHBand="0" w:firstRowFirstColumn="0" w:firstRowLastColumn="0" w:lastRowFirstColumn="0" w:lastRowLastColumn="0"/>
            <w:tcW w:w="1190" w:type="dxa"/>
            <w:tcBorders>
              <w:left w:val="none" w:sz="0" w:space="0" w:color="auto"/>
              <w:bottom w:val="single" w:sz="4" w:space="0" w:color="002060"/>
            </w:tcBorders>
            <w:shd w:val="clear" w:color="auto" w:fill="auto"/>
          </w:tcPr>
          <w:p w14:paraId="3052EE30" w14:textId="701287E5" w:rsidR="00DB17B8" w:rsidRPr="00A37BCE" w:rsidRDefault="00DB17B8" w:rsidP="002C1D90">
            <w:pPr>
              <w:rPr>
                <w:rFonts w:cstheme="minorHAnsi"/>
                <w:b w:val="0"/>
                <w:bCs w:val="0"/>
                <w:color w:val="002060"/>
                <w:sz w:val="18"/>
                <w:lang w:val="sr-Cyrl-RS"/>
              </w:rPr>
            </w:pPr>
            <w:r w:rsidRPr="00A37BCE">
              <w:rPr>
                <w:rFonts w:cstheme="minorHAnsi"/>
                <w:b w:val="0"/>
                <w:bCs w:val="0"/>
                <w:color w:val="002060"/>
                <w:sz w:val="18"/>
                <w:lang w:val="sr-Cyrl-RS"/>
              </w:rPr>
              <w:t>Србија</w:t>
            </w:r>
          </w:p>
        </w:tc>
        <w:tc>
          <w:tcPr>
            <w:tcW w:w="1295" w:type="dxa"/>
            <w:tcBorders>
              <w:bottom w:val="single" w:sz="4" w:space="0" w:color="002060"/>
            </w:tcBorders>
            <w:shd w:val="clear" w:color="auto" w:fill="auto"/>
          </w:tcPr>
          <w:p w14:paraId="788886BE" w14:textId="06D28630" w:rsidR="00DB17B8" w:rsidRPr="00A37BCE" w:rsidRDefault="0070727F" w:rsidP="002C1D90">
            <w:pPr>
              <w:jc w:val="center"/>
              <w:cnfStyle w:val="000000100000" w:firstRow="0" w:lastRow="0" w:firstColumn="0" w:lastColumn="0" w:oddVBand="0" w:evenVBand="0" w:oddHBand="1" w:evenHBand="0" w:firstRowFirstColumn="0" w:firstRowLastColumn="0" w:lastRowFirstColumn="0" w:lastRowLastColumn="0"/>
              <w:rPr>
                <w:rFonts w:cstheme="minorHAnsi"/>
                <w:color w:val="002060"/>
                <w:sz w:val="18"/>
                <w:lang w:val="sr-Cyrl-RS"/>
              </w:rPr>
            </w:pPr>
            <w:r w:rsidRPr="00A37BCE">
              <w:rPr>
                <w:rFonts w:cstheme="minorHAnsi"/>
                <w:color w:val="002060"/>
                <w:sz w:val="18"/>
                <w:lang w:val="sr-Cyrl-RS"/>
              </w:rPr>
              <w:t>7,3</w:t>
            </w:r>
          </w:p>
        </w:tc>
        <w:tc>
          <w:tcPr>
            <w:tcW w:w="1385" w:type="dxa"/>
            <w:tcBorders>
              <w:bottom w:val="single" w:sz="4" w:space="0" w:color="002060"/>
            </w:tcBorders>
            <w:shd w:val="clear" w:color="auto" w:fill="auto"/>
          </w:tcPr>
          <w:p w14:paraId="28A62907" w14:textId="16DF9E58" w:rsidR="00DB17B8" w:rsidRPr="00A37BCE" w:rsidRDefault="0070727F" w:rsidP="002C1D90">
            <w:pPr>
              <w:jc w:val="center"/>
              <w:cnfStyle w:val="000000100000" w:firstRow="0" w:lastRow="0" w:firstColumn="0" w:lastColumn="0" w:oddVBand="0" w:evenVBand="0" w:oddHBand="1" w:evenHBand="0" w:firstRowFirstColumn="0" w:firstRowLastColumn="0" w:lastRowFirstColumn="0" w:lastRowLastColumn="0"/>
              <w:rPr>
                <w:rFonts w:cstheme="minorHAnsi"/>
                <w:color w:val="002060"/>
                <w:sz w:val="18"/>
                <w:lang w:val="sr-Cyrl-RS"/>
              </w:rPr>
            </w:pPr>
            <w:r w:rsidRPr="00A37BCE">
              <w:rPr>
                <w:rFonts w:cstheme="minorHAnsi"/>
                <w:color w:val="002060"/>
                <w:sz w:val="18"/>
                <w:lang w:val="sr-Cyrl-RS"/>
              </w:rPr>
              <w:t>5,3</w:t>
            </w:r>
          </w:p>
        </w:tc>
        <w:tc>
          <w:tcPr>
            <w:tcW w:w="1206" w:type="dxa"/>
            <w:tcBorders>
              <w:bottom w:val="single" w:sz="4" w:space="0" w:color="002060"/>
            </w:tcBorders>
            <w:shd w:val="clear" w:color="auto" w:fill="auto"/>
          </w:tcPr>
          <w:p w14:paraId="0980AAB8" w14:textId="7594AA13" w:rsidR="00DB17B8" w:rsidRPr="00A37BCE" w:rsidRDefault="0070727F" w:rsidP="002C1D90">
            <w:pPr>
              <w:jc w:val="center"/>
              <w:cnfStyle w:val="000000100000" w:firstRow="0" w:lastRow="0" w:firstColumn="0" w:lastColumn="0" w:oddVBand="0" w:evenVBand="0" w:oddHBand="1" w:evenHBand="0" w:firstRowFirstColumn="0" w:firstRowLastColumn="0" w:lastRowFirstColumn="0" w:lastRowLastColumn="0"/>
              <w:rPr>
                <w:rFonts w:cstheme="minorHAnsi"/>
                <w:color w:val="002060"/>
                <w:sz w:val="18"/>
                <w:lang w:val="sr-Cyrl-RS"/>
              </w:rPr>
            </w:pPr>
            <w:r w:rsidRPr="00A37BCE">
              <w:rPr>
                <w:rFonts w:cstheme="minorHAnsi"/>
                <w:color w:val="002060"/>
                <w:sz w:val="18"/>
                <w:lang w:val="sr-Cyrl-RS"/>
              </w:rPr>
              <w:t>12,6</w:t>
            </w:r>
          </w:p>
        </w:tc>
        <w:tc>
          <w:tcPr>
            <w:tcW w:w="1595" w:type="dxa"/>
            <w:tcBorders>
              <w:bottom w:val="single" w:sz="4" w:space="0" w:color="002060"/>
            </w:tcBorders>
            <w:shd w:val="clear" w:color="auto" w:fill="auto"/>
          </w:tcPr>
          <w:p w14:paraId="2821F8A9" w14:textId="737F24F6" w:rsidR="00DB17B8" w:rsidRPr="00A37BCE" w:rsidRDefault="00F6575E" w:rsidP="002C1D90">
            <w:pPr>
              <w:jc w:val="center"/>
              <w:cnfStyle w:val="000000100000" w:firstRow="0" w:lastRow="0" w:firstColumn="0" w:lastColumn="0" w:oddVBand="0" w:evenVBand="0" w:oddHBand="1" w:evenHBand="0" w:firstRowFirstColumn="0" w:firstRowLastColumn="0" w:lastRowFirstColumn="0" w:lastRowLastColumn="0"/>
              <w:rPr>
                <w:rFonts w:cstheme="minorHAnsi"/>
                <w:color w:val="002060"/>
                <w:sz w:val="18"/>
                <w:lang w:val="sr-Cyrl-RS"/>
              </w:rPr>
            </w:pPr>
            <w:r w:rsidRPr="00A37BCE">
              <w:rPr>
                <w:rFonts w:cstheme="minorHAnsi"/>
                <w:color w:val="002060"/>
                <w:sz w:val="18"/>
                <w:lang w:val="sr-Cyrl-RS"/>
              </w:rPr>
              <w:t>3,8</w:t>
            </w:r>
          </w:p>
        </w:tc>
        <w:tc>
          <w:tcPr>
            <w:tcW w:w="1395" w:type="dxa"/>
            <w:tcBorders>
              <w:bottom w:val="single" w:sz="4" w:space="0" w:color="002060"/>
            </w:tcBorders>
            <w:shd w:val="clear" w:color="auto" w:fill="auto"/>
          </w:tcPr>
          <w:p w14:paraId="3A4D3E7E" w14:textId="6535F89D" w:rsidR="00DB17B8" w:rsidRPr="00A37BCE" w:rsidRDefault="00F6575E" w:rsidP="002C1D90">
            <w:pPr>
              <w:jc w:val="center"/>
              <w:cnfStyle w:val="000000100000" w:firstRow="0" w:lastRow="0" w:firstColumn="0" w:lastColumn="0" w:oddVBand="0" w:evenVBand="0" w:oddHBand="1" w:evenHBand="0" w:firstRowFirstColumn="0" w:firstRowLastColumn="0" w:lastRowFirstColumn="0" w:lastRowLastColumn="0"/>
              <w:rPr>
                <w:rFonts w:cstheme="minorHAnsi"/>
                <w:color w:val="002060"/>
                <w:sz w:val="18"/>
                <w:lang w:val="sr-Cyrl-RS"/>
              </w:rPr>
            </w:pPr>
            <w:r w:rsidRPr="00A37BCE">
              <w:rPr>
                <w:rFonts w:cstheme="minorHAnsi"/>
                <w:color w:val="002060"/>
                <w:sz w:val="18"/>
                <w:lang w:val="sr-Cyrl-RS"/>
              </w:rPr>
              <w:t>3,5</w:t>
            </w:r>
          </w:p>
        </w:tc>
        <w:tc>
          <w:tcPr>
            <w:tcW w:w="1294" w:type="dxa"/>
            <w:tcBorders>
              <w:bottom w:val="single" w:sz="4" w:space="0" w:color="002060"/>
            </w:tcBorders>
            <w:shd w:val="clear" w:color="auto" w:fill="auto"/>
          </w:tcPr>
          <w:p w14:paraId="40632C1C" w14:textId="51D41F01" w:rsidR="00DB17B8" w:rsidRPr="00A37BCE" w:rsidRDefault="00F6575E" w:rsidP="002C1D90">
            <w:pPr>
              <w:jc w:val="center"/>
              <w:cnfStyle w:val="000000100000" w:firstRow="0" w:lastRow="0" w:firstColumn="0" w:lastColumn="0" w:oddVBand="0" w:evenVBand="0" w:oddHBand="1" w:evenHBand="0" w:firstRowFirstColumn="0" w:firstRowLastColumn="0" w:lastRowFirstColumn="0" w:lastRowLastColumn="0"/>
              <w:rPr>
                <w:rFonts w:cstheme="minorHAnsi"/>
                <w:color w:val="002060"/>
                <w:sz w:val="18"/>
                <w:lang w:val="sr-Cyrl-RS"/>
              </w:rPr>
            </w:pPr>
            <w:r w:rsidRPr="00A37BCE">
              <w:rPr>
                <w:rFonts w:cstheme="minorHAnsi"/>
                <w:color w:val="002060"/>
                <w:sz w:val="18"/>
                <w:lang w:val="sr-Cyrl-RS"/>
              </w:rPr>
              <w:t>3,6</w:t>
            </w:r>
            <w:r w:rsidR="00DB17B8" w:rsidRPr="00A37BCE">
              <w:rPr>
                <w:rFonts w:cstheme="minorHAnsi"/>
                <w:color w:val="002060"/>
                <w:sz w:val="18"/>
                <w:lang w:val="sr-Cyrl-RS"/>
              </w:rPr>
              <w:t>5</w:t>
            </w:r>
          </w:p>
        </w:tc>
      </w:tr>
    </w:tbl>
    <w:p w14:paraId="55C7B982" w14:textId="6D7F67BC" w:rsidR="00DB17B8" w:rsidRPr="00A37BCE" w:rsidRDefault="00A05517" w:rsidP="00DB17B8">
      <w:pPr>
        <w:spacing w:after="120" w:line="276" w:lineRule="auto"/>
        <w:jc w:val="both"/>
        <w:rPr>
          <w:rFonts w:cstheme="minorHAnsi"/>
          <w:bCs/>
          <w:color w:val="44546A" w:themeColor="text2"/>
          <w:sz w:val="16"/>
          <w:szCs w:val="72"/>
          <w:lang w:val="sr-Cyrl-RS"/>
        </w:rPr>
        <w:sectPr w:rsidR="00DB17B8" w:rsidRPr="00A37BCE" w:rsidSect="00DB17B8">
          <w:type w:val="continuous"/>
          <w:pgSz w:w="12240" w:h="15840"/>
          <w:pgMar w:top="1440" w:right="1440" w:bottom="1440" w:left="1440" w:header="720" w:footer="720" w:gutter="0"/>
          <w:cols w:space="720"/>
          <w:docGrid w:linePitch="360"/>
        </w:sectPr>
      </w:pPr>
      <w:r w:rsidRPr="00A37BCE">
        <w:rPr>
          <w:rFonts w:cstheme="minorHAnsi"/>
          <w:bCs/>
          <w:color w:val="44546A" w:themeColor="text2"/>
          <w:sz w:val="16"/>
          <w:szCs w:val="72"/>
          <w:lang w:val="sr-Cyrl-RS"/>
        </w:rPr>
        <w:t>Извор:</w:t>
      </w:r>
      <w:r w:rsidR="00365A06" w:rsidRPr="00A37BCE">
        <w:rPr>
          <w:rFonts w:cstheme="minorHAnsi"/>
          <w:bCs/>
          <w:color w:val="44546A" w:themeColor="text2"/>
          <w:sz w:val="16"/>
          <w:szCs w:val="72"/>
          <w:lang w:val="sr-Cyrl-RS"/>
        </w:rPr>
        <w:t xml:space="preserve"> </w:t>
      </w:r>
      <w:r w:rsidRPr="00A37BCE">
        <w:rPr>
          <w:rFonts w:cstheme="minorHAnsi"/>
          <w:bCs/>
          <w:color w:val="44546A" w:themeColor="text2"/>
          <w:sz w:val="16"/>
          <w:szCs w:val="72"/>
          <w:lang w:val="sr-Cyrl-RS"/>
        </w:rPr>
        <w:t>Министарство финансија</w:t>
      </w:r>
    </w:p>
    <w:p w14:paraId="52228FB8" w14:textId="77777777" w:rsidR="005D4150" w:rsidRPr="005D4150" w:rsidRDefault="005D4150" w:rsidP="005D4150">
      <w:pPr>
        <w:spacing w:line="240" w:lineRule="auto"/>
        <w:jc w:val="both"/>
        <w:rPr>
          <w:rFonts w:cstheme="minorHAnsi"/>
          <w:bCs/>
          <w:color w:val="44546A" w:themeColor="text2"/>
          <w:sz w:val="12"/>
          <w:szCs w:val="12"/>
          <w:lang w:val="sr-Cyrl-RS"/>
        </w:rPr>
      </w:pPr>
    </w:p>
    <w:p w14:paraId="6CBBDE99" w14:textId="60D47893" w:rsidR="00ED7D2D" w:rsidRPr="00A37BCE" w:rsidRDefault="00ED7D2D" w:rsidP="00ED7D2D">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 xml:space="preserve">Анализа цикличне динамике економске активности Србије указује на већи број фаза убрзања и успоравања него у случају Немачке и Италије, као и на просечно снажније осцилације економске активности. </w:t>
      </w:r>
      <w:r w:rsidR="00A37BCE" w:rsidRPr="00A37BCE">
        <w:rPr>
          <w:rFonts w:cstheme="minorHAnsi"/>
          <w:bCs/>
          <w:color w:val="44546A" w:themeColor="text2"/>
          <w:sz w:val="20"/>
          <w:szCs w:val="72"/>
          <w:lang w:val="sr-Cyrl-RS"/>
        </w:rPr>
        <w:t>Просечна</w:t>
      </w:r>
      <w:r w:rsidRPr="00A37BCE">
        <w:rPr>
          <w:rFonts w:cstheme="minorHAnsi"/>
          <w:bCs/>
          <w:color w:val="44546A" w:themeColor="text2"/>
          <w:sz w:val="20"/>
          <w:szCs w:val="72"/>
          <w:lang w:val="sr-Cyrl-RS"/>
        </w:rPr>
        <w:t xml:space="preserve"> амплитуда фазе експанзије за Србију је 3,8% а успоравања 3,5%, док су з</w:t>
      </w:r>
      <w:r w:rsidR="001E499B" w:rsidRPr="00A37BCE">
        <w:rPr>
          <w:rFonts w:cstheme="minorHAnsi"/>
          <w:bCs/>
          <w:color w:val="44546A" w:themeColor="text2"/>
          <w:sz w:val="20"/>
          <w:szCs w:val="72"/>
          <w:lang w:val="sr-Cyrl-RS"/>
        </w:rPr>
        <w:t>а Немачку и Италију а</w:t>
      </w:r>
      <w:r w:rsidR="007E1AAF" w:rsidRPr="00A37BCE">
        <w:rPr>
          <w:rFonts w:cstheme="minorHAnsi"/>
          <w:bCs/>
          <w:color w:val="44546A" w:themeColor="text2"/>
          <w:sz w:val="20"/>
          <w:szCs w:val="72"/>
          <w:lang w:val="sr-Cyrl-RS"/>
        </w:rPr>
        <w:t xml:space="preserve">мплитуде </w:t>
      </w:r>
      <w:r w:rsidRPr="00A37BCE">
        <w:rPr>
          <w:rFonts w:cstheme="minorHAnsi"/>
          <w:bCs/>
          <w:color w:val="44546A" w:themeColor="text2"/>
          <w:sz w:val="20"/>
          <w:szCs w:val="72"/>
          <w:lang w:val="sr-Cyrl-RS"/>
        </w:rPr>
        <w:t xml:space="preserve">значајно мање. Ово је очекивано будући да је реч о развијеним тржишним привредама, док </w:t>
      </w:r>
      <w:r w:rsidRPr="00A37BCE">
        <w:rPr>
          <w:rFonts w:cstheme="minorHAnsi"/>
          <w:bCs/>
          <w:color w:val="44546A" w:themeColor="text2"/>
          <w:sz w:val="20"/>
          <w:szCs w:val="72"/>
          <w:lang w:val="sr-Cyrl-RS"/>
        </w:rPr>
        <w:lastRenderedPageBreak/>
        <w:t>посматрани временски хоризонт за Србију представља период политичких промена, транзиције и структурних реформи. Међутим, уколико се занемари период пре 2005. године, може се приметити постојање значајне везе у тајмингу преломних тачака наших најважнијих спољнотрговинских партнера – Немачке и Италије, које се</w:t>
      </w:r>
      <w:r w:rsidR="007E1AAF" w:rsidRPr="00A37BCE">
        <w:rPr>
          <w:rFonts w:cstheme="minorHAnsi"/>
          <w:bCs/>
          <w:color w:val="44546A" w:themeColor="text2"/>
          <w:sz w:val="20"/>
          <w:szCs w:val="72"/>
          <w:lang w:val="sr-Cyrl-RS"/>
        </w:rPr>
        <w:t xml:space="preserve"> са одређеним кашњењем преносе </w:t>
      </w:r>
      <w:r w:rsidRPr="00A37BCE">
        <w:rPr>
          <w:rFonts w:cstheme="minorHAnsi"/>
          <w:bCs/>
          <w:color w:val="44546A" w:themeColor="text2"/>
          <w:sz w:val="20"/>
          <w:szCs w:val="72"/>
          <w:lang w:val="sr-Cyrl-RS"/>
        </w:rPr>
        <w:t>и на Србиј</w:t>
      </w:r>
      <w:r w:rsidR="007E1AAF" w:rsidRPr="00A37BCE">
        <w:rPr>
          <w:rFonts w:cstheme="minorHAnsi"/>
          <w:bCs/>
          <w:color w:val="44546A" w:themeColor="text2"/>
          <w:sz w:val="20"/>
          <w:szCs w:val="72"/>
          <w:lang w:val="sr-Cyrl-RS"/>
        </w:rPr>
        <w:t xml:space="preserve">у. </w:t>
      </w:r>
      <w:r w:rsidRPr="00A37BCE">
        <w:rPr>
          <w:rFonts w:cstheme="minorHAnsi"/>
          <w:bCs/>
          <w:color w:val="44546A" w:themeColor="text2"/>
          <w:sz w:val="20"/>
          <w:szCs w:val="72"/>
          <w:lang w:val="sr-Cyrl-RS"/>
        </w:rPr>
        <w:t xml:space="preserve">Тако се у првом кварталу 2008. године у случају Србије региструје преломна тачка која </w:t>
      </w:r>
      <w:r w:rsidRPr="00A37BCE">
        <w:rPr>
          <w:rFonts w:cstheme="minorHAnsi"/>
          <w:bCs/>
          <w:color w:val="44546A" w:themeColor="text2"/>
          <w:sz w:val="20"/>
          <w:szCs w:val="72"/>
          <w:lang w:val="sr-Cyrl-RS"/>
        </w:rPr>
        <w:lastRenderedPageBreak/>
        <w:t xml:space="preserve">означава улазак економије у фазу успоравања, док </w:t>
      </w:r>
      <w:r w:rsidR="00E2768F" w:rsidRPr="00A37BCE">
        <w:rPr>
          <w:rFonts w:cstheme="minorHAnsi"/>
          <w:noProof/>
        </w:rPr>
        <mc:AlternateContent>
          <mc:Choice Requires="wps">
            <w:drawing>
              <wp:anchor distT="0" distB="0" distL="114300" distR="114300" simplePos="0" relativeHeight="251699200" behindDoc="1" locked="0" layoutInCell="1" allowOverlap="1" wp14:anchorId="1C5A8C60" wp14:editId="337AE151">
                <wp:simplePos x="0" y="0"/>
                <wp:positionH relativeFrom="margin">
                  <wp:posOffset>-6350</wp:posOffset>
                </wp:positionH>
                <wp:positionV relativeFrom="paragraph">
                  <wp:posOffset>0</wp:posOffset>
                </wp:positionV>
                <wp:extent cx="6028055" cy="4025900"/>
                <wp:effectExtent l="0" t="0" r="0" b="0"/>
                <wp:wrapNone/>
                <wp:docPr id="64" name="Rectangle 64"/>
                <wp:cNvGraphicFramePr/>
                <a:graphic xmlns:a="http://schemas.openxmlformats.org/drawingml/2006/main">
                  <a:graphicData uri="http://schemas.microsoft.com/office/word/2010/wordprocessingShape">
                    <wps:wsp>
                      <wps:cNvSpPr/>
                      <wps:spPr>
                        <a:xfrm>
                          <a:off x="0" y="0"/>
                          <a:ext cx="6028055" cy="4025900"/>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5ED6E6CE" id="Rectangle 64" o:spid="_x0000_s1026" style="position:absolute;margin-left:-.5pt;margin-top:0;width:474.65pt;height:317pt;z-index:-251617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HzdtwIAAPQFAAAOAAAAZHJzL2Uyb0RvYy54bWysVFFv2yAQfp+0/4B4X+1YSddGdaqoVadJ&#10;XVu1nfpMMCSWgGNA4mS/fgfYTtVVfZj2goH77u67z9xdXO61IjvhfAumppOTkhJhODStWdf05/PN&#10;lzNKfGCmYQqMqOlBeHq5+PzporNzUcEGVCMcwSDGzztb000Idl4Unm+EZv4ErDBolOA0C3h066Jx&#10;rMPoWhVVWZ4WHbjGOuDCe7y9zka6SPGlFDzcS+lFIKqmyC2k1aV1FddiccHma8fspuU9DfYPLDRr&#10;DSYdQ12zwMjWtX+F0i134EGGEw66AClbLlINWM2kfFPN04ZZkWpBcbwdZfL/Lyy/2z040jY1PZ1S&#10;YpjGf/SIqjGzVoLgHQrUWT9H3JN9cP3J4zZWu5dOxy/WQfZJ1MMoqtgHwvHytKzOytmMEo62aVnN&#10;zsske3F0t86HbwI0iZuaOsyfxGS7Wx8wJUIHSMxmWQg3rVI93PJQzRJerq9U4pWej8AD2TH88av1&#10;JNnVVv+AJt+dzcqRxwhPqcYoqw/CZVY9IvLrOUV+ysTVQOSYcfGmiDJm4dIuHJTI6Ech8Q+gVFVi&#10;ObLJRBnnwoRcgN+wRuTrSH/QcfRI/JXBgDGyxPxj7D5A7KujMEPszLLHR1eRWmd0Lj8ilp1Hj5QZ&#10;TBiddWvAvRdAYVV95owfRMrSRJVW0BzwfTrIjestv2nxjdwyHx6Yw07FnsbpE+5xkQq6mkK/o2QD&#10;7vd79xGPDYRWSjrs/Jr6X1vmBCXqu8HWOp9Mp3FUpMN09rXCg3ttWb22mK2+AnxjE5xzlqdtxAc1&#10;bKUD/YJDahmzookZjrlryoMbDlchTyQcc1wslwmG4wHf1K15sjwGj6rGHnjevzBn+5cfsMfuYJgS&#10;bP6mXzI2ehpYbgPINjXTUddebxwt6eH0YzDOrtfnhDoO68UfAAAA//8DAFBLAwQUAAYACAAAACEA&#10;HB++BuAAAAAHAQAADwAAAGRycy9kb3ducmV2LnhtbEyPQUsDMRCF74L/IYzgrU1qa92umy0qiBYE&#10;sbZ4nW7GzeJmsm7SdvvvjSe9DDze471viuXgWnGgPjSeNUzGCgRx5U3DtYbN++MoAxEissHWM2k4&#10;UYBleX5WYG78kd/osI61SCUcctRgY+xyKUNlyWEY+444eZ++dxiT7GtpejymctfKK6Xm0mHDacFi&#10;Rw+Wqq/13mnAp/tgr19xuzhtN2plP7Lnm+8XrS8vhrtbEJGG+BeGX/yEDmVi2vk9myBaDaNJeiVq&#10;SDe5i1k2BbHTMJ/OFMiykP/5yx8AAAD//wMAUEsBAi0AFAAGAAgAAAAhALaDOJL+AAAA4QEAABMA&#10;AAAAAAAAAAAAAAAAAAAAAFtDb250ZW50X1R5cGVzXS54bWxQSwECLQAUAAYACAAAACEAOP0h/9YA&#10;AACUAQAACwAAAAAAAAAAAAAAAAAvAQAAX3JlbHMvLnJlbHNQSwECLQAUAAYACAAAACEA65h83bcC&#10;AAD0BQAADgAAAAAAAAAAAAAAAAAuAgAAZHJzL2Uyb0RvYy54bWxQSwECLQAUAAYACAAAACEAHB++&#10;BuAAAAAHAQAADwAAAAAAAAAAAAAAAAARBQAAZHJzL2Rvd25yZXYueG1sUEsFBgAAAAAEAAQA8wAA&#10;AB4GAAAAAA==&#10;" fillcolor="#d8d8d8 [2732]" stroked="f" strokeweight="1pt">
                <v:fill r:id="rId25" o:title="" color2="white [3212]" type="pattern"/>
                <w10:wrap anchorx="margin"/>
              </v:rect>
            </w:pict>
          </mc:Fallback>
        </mc:AlternateContent>
      </w:r>
      <w:r w:rsidRPr="00A37BCE">
        <w:rPr>
          <w:rFonts w:cstheme="minorHAnsi"/>
          <w:bCs/>
          <w:color w:val="44546A" w:themeColor="text2"/>
          <w:sz w:val="20"/>
          <w:szCs w:val="72"/>
          <w:lang w:val="sr-Cyrl-RS"/>
        </w:rPr>
        <w:t xml:space="preserve">се еквивалентна преломна тачка у привредама Немачке и Италије бележи један односно два квартала раније. Фаза успоравања у Немачкој и Италији траје све до трећег квартала 2009. године када економије ових земаља </w:t>
      </w:r>
      <w:r w:rsidR="007E1AAF" w:rsidRPr="00A37BCE">
        <w:rPr>
          <w:rFonts w:cstheme="minorHAnsi"/>
          <w:bCs/>
          <w:color w:val="44546A" w:themeColor="text2"/>
          <w:sz w:val="20"/>
          <w:szCs w:val="72"/>
          <w:lang w:val="sr-Cyrl-RS"/>
        </w:rPr>
        <w:t xml:space="preserve">бележе дно економског циклуса. </w:t>
      </w:r>
      <w:r w:rsidRPr="00A37BCE">
        <w:rPr>
          <w:rFonts w:cstheme="minorHAnsi"/>
          <w:bCs/>
          <w:color w:val="44546A" w:themeColor="text2"/>
          <w:sz w:val="20"/>
          <w:szCs w:val="72"/>
          <w:lang w:val="sr-Cyrl-RS"/>
        </w:rPr>
        <w:t>С друге стране, референтна преломна тачка циклуса у случају Србије региструје се нешто касни</w:t>
      </w:r>
      <w:r w:rsidR="007E1AAF" w:rsidRPr="00A37BCE">
        <w:rPr>
          <w:rFonts w:cstheme="minorHAnsi"/>
          <w:bCs/>
          <w:color w:val="44546A" w:themeColor="text2"/>
          <w:sz w:val="20"/>
          <w:szCs w:val="72"/>
          <w:lang w:val="sr-Cyrl-RS"/>
        </w:rPr>
        <w:t xml:space="preserve">је него у Немачкој и Италији – </w:t>
      </w:r>
      <w:r w:rsidRPr="00A37BCE">
        <w:rPr>
          <w:rFonts w:cstheme="minorHAnsi"/>
          <w:bCs/>
          <w:color w:val="44546A" w:themeColor="text2"/>
          <w:sz w:val="20"/>
          <w:szCs w:val="72"/>
          <w:lang w:val="sr-Cyrl-RS"/>
        </w:rPr>
        <w:t>у првом кварталу 2010. године. Други талас кризе који је утицао на улазак Италије и Немачке у фазу успоравања у другом, односно трећем кварталу 2011. године прелио се и на Србију у којој се преломна тачка региструје</w:t>
      </w:r>
      <w:r w:rsidRPr="00A37BCE">
        <w:rPr>
          <w:rFonts w:cstheme="minorHAnsi"/>
          <w:bCs/>
          <w:sz w:val="20"/>
          <w:szCs w:val="72"/>
          <w:lang w:val="sr-Cyrl-RS"/>
        </w:rPr>
        <w:t xml:space="preserve"> </w:t>
      </w:r>
      <w:r w:rsidRPr="00A37BCE">
        <w:rPr>
          <w:rFonts w:cstheme="minorHAnsi"/>
          <w:bCs/>
          <w:color w:val="44546A" w:themeColor="text2"/>
          <w:sz w:val="20"/>
          <w:szCs w:val="72"/>
          <w:lang w:val="sr-Cyrl-RS"/>
        </w:rPr>
        <w:t>у четвртом кварталу 2011. године. Фаза успорава</w:t>
      </w:r>
      <w:r w:rsidR="007E1AAF" w:rsidRPr="00A37BCE">
        <w:rPr>
          <w:rFonts w:cstheme="minorHAnsi"/>
          <w:bCs/>
          <w:color w:val="44546A" w:themeColor="text2"/>
          <w:sz w:val="20"/>
          <w:szCs w:val="72"/>
          <w:lang w:val="sr-Cyrl-RS"/>
        </w:rPr>
        <w:t xml:space="preserve">ња у Италији и Немачкој траје до средине </w:t>
      </w:r>
      <w:r w:rsidRPr="00A37BCE">
        <w:rPr>
          <w:rFonts w:cstheme="minorHAnsi"/>
          <w:bCs/>
          <w:color w:val="44546A" w:themeColor="text2"/>
          <w:sz w:val="20"/>
          <w:szCs w:val="72"/>
          <w:lang w:val="sr-Cyrl-RS"/>
        </w:rPr>
        <w:t>2013. године, док се у Србији завршава нешто раније ( у другом кварталу 2012) услед значајног ефекта на страни понуде као резултат инвестиција везаних за аутомобилску и нафтну индустрију. Међутим, за разлику од упоредивих земаља, ово убрзање економске активности бива прекинуто услед ефекта разорних поплава које су погодиле Србију почетком 2014. године, али се убрзање наставља од првог квартала 2015. године.</w:t>
      </w:r>
    </w:p>
    <w:p w14:paraId="1279A18B" w14:textId="77777777" w:rsidR="00ED7D2D" w:rsidRPr="00A37BCE" w:rsidRDefault="00ED7D2D" w:rsidP="00ED7D2D">
      <w:pPr>
        <w:pStyle w:val="Caption"/>
        <w:keepNext/>
        <w:jc w:val="center"/>
        <w:rPr>
          <w:rFonts w:cstheme="minorHAnsi"/>
          <w:b/>
          <w:i w:val="0"/>
          <w:iCs w:val="0"/>
          <w:color w:val="002060"/>
          <w:sz w:val="20"/>
          <w:szCs w:val="22"/>
          <w:lang w:val="sr-Cyrl-RS"/>
        </w:rPr>
      </w:pPr>
      <w:r w:rsidRPr="00A37BCE">
        <w:rPr>
          <w:rFonts w:cstheme="minorHAnsi"/>
          <w:b/>
          <w:i w:val="0"/>
          <w:iCs w:val="0"/>
          <w:color w:val="002060"/>
          <w:sz w:val="20"/>
          <w:szCs w:val="22"/>
          <w:lang w:val="sr-Cyrl-RS"/>
        </w:rPr>
        <w:lastRenderedPageBreak/>
        <w:t>Компаративни приказ цикличног кретања економске активности</w:t>
      </w:r>
    </w:p>
    <w:p w14:paraId="5F37154E" w14:textId="77777777" w:rsidR="00ED7D2D" w:rsidRPr="00A37BCE" w:rsidRDefault="00ED7D2D" w:rsidP="00ED7D2D">
      <w:pPr>
        <w:keepNext/>
        <w:jc w:val="both"/>
        <w:rPr>
          <w:rFonts w:cstheme="minorHAnsi"/>
          <w:lang w:val="sr-Cyrl-RS"/>
        </w:rPr>
      </w:pPr>
      <w:r w:rsidRPr="00A37BCE">
        <w:rPr>
          <w:rFonts w:cstheme="minorHAnsi"/>
          <w:bCs/>
          <w:noProof/>
          <w:color w:val="44546A" w:themeColor="text2"/>
          <w:sz w:val="20"/>
          <w:szCs w:val="72"/>
        </w:rPr>
        <w:drawing>
          <wp:inline distT="0" distB="0" distL="0" distR="0" wp14:anchorId="425A28AB" wp14:editId="17D6F36D">
            <wp:extent cx="2742696" cy="1542197"/>
            <wp:effectExtent l="0" t="0" r="635" b="1270"/>
            <wp:docPr id="24" name="Picture 24" descr="C:\Users\rade.ciric\Desktop\cut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ade.ciric\Desktop\cut1.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53871" cy="1548481"/>
                    </a:xfrm>
                    <a:prstGeom prst="rect">
                      <a:avLst/>
                    </a:prstGeom>
                    <a:noFill/>
                    <a:ln>
                      <a:noFill/>
                    </a:ln>
                  </pic:spPr>
                </pic:pic>
              </a:graphicData>
            </a:graphic>
          </wp:inline>
        </w:drawing>
      </w:r>
    </w:p>
    <w:p w14:paraId="5F3939EF" w14:textId="77777777" w:rsidR="00ED7D2D" w:rsidRPr="00A37BCE" w:rsidRDefault="00ED7D2D" w:rsidP="00ED7D2D">
      <w:pPr>
        <w:jc w:val="both"/>
        <w:rPr>
          <w:rFonts w:cstheme="minorHAnsi"/>
          <w:bCs/>
          <w:color w:val="44546A" w:themeColor="text2"/>
          <w:sz w:val="16"/>
          <w:szCs w:val="72"/>
          <w:lang w:val="sr-Cyrl-RS"/>
        </w:rPr>
      </w:pPr>
      <w:r w:rsidRPr="00A37BCE">
        <w:rPr>
          <w:rFonts w:cstheme="minorHAnsi"/>
          <w:bCs/>
          <w:color w:val="44546A" w:themeColor="text2"/>
          <w:sz w:val="16"/>
          <w:szCs w:val="72"/>
          <w:lang w:val="sr-Cyrl-RS"/>
        </w:rPr>
        <w:t>Извор: Министарство финансија</w:t>
      </w:r>
    </w:p>
    <w:p w14:paraId="552D7607" w14:textId="253D7D6C" w:rsidR="00CE5657" w:rsidRPr="00A37BCE" w:rsidRDefault="00ED7D2D" w:rsidP="00DB17B8">
      <w:pPr>
        <w:jc w:val="both"/>
        <w:rPr>
          <w:rFonts w:cstheme="minorHAnsi"/>
          <w:bCs/>
          <w:color w:val="44546A" w:themeColor="text2"/>
          <w:sz w:val="20"/>
          <w:szCs w:val="72"/>
          <w:lang w:val="sr-Cyrl-RS"/>
        </w:rPr>
        <w:sectPr w:rsidR="00CE5657" w:rsidRPr="00A37BCE" w:rsidSect="00CD0020">
          <w:type w:val="continuous"/>
          <w:pgSz w:w="12240" w:h="15840"/>
          <w:pgMar w:top="1440" w:right="1440" w:bottom="1440" w:left="1440" w:header="720" w:footer="113" w:gutter="0"/>
          <w:cols w:num="2" w:space="720"/>
          <w:docGrid w:linePitch="360"/>
        </w:sectPr>
      </w:pPr>
      <w:r w:rsidRPr="00A37BCE">
        <w:rPr>
          <w:rFonts w:cstheme="minorHAnsi"/>
          <w:bCs/>
          <w:color w:val="44546A" w:themeColor="text2"/>
          <w:sz w:val="20"/>
          <w:szCs w:val="72"/>
          <w:lang w:val="sr-Cyrl-RS"/>
        </w:rPr>
        <w:t xml:space="preserve">Иако је временска серија релативно кратка будући да циклична анализа представља анализу дугорочног типа, оваква кретања упућују на закључак да промене динамике економске активности наших најважнијих спољнотрговинских партнера са временским кашњењем од око два квартала имају значајан утицај и на динамику БДП Србије. </w:t>
      </w:r>
    </w:p>
    <w:p w14:paraId="439627F0" w14:textId="3823E14D" w:rsidR="00CE5657" w:rsidRPr="00A37BCE" w:rsidRDefault="00CE5657" w:rsidP="00DB17B8">
      <w:pPr>
        <w:jc w:val="both"/>
        <w:rPr>
          <w:rFonts w:cstheme="minorHAnsi"/>
          <w:bCs/>
          <w:color w:val="44546A" w:themeColor="text2"/>
          <w:sz w:val="20"/>
          <w:szCs w:val="72"/>
          <w:lang w:val="sr-Cyrl-RS"/>
        </w:rPr>
        <w:sectPr w:rsidR="00CE5657" w:rsidRPr="00A37BCE" w:rsidSect="00CE5657">
          <w:type w:val="continuous"/>
          <w:pgSz w:w="12240" w:h="15840"/>
          <w:pgMar w:top="1440" w:right="1440" w:bottom="1440" w:left="1440" w:header="720" w:footer="720" w:gutter="0"/>
          <w:cols w:space="720"/>
          <w:docGrid w:linePitch="360"/>
        </w:sectPr>
      </w:pPr>
    </w:p>
    <w:p w14:paraId="3A4D78DD" w14:textId="78AA59CD" w:rsidR="00CE5657" w:rsidRPr="003F3CA3" w:rsidRDefault="00CE5657" w:rsidP="003F3CA3">
      <w:pPr>
        <w:pStyle w:val="Heading2"/>
        <w:jc w:val="center"/>
        <w:rPr>
          <w:rFonts w:asciiTheme="minorHAnsi" w:hAnsiTheme="minorHAnsi" w:cstheme="minorHAnsi"/>
          <w:b/>
          <w:sz w:val="24"/>
          <w:lang w:val="sr-Cyrl-RS"/>
        </w:rPr>
        <w:sectPr w:rsidR="00CE5657" w:rsidRPr="003F3CA3" w:rsidSect="00CE5657">
          <w:type w:val="continuous"/>
          <w:pgSz w:w="12240" w:h="15840"/>
          <w:pgMar w:top="1440" w:right="1440" w:bottom="1440" w:left="1440" w:header="720" w:footer="720" w:gutter="0"/>
          <w:cols w:space="720"/>
          <w:docGrid w:linePitch="360"/>
        </w:sectPr>
      </w:pPr>
      <w:bookmarkStart w:id="4" w:name="_Toc530041994"/>
      <w:r w:rsidRPr="00A37BCE">
        <w:rPr>
          <w:rFonts w:asciiTheme="minorHAnsi" w:hAnsiTheme="minorHAnsi" w:cstheme="minorHAnsi"/>
          <w:b/>
          <w:sz w:val="24"/>
          <w:lang w:val="sr-Cyrl-RS"/>
        </w:rPr>
        <w:lastRenderedPageBreak/>
        <w:t>3. Текућа макроекономска кретања у Републици Србији и изгледи за период 2019–2021. године</w:t>
      </w:r>
      <w:bookmarkEnd w:id="4"/>
    </w:p>
    <w:p w14:paraId="2EC9E104" w14:textId="77777777" w:rsidR="005D4150" w:rsidRDefault="005D4150" w:rsidP="00031215">
      <w:pPr>
        <w:jc w:val="both"/>
        <w:rPr>
          <w:rFonts w:cstheme="minorHAnsi"/>
          <w:color w:val="4472C4" w:themeColor="accent1"/>
          <w:sz w:val="20"/>
          <w:lang w:val="sr-Cyrl-RS"/>
        </w:rPr>
      </w:pPr>
    </w:p>
    <w:p w14:paraId="0AE22F56" w14:textId="1AA45E7F" w:rsidR="00031215" w:rsidRPr="00A37BCE" w:rsidRDefault="008816A0" w:rsidP="00031215">
      <w:pPr>
        <w:jc w:val="both"/>
        <w:rPr>
          <w:rFonts w:cstheme="minorHAnsi"/>
          <w:color w:val="4472C4" w:themeColor="accent1"/>
          <w:sz w:val="20"/>
          <w:lang w:val="sr-Cyrl-RS"/>
        </w:rPr>
      </w:pPr>
      <w:r w:rsidRPr="00A37BCE">
        <w:rPr>
          <w:rFonts w:cstheme="minorHAnsi"/>
          <w:noProof/>
          <w:sz w:val="20"/>
        </w:rPr>
        <mc:AlternateContent>
          <mc:Choice Requires="wps">
            <w:drawing>
              <wp:anchor distT="0" distB="0" distL="114300" distR="114300" simplePos="0" relativeHeight="251680768" behindDoc="1" locked="0" layoutInCell="1" allowOverlap="1" wp14:anchorId="782E4118" wp14:editId="24B2857F">
                <wp:simplePos x="0" y="0"/>
                <wp:positionH relativeFrom="margin">
                  <wp:posOffset>-50800</wp:posOffset>
                </wp:positionH>
                <wp:positionV relativeFrom="paragraph">
                  <wp:posOffset>13335</wp:posOffset>
                </wp:positionV>
                <wp:extent cx="6070600" cy="3479800"/>
                <wp:effectExtent l="0" t="0" r="6350" b="6350"/>
                <wp:wrapNone/>
                <wp:docPr id="7" name="Rectangle 7"/>
                <wp:cNvGraphicFramePr/>
                <a:graphic xmlns:a="http://schemas.openxmlformats.org/drawingml/2006/main">
                  <a:graphicData uri="http://schemas.microsoft.com/office/word/2010/wordprocessingShape">
                    <wps:wsp>
                      <wps:cNvSpPr/>
                      <wps:spPr>
                        <a:xfrm>
                          <a:off x="0" y="0"/>
                          <a:ext cx="6070600" cy="3479800"/>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4CF4C771" id="Rectangle 7" o:spid="_x0000_s1026" style="position:absolute;margin-left:-4pt;margin-top:1.05pt;width:478pt;height:274pt;z-index:-25163571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ohtAIAAPIFAAAOAAAAZHJzL2Uyb0RvYy54bWysVN9P2zAQfp+0/8Hy+0jaFVoqUlSBmCYx&#10;QMDEs+vYbSTb59lu0+6v39lOUsQQD9NeHJ/v13df7u7icq8V2QnnGzAVHZ2UlAjDoW7MuqI/n2++&#10;zCjxgZmaKTCiogfh6eXi86eL1s7FGDagauEIBjF+3tqKbkKw86LwfCM08ydghUGlBKdZQNGti9qx&#10;FqNrVYzL8qxowdXWARfe4+t1VtJFii+l4OFeSi8CURVFbCGdLp2reBaLCzZfO2Y3De9gsH9AoVlj&#10;MOkQ6poFRrau+SuUbrgDDzKccNAFSNlwkWrAakblm2qeNsyKVAuS4+1Ak/9/Yfnd7sGRpq7olBLD&#10;NP6iRySNmbUSZBrpaa2fo9WTfXCd5PEaa91Lp+MXqyD7ROlhoFTsA+H4eFZOy7MSmeeo+zqZns9Q&#10;wDjF0d06H74J0CReKuowfaKS7W59yKa9ScxmWQg3jVKdueVhfJrs5fpKJVypeQQKZMfwt6/Wo6RX&#10;W/0D6vw2Oy0HHIN5QjVEWX0QLqPqLLCUHlPEp0w8DUSM2S6+FJHGTFy6hYMS2fpRSOQfqRonlAOa&#10;DJRxLkzIBfgNq0V+jvB7HgePhF8ZDBgjS8w/xO4CxKk6EtPHzig7++gq0uAMzuVHwLLz4JEygwmD&#10;s24MuPcCKKyqy5zte5IyNZGlFdQH7E4HeWy95TcN9sgt8+GBOZxT7CvcPeEeD6mgrSh0N0o24H6/&#10;9x7tcXxQS0mLc19R/2vLnKBEfTc4WOejySQuiiRMTqdjFNxrzeq1xmz1FWCPjXDLWZ6u0T6o/iod&#10;6BdcUcuYFVXMcMxdUR5cL1yFvI9wyXGxXCYzXA7YU7fmyfIYPLIaZ+B5/8Kc7To/4IzdQb8j2PzN&#10;vGTb6GlguQ0gmzRMR147vnGxpMbplmDcXK/lZHVc1Ys/AAAA//8DAFBLAwQUAAYACAAAACEAgYcd&#10;894AAAAIAQAADwAAAGRycy9kb3ducmV2LnhtbEyPQUvDQBSE74L/YXmCt3aTYjRNsykqiAqCWFt6&#10;fc0+s8Hs25jdtum/d3vS4zDDzDflcrSdONDgW8cK0mkCgrh2uuVGwfrzaZKD8AFZY+eYFJzIw7K6&#10;vCix0O7IH3RYhUbEEvYFKjAh9IWUvjZk0U9dTxy9LzdYDFEOjdQDHmO57eQsSW6lxZbjgsGeHg3V&#10;36u9VYDPD95k77iZnzbr5NVs85e7nzelrq/G+wWIQGP4C8MZP6JDFZl2bs/ai07BJI9XgoJZCiLa&#10;85uz3inIsiQFWZXy/4HqFwAA//8DAFBLAQItABQABgAIAAAAIQC2gziS/gAAAOEBAAATAAAAAAAA&#10;AAAAAAAAAAAAAABbQ29udGVudF9UeXBlc10ueG1sUEsBAi0AFAAGAAgAAAAhADj9If/WAAAAlAEA&#10;AAsAAAAAAAAAAAAAAAAALwEAAF9yZWxzLy5yZWxzUEsBAi0AFAAGAAgAAAAhAMDn6iG0AgAA8gUA&#10;AA4AAAAAAAAAAAAAAAAALgIAAGRycy9lMm9Eb2MueG1sUEsBAi0AFAAGAAgAAAAhAIGHHfPeAAAA&#10;CAEAAA8AAAAAAAAAAAAAAAAADgUAAGRycy9kb3ducmV2LnhtbFBLBQYAAAAABAAEAPMAAAAZBgAA&#10;AAA=&#10;" fillcolor="#d8d8d8 [2732]" stroked="f" strokeweight="1pt">
                <v:fill r:id="rId25" o:title="" color2="white [3212]" type="pattern"/>
                <w10:wrap anchorx="margin"/>
              </v:rect>
            </w:pict>
          </mc:Fallback>
        </mc:AlternateContent>
      </w:r>
      <w:r w:rsidR="00031215" w:rsidRPr="00A37BCE">
        <w:rPr>
          <w:rFonts w:cstheme="minorHAnsi"/>
          <w:color w:val="4472C4" w:themeColor="accent1"/>
          <w:sz w:val="20"/>
          <w:lang w:val="sr-Cyrl-RS"/>
        </w:rPr>
        <w:t>Достигнуте динамичне стопе привредног раста и уравнотежене јавне финансије, уз успостављену силазну трајекторију јавног дуга и ниску и стабилну инфлацију, чине здраве фундаменте за даља унапређења свих макроекономских токова. У крајњој линији, оваква кретања ће за резултат имати смањење незапослености и подизање животног стандарда становништва. Економска активност током 2018. године бележи снажан раст, који је ношен интензивираном инвестиционом активношћу и повећаном личном потрошњом домаћинстава. Оваква кретања кореспондирају са значајним растом грађевинарства и услужног сектора, посматрано са производне стране БДП. Истовремено, код индустрије је регистровано стабилно повећање креиране бруто додате вредности, док је пољопривредна производња значајно већа од</w:t>
      </w:r>
      <w:r w:rsidR="00A72FBB" w:rsidRPr="00A37BCE">
        <w:rPr>
          <w:rFonts w:cstheme="minorHAnsi"/>
          <w:color w:val="4472C4" w:themeColor="accent1"/>
          <w:sz w:val="20"/>
          <w:lang w:val="sr-Cyrl-RS"/>
        </w:rPr>
        <w:t xml:space="preserve"> прошлогодишње.</w:t>
      </w:r>
    </w:p>
    <w:p w14:paraId="10D74B05" w14:textId="77777777" w:rsidR="005D4150" w:rsidRDefault="005D4150" w:rsidP="00031215">
      <w:pPr>
        <w:jc w:val="both"/>
        <w:rPr>
          <w:rFonts w:cstheme="minorHAnsi"/>
          <w:color w:val="4472C4" w:themeColor="accent1"/>
          <w:sz w:val="20"/>
          <w:lang w:val="sr-Cyrl-RS"/>
        </w:rPr>
      </w:pPr>
    </w:p>
    <w:p w14:paraId="223EA9A5" w14:textId="11CA16BF" w:rsidR="00031215" w:rsidRPr="00A37BCE" w:rsidRDefault="00031215" w:rsidP="00031215">
      <w:pPr>
        <w:jc w:val="both"/>
        <w:rPr>
          <w:rFonts w:cstheme="minorHAnsi"/>
          <w:color w:val="4472C4" w:themeColor="accent1"/>
          <w:sz w:val="20"/>
          <w:lang w:val="sr-Cyrl-RS"/>
        </w:rPr>
      </w:pPr>
      <w:r w:rsidRPr="00A37BCE">
        <w:rPr>
          <w:rFonts w:cstheme="minorHAnsi"/>
          <w:color w:val="4472C4" w:themeColor="accent1"/>
          <w:sz w:val="20"/>
          <w:lang w:val="sr-Cyrl-RS"/>
        </w:rPr>
        <w:t>Развојни карактер буџета за 2018. годину, у коме је фискални простор приоритетно усмераван у правцу капиталних расхода, резултирао је убрзањем инвестиционих активности државе. Поред тога, фокусирањем реформских мера на уклањање баријера расту, подизањем ефикасности државне администрације, уз стабилне и предвидиве монетарне токове,</w:t>
      </w:r>
      <w:r w:rsidR="00972218" w:rsidRPr="00A37BCE">
        <w:rPr>
          <w:rFonts w:cstheme="minorHAnsi"/>
          <w:color w:val="4472C4" w:themeColor="accent1"/>
          <w:sz w:val="20"/>
          <w:lang w:val="sr-Cyrl-RS"/>
        </w:rPr>
        <w:t xml:space="preserve"> креиран је привредни амбијент </w:t>
      </w:r>
      <w:r w:rsidRPr="00A37BCE">
        <w:rPr>
          <w:rFonts w:cstheme="minorHAnsi"/>
          <w:color w:val="4472C4" w:themeColor="accent1"/>
          <w:sz w:val="20"/>
          <w:lang w:val="sr-Cyrl-RS"/>
        </w:rPr>
        <w:t xml:space="preserve">афирмативног дејства на приватне инвестиције. Повећање пензија и плата у јавном сектору спроведено је уз строги принцип фискалне одрживости и дозирано je са циљем стимулативног дејства на домаћи производни и услужни сектор. </w:t>
      </w:r>
      <w:r w:rsidR="00A37BCE" w:rsidRPr="00A37BCE">
        <w:rPr>
          <w:rFonts w:cstheme="minorHAnsi"/>
          <w:color w:val="4472C4" w:themeColor="accent1"/>
          <w:sz w:val="20"/>
          <w:lang w:val="sr-Cyrl-RS"/>
        </w:rPr>
        <w:t>Ове</w:t>
      </w:r>
      <w:r w:rsidRPr="00A37BCE">
        <w:rPr>
          <w:rFonts w:cstheme="minorHAnsi"/>
          <w:color w:val="4472C4" w:themeColor="accent1"/>
          <w:sz w:val="20"/>
          <w:lang w:val="sr-Cyrl-RS"/>
        </w:rPr>
        <w:t xml:space="preserve"> интенције подржане су социо-економским договором о подизању минималне цене рада, чиме се деловало у смеру смањења социјалног јаза и</w:t>
      </w:r>
      <w:r w:rsidR="008069CF" w:rsidRPr="00A37BCE">
        <w:rPr>
          <w:rFonts w:cstheme="minorHAnsi"/>
          <w:color w:val="4472C4" w:themeColor="accent1"/>
          <w:sz w:val="20"/>
          <w:lang w:val="sr-Cyrl-RS"/>
        </w:rPr>
        <w:t xml:space="preserve"> обезбеђењу инклузивне компоненте раста. Т</w:t>
      </w:r>
      <w:r w:rsidRPr="00A37BCE">
        <w:rPr>
          <w:rFonts w:cstheme="minorHAnsi"/>
          <w:color w:val="4472C4" w:themeColor="accent1"/>
          <w:sz w:val="20"/>
          <w:lang w:val="sr-Cyrl-RS"/>
        </w:rPr>
        <w:t xml:space="preserve">реба </w:t>
      </w:r>
      <w:r w:rsidRPr="00A37BCE">
        <w:rPr>
          <w:rFonts w:cstheme="minorHAnsi"/>
          <w:color w:val="4472C4" w:themeColor="accent1"/>
          <w:sz w:val="20"/>
          <w:lang w:val="sr-Cyrl-RS"/>
        </w:rPr>
        <w:lastRenderedPageBreak/>
        <w:t>истаћи да је мера спроведена без додатног оптерећења привреде, што је постигнуто пове</w:t>
      </w:r>
      <w:r w:rsidR="00A72FBB" w:rsidRPr="00A37BCE">
        <w:rPr>
          <w:rFonts w:cstheme="minorHAnsi"/>
          <w:color w:val="4472C4" w:themeColor="accent1"/>
          <w:sz w:val="20"/>
          <w:lang w:val="sr-Cyrl-RS"/>
        </w:rPr>
        <w:t>ћањем неопорезивог дела зараде</w:t>
      </w:r>
      <w:r w:rsidR="003D21F5" w:rsidRPr="00A37BCE">
        <w:rPr>
          <w:rFonts w:cstheme="minorHAnsi"/>
          <w:color w:val="4472C4" w:themeColor="accent1"/>
          <w:sz w:val="20"/>
          <w:lang w:val="sr-Cyrl-RS"/>
        </w:rPr>
        <w:t xml:space="preserve"> почетком 2018. године</w:t>
      </w:r>
      <w:r w:rsidR="00A72FBB" w:rsidRPr="00A37BCE">
        <w:rPr>
          <w:rFonts w:cstheme="minorHAnsi"/>
          <w:color w:val="4472C4" w:themeColor="accent1"/>
          <w:sz w:val="20"/>
          <w:lang w:val="sr-Cyrl-RS"/>
        </w:rPr>
        <w:t>.</w:t>
      </w:r>
    </w:p>
    <w:p w14:paraId="0FB3A343" w14:textId="180153B8" w:rsidR="001D6C6B" w:rsidRPr="00A37BCE" w:rsidRDefault="008816A0" w:rsidP="00031215">
      <w:pPr>
        <w:jc w:val="both"/>
        <w:rPr>
          <w:rFonts w:cstheme="minorHAnsi"/>
          <w:color w:val="4472C4" w:themeColor="accent1"/>
          <w:sz w:val="20"/>
          <w:lang w:val="sr-Cyrl-RS"/>
        </w:rPr>
      </w:pPr>
      <w:r w:rsidRPr="00A37BCE">
        <w:rPr>
          <w:rFonts w:cstheme="minorHAnsi"/>
          <w:noProof/>
        </w:rPr>
        <mc:AlternateContent>
          <mc:Choice Requires="wps">
            <w:drawing>
              <wp:anchor distT="0" distB="0" distL="114300" distR="114300" simplePos="0" relativeHeight="251701248" behindDoc="1" locked="0" layoutInCell="1" allowOverlap="1" wp14:anchorId="044B88C7" wp14:editId="12B1862F">
                <wp:simplePos x="0" y="0"/>
                <wp:positionH relativeFrom="margin">
                  <wp:posOffset>-31750</wp:posOffset>
                </wp:positionH>
                <wp:positionV relativeFrom="paragraph">
                  <wp:posOffset>12701</wp:posOffset>
                </wp:positionV>
                <wp:extent cx="6028055" cy="4927600"/>
                <wp:effectExtent l="0" t="0" r="0" b="6350"/>
                <wp:wrapNone/>
                <wp:docPr id="65" name="Rectangle 65"/>
                <wp:cNvGraphicFramePr/>
                <a:graphic xmlns:a="http://schemas.openxmlformats.org/drawingml/2006/main">
                  <a:graphicData uri="http://schemas.microsoft.com/office/word/2010/wordprocessingShape">
                    <wps:wsp>
                      <wps:cNvSpPr/>
                      <wps:spPr>
                        <a:xfrm>
                          <a:off x="0" y="0"/>
                          <a:ext cx="6028055" cy="4927600"/>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7D55AE82" id="Rectangle 65" o:spid="_x0000_s1026" style="position:absolute;margin-left:-2.5pt;margin-top:1pt;width:474.65pt;height:388pt;z-index:-251615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HX6twIAAPQFAAAOAAAAZHJzL2Uyb0RvYy54bWysVFFP2zAQfp+0/2D5fSSN2gIVKapATJMY&#10;IGDi2XXsJpLj82y3affrd7aTFAHiYdqLY/u+u/vui+8uLvetIjthXQO6pJOTnBKhOVSN3pT01/PN&#10;tzNKnGe6Ygq0KOlBOHq5/PrlojMLUUANqhKWYBDtFp0pae29WWSZ47VomTsBIzQaJdiWeTzaTVZZ&#10;1mH0VmVFns+zDmxlLHDhHN5eJyNdxvhSCu7vpXTCE1VS5ObjauO6Dmu2vGCLjWWmbnhPg/0Di5Y1&#10;GpOOoa6ZZ2Rrm3eh2oZbcCD9CYc2AykbLmINWM0kf1PNU82MiLWgOM6MMrn/F5bf7R4saaqSzmeU&#10;aNbiP3pE1ZjeKEHwDgXqjFsg7sk82P7kcBuq3Uvbhi/WQfZR1MMoqth7wvFynhdn+QyDc7RNz4vT&#10;eR5lz47uxjr/XUBLwqakFvNHMdnu1nlMidABErIZ5v1No1QPN9wXs4iXmysVecXnI/BAdgx//Hoz&#10;iXa1bX9Cle7OZvnIY4THVGOU9SfhEqseEfj1nAI/pcOqIXBMuHCTBRmTcHHnD0ok9KOQ+AdQqiKy&#10;HNkkooxzoX0qwNWsEuk60B90HD0if6UxYIgsMf8Yuw8Q+uoozBA7sezxwVXE1hmd88+IJefRI2YG&#10;7UfnttFgPwqgsKo+c8IPIiVpgkprqA74Pi2kxnWG3zT4Rm6Z8w/MYqdiT+P08fe4SAVdSaHfUVKD&#10;/fPRfcBjA6GVkg47v6Tu95ZZQYn6obG1zifTaRgV8TCdnRZ4sK8t69cWvW2vAN/YBOec4XEb8F4N&#10;W2mhfcEhtQpZ0cQ0x9wl5d4OhyufJhKOOS5WqwjD8YBv6lY/GR6CB1VDDzzvX5g1/cv32GN3MEwJ&#10;tnjTLwkbPDWsth5kE5vpqGuvN46W+HD6MRhm1+tzRB2H9fIvAAAA//8DAFBLAwQUAAYACAAAACEA&#10;xXyXVOAAAAAIAQAADwAAAGRycy9kb3ducmV2LnhtbEyPzU7DMBCE70i8g7VI3FqH0pI0ZFMBEoJK&#10;SKh/4rqNlzgitkPstunbY05wGq1mNfNNsRhMK47c+8ZZhJtxAoJt5VRja4Tt5nmUgfCBrKLWWUY4&#10;s4dFeXlRUK7cya74uA61iCHW54SgQ+hyKX2l2ZAfu45t9D5dbyjEs6+l6ukUw00rJ0lyJw01NjZo&#10;6vhJc/W1PhgEenn0evZOu/l5t02W+iN7Tb/fEK+vhod7EIGH8PcMv/gRHcrItHcHq7xoEUazOCUg&#10;TKJEez6d3oLYI6RploAsC/l/QPkDAAD//wMAUEsBAi0AFAAGAAgAAAAhALaDOJL+AAAA4QEAABMA&#10;AAAAAAAAAAAAAAAAAAAAAFtDb250ZW50X1R5cGVzXS54bWxQSwECLQAUAAYACAAAACEAOP0h/9YA&#10;AACUAQAACwAAAAAAAAAAAAAAAAAvAQAAX3JlbHMvLnJlbHNQSwECLQAUAAYACAAAACEA3IB1+rcC&#10;AAD0BQAADgAAAAAAAAAAAAAAAAAuAgAAZHJzL2Uyb0RvYy54bWxQSwECLQAUAAYACAAAACEAxXyX&#10;VOAAAAAIAQAADwAAAAAAAAAAAAAAAAARBQAAZHJzL2Rvd25yZXYueG1sUEsFBgAAAAAEAAQA8wAA&#10;AB4GAAAAAA==&#10;" fillcolor="#d8d8d8 [2732]" stroked="f" strokeweight="1pt">
                <v:fill r:id="rId25" o:title="" color2="white [3212]" type="pattern"/>
                <w10:wrap anchorx="margin"/>
              </v:rect>
            </w:pict>
          </mc:Fallback>
        </mc:AlternateContent>
      </w:r>
      <w:r w:rsidR="00031215" w:rsidRPr="00A37BCE">
        <w:rPr>
          <w:rFonts w:cstheme="minorHAnsi"/>
          <w:color w:val="4472C4" w:themeColor="accent1"/>
          <w:sz w:val="20"/>
          <w:lang w:val="sr-Cyrl-RS"/>
        </w:rPr>
        <w:t xml:space="preserve">Достигнути фискални резултат у претходном периоду очуван је и током 2018. године, а фискална дисциплина добија трајни карактер. Јавни дуг je испод критеријума Мастрихта, са тенденцијом даљег смањења и приближавања зони која пружа безбедност од фискалне кризе у случају глобалних рецесионих кретања. Истовремено, активним мерама унапређен је целокупни финансијски систем, што је између осталог резултирало смањењем </w:t>
      </w:r>
      <w:r w:rsidR="00031215" w:rsidRPr="00832A91">
        <w:rPr>
          <w:rFonts w:cstheme="minorHAnsi"/>
          <w:color w:val="4472C4" w:themeColor="accent1"/>
          <w:sz w:val="20"/>
          <w:lang w:val="sr-Cyrl-RS"/>
        </w:rPr>
        <w:t xml:space="preserve">учешћа НПЛ </w:t>
      </w:r>
      <w:r w:rsidR="00031215" w:rsidRPr="00A37BCE">
        <w:rPr>
          <w:rFonts w:cstheme="minorHAnsi"/>
          <w:color w:val="4472C4" w:themeColor="accent1"/>
          <w:sz w:val="20"/>
          <w:lang w:val="sr-Cyrl-RS"/>
        </w:rPr>
        <w:t>и повољнијим условима задуживања, обезбеђујући тиме додат</w:t>
      </w:r>
      <w:r w:rsidR="00735A07" w:rsidRPr="00A37BCE">
        <w:rPr>
          <w:rFonts w:cstheme="minorHAnsi"/>
          <w:color w:val="4472C4" w:themeColor="accent1"/>
          <w:sz w:val="20"/>
          <w:lang w:val="sr-Cyrl-RS"/>
        </w:rPr>
        <w:t>ни импулс привредном расту. Ост</w:t>
      </w:r>
      <w:r w:rsidR="00031215" w:rsidRPr="00A37BCE">
        <w:rPr>
          <w:rFonts w:cstheme="minorHAnsi"/>
          <w:color w:val="4472C4" w:themeColor="accent1"/>
          <w:sz w:val="20"/>
          <w:lang w:val="sr-Cyrl-RS"/>
        </w:rPr>
        <w:t>в</w:t>
      </w:r>
      <w:r w:rsidR="00735A07" w:rsidRPr="00A37BCE">
        <w:rPr>
          <w:rFonts w:cstheme="minorHAnsi"/>
          <w:color w:val="4472C4" w:themeColor="accent1"/>
          <w:sz w:val="20"/>
          <w:lang w:val="sr-Cyrl-RS"/>
        </w:rPr>
        <w:t>а</w:t>
      </w:r>
      <w:r w:rsidR="00031215" w:rsidRPr="00A37BCE">
        <w:rPr>
          <w:rFonts w:cstheme="minorHAnsi"/>
          <w:color w:val="4472C4" w:themeColor="accent1"/>
          <w:sz w:val="20"/>
          <w:lang w:val="sr-Cyrl-RS"/>
        </w:rPr>
        <w:t xml:space="preserve">рена побољшања у фискалном, реалном и монетарном сектору преливена су и на тржиште рада. Бележи се наставак раста запослености уз перманентан раст зарада. Прилив СДИ се континуирано повећава и обезбеђује пуну покривеност дефицита текућег рачуна платног биланса. Највећим делом СДИ су завршавале у </w:t>
      </w:r>
      <w:r w:rsidR="00A37BCE" w:rsidRPr="00A37BCE">
        <w:rPr>
          <w:rFonts w:cstheme="minorHAnsi"/>
          <w:color w:val="4472C4" w:themeColor="accent1"/>
          <w:sz w:val="20"/>
          <w:lang w:val="sr-Cyrl-RS"/>
        </w:rPr>
        <w:t>делатностима</w:t>
      </w:r>
      <w:r w:rsidR="00031215" w:rsidRPr="00A37BCE">
        <w:rPr>
          <w:rFonts w:cstheme="minorHAnsi"/>
          <w:color w:val="4472C4" w:themeColor="accent1"/>
          <w:sz w:val="20"/>
          <w:lang w:val="sr-Cyrl-RS"/>
        </w:rPr>
        <w:t xml:space="preserve"> прерађивачке и</w:t>
      </w:r>
      <w:r w:rsidR="000D5A02" w:rsidRPr="00A37BCE">
        <w:rPr>
          <w:rFonts w:cstheme="minorHAnsi"/>
          <w:color w:val="4472C4" w:themeColor="accent1"/>
          <w:sz w:val="20"/>
          <w:lang w:val="sr-Cyrl-RS"/>
        </w:rPr>
        <w:t>ндустрије које производе размењ</w:t>
      </w:r>
      <w:r w:rsidR="00031215" w:rsidRPr="00A37BCE">
        <w:rPr>
          <w:rFonts w:cstheme="minorHAnsi"/>
          <w:color w:val="4472C4" w:themeColor="accent1"/>
          <w:sz w:val="20"/>
          <w:lang w:val="sr-Cyrl-RS"/>
        </w:rPr>
        <w:t>ива добра, као и у услугама које су орјентисане ка иностранству, што ће повољно утицати на од</w:t>
      </w:r>
      <w:r w:rsidR="00972218" w:rsidRPr="00A37BCE">
        <w:rPr>
          <w:rFonts w:cstheme="minorHAnsi"/>
          <w:color w:val="4472C4" w:themeColor="accent1"/>
          <w:sz w:val="20"/>
          <w:lang w:val="sr-Cyrl-RS"/>
        </w:rPr>
        <w:t>носе спољнотрговинске размене.</w:t>
      </w:r>
    </w:p>
    <w:p w14:paraId="1616972B" w14:textId="64043009" w:rsidR="00CE5657" w:rsidRPr="00A37BCE" w:rsidRDefault="00031215" w:rsidP="00031215">
      <w:pPr>
        <w:jc w:val="both"/>
        <w:rPr>
          <w:rFonts w:cstheme="minorHAnsi"/>
          <w:color w:val="4472C4" w:themeColor="accent1"/>
          <w:sz w:val="20"/>
          <w:lang w:val="sr-Cyrl-RS"/>
        </w:rPr>
      </w:pPr>
      <w:r w:rsidRPr="00A37BCE">
        <w:rPr>
          <w:rFonts w:cstheme="minorHAnsi"/>
          <w:color w:val="4472C4" w:themeColor="accent1"/>
          <w:sz w:val="20"/>
          <w:lang w:val="sr-Cyrl-RS"/>
        </w:rPr>
        <w:t xml:space="preserve">Основна орјентација креатора економских мера јесте јачање потпора успостављеног модела раста који почива на повећању инвестиција и извоза. </w:t>
      </w:r>
      <w:r w:rsidRPr="00A37BCE">
        <w:rPr>
          <w:rFonts w:cstheme="minorHAnsi"/>
          <w:color w:val="4472C4" w:themeColor="accent1"/>
          <w:sz w:val="20"/>
          <w:lang w:val="sr-Cyrl-RS"/>
        </w:rPr>
        <w:lastRenderedPageBreak/>
        <w:t>Напори су усмерени на интензивирање реформских процеса, како би се обезбедио континуитет побољшања привредног окружења, напретка на међународним листама конкурентности и даљег подизања кредитног рејтинга земље. Препозната је неопходност проналажења нових извора раста, па су иновације, истраживање и развој, обновљиви извори енергије и еко инвестиције у сталном фокусу приликом дефинисања будућих активности. Подстицајне мере за</w:t>
      </w:r>
      <w:r w:rsidR="00023CAD" w:rsidRPr="00A37BCE">
        <w:rPr>
          <w:rFonts w:cstheme="minorHAnsi"/>
          <w:color w:val="4472C4" w:themeColor="accent1"/>
          <w:sz w:val="20"/>
          <w:lang w:val="sr-Cyrl-RS"/>
        </w:rPr>
        <w:t xml:space="preserve"> привлачење</w:t>
      </w:r>
      <w:r w:rsidRPr="00A37BCE">
        <w:rPr>
          <w:rFonts w:cstheme="minorHAnsi"/>
          <w:color w:val="4472C4" w:themeColor="accent1"/>
          <w:sz w:val="20"/>
          <w:lang w:val="sr-Cyrl-RS"/>
        </w:rPr>
        <w:t xml:space="preserve"> СДИ имају за циљ даље подизање атрактивности оним делатностима које продукују размењива добра, како би се убрзао раст извоза али и фокус на смањење регионалних неједнакости. Такође, у складу са својом редистрибутивном и социјалном функцијом</w:t>
      </w:r>
      <w:r w:rsidR="00023CAD" w:rsidRPr="00A37BCE">
        <w:rPr>
          <w:rFonts w:cstheme="minorHAnsi"/>
          <w:color w:val="4472C4" w:themeColor="accent1"/>
          <w:sz w:val="20"/>
          <w:lang w:val="sr-Cyrl-RS"/>
        </w:rPr>
        <w:t>,</w:t>
      </w:r>
      <w:r w:rsidRPr="00A37BCE">
        <w:rPr>
          <w:rFonts w:cstheme="minorHAnsi"/>
          <w:color w:val="4472C4" w:themeColor="accent1"/>
          <w:sz w:val="20"/>
          <w:lang w:val="sr-Cyrl-RS"/>
        </w:rPr>
        <w:t xml:space="preserve"> држава је фокусирана на смањење друштвених неједнакости, обезбеђење инклузивности привредног раста и креирање амбијента социјалне кохезије.</w:t>
      </w:r>
    </w:p>
    <w:p w14:paraId="7828AB59" w14:textId="287A419A" w:rsidR="00DD507F" w:rsidRPr="00A37BCE" w:rsidRDefault="00DD507F" w:rsidP="00CE5657">
      <w:pPr>
        <w:jc w:val="both"/>
        <w:rPr>
          <w:rFonts w:cstheme="minorHAnsi"/>
          <w:color w:val="4472C4" w:themeColor="accent1"/>
          <w:sz w:val="20"/>
          <w:lang w:val="sr-Cyrl-RS"/>
        </w:rPr>
        <w:sectPr w:rsidR="00DD507F" w:rsidRPr="00A37BCE" w:rsidSect="00CE5657">
          <w:type w:val="continuous"/>
          <w:pgSz w:w="12240" w:h="15840"/>
          <w:pgMar w:top="1440" w:right="1440" w:bottom="1440" w:left="1440" w:header="720" w:footer="720" w:gutter="0"/>
          <w:cols w:num="2" w:space="720"/>
          <w:docGrid w:linePitch="360"/>
        </w:sectPr>
      </w:pPr>
      <w:r w:rsidRPr="00A37BCE">
        <w:rPr>
          <w:rFonts w:cstheme="minorHAnsi"/>
          <w:color w:val="4472C4" w:themeColor="accent1"/>
          <w:sz w:val="20"/>
          <w:lang w:val="sr-Cyrl-RS"/>
        </w:rPr>
        <w:t>Смањење унутрашњих и спољних неравнотежа омогућило је значајну апсор</w:t>
      </w:r>
      <w:r w:rsidR="002E320D" w:rsidRPr="00A37BCE">
        <w:rPr>
          <w:rFonts w:cstheme="minorHAnsi"/>
          <w:color w:val="4472C4" w:themeColor="accent1"/>
          <w:sz w:val="20"/>
          <w:lang w:val="sr-Cyrl-RS"/>
        </w:rPr>
        <w:t>п</w:t>
      </w:r>
      <w:r w:rsidRPr="00A37BCE">
        <w:rPr>
          <w:rFonts w:cstheme="minorHAnsi"/>
          <w:color w:val="4472C4" w:themeColor="accent1"/>
          <w:sz w:val="20"/>
          <w:lang w:val="sr-Cyrl-RS"/>
        </w:rPr>
        <w:t>цију неизвесности, што се огледа у наставку јачања екстерне позиције земље. Ипак, чињеница да смо као мала и отворена економија и даље подложни регионалним и глобалним кретањима на међународном тржишту, намеће неопходност константног мониторинга екстерних ризика, антиципирање њихове активације и предузимање ефикасних мера како би се неутралисали негативни утицаји.</w:t>
      </w:r>
    </w:p>
    <w:p w14:paraId="6BB1807B" w14:textId="77777777" w:rsidR="005B04E0" w:rsidRPr="00A37BCE" w:rsidRDefault="005B04E0" w:rsidP="005B04E0">
      <w:pPr>
        <w:spacing w:after="0"/>
        <w:rPr>
          <w:rFonts w:cstheme="minorHAnsi"/>
          <w:b/>
          <w:color w:val="2F5496" w:themeColor="accent1" w:themeShade="BF"/>
          <w:sz w:val="16"/>
          <w:lang w:val="sr-Cyrl-RS"/>
        </w:rPr>
        <w:sectPr w:rsidR="005B04E0" w:rsidRPr="00A37BCE" w:rsidSect="00CE5657">
          <w:type w:val="continuous"/>
          <w:pgSz w:w="12240" w:h="15840"/>
          <w:pgMar w:top="1440" w:right="1440" w:bottom="1440" w:left="1440" w:header="720" w:footer="720" w:gutter="0"/>
          <w:cols w:num="2" w:space="720"/>
          <w:docGrid w:linePitch="360"/>
        </w:sectPr>
      </w:pPr>
    </w:p>
    <w:p w14:paraId="1E8F1EBB" w14:textId="437B4922" w:rsidR="00CE5657" w:rsidRPr="00A37BCE" w:rsidRDefault="00CE5657" w:rsidP="00CE5657">
      <w:pPr>
        <w:rPr>
          <w:rFonts w:cstheme="minorHAnsi"/>
          <w:b/>
          <w:color w:val="2F5496" w:themeColor="accent1" w:themeShade="BF"/>
          <w:lang w:val="sr-Cyrl-RS"/>
        </w:rPr>
      </w:pPr>
      <w:r w:rsidRPr="00A37BCE">
        <w:rPr>
          <w:rFonts w:cstheme="minorHAnsi"/>
          <w:b/>
          <w:color w:val="2F5496" w:themeColor="accent1" w:themeShade="BF"/>
          <w:lang w:val="sr-Cyrl-RS"/>
        </w:rPr>
        <w:lastRenderedPageBreak/>
        <w:t>Привредна активност</w:t>
      </w:r>
    </w:p>
    <w:p w14:paraId="0BD5971E" w14:textId="46456038" w:rsidR="00352961" w:rsidRPr="00A37BCE" w:rsidRDefault="00DD507F" w:rsidP="00CE5657">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Првобитна пројекција привредног раста за 2018. годину ревидирана је навише са 3,5% на 4,2%. Ревизија је спроведена на бази регистрованих кретања у првој половини године, успостављених трендова кључних варијабли и краткорочних макроекономских индикатора. У склопу првобитне пројекције идентификовано је неколико како интерних тако и екстерних ризика по њено остварење</w:t>
      </w:r>
      <w:r w:rsidR="00CE5657" w:rsidRPr="00A37BCE">
        <w:rPr>
          <w:rStyle w:val="FootnoteReference"/>
          <w:rFonts w:cstheme="minorHAnsi"/>
          <w:bCs/>
          <w:color w:val="44546A" w:themeColor="text2"/>
          <w:sz w:val="20"/>
          <w:szCs w:val="72"/>
          <w:lang w:val="sr-Cyrl-RS"/>
        </w:rPr>
        <w:footnoteReference w:id="2"/>
      </w:r>
      <w:r w:rsidR="00CE5657" w:rsidRPr="00A37BCE">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t xml:space="preserve">Док су егзогени ризици махом остали неутрални, један број ендогених ризика је активиран и то у позитивном смеру. </w:t>
      </w:r>
      <w:r w:rsidRPr="00A37BCE">
        <w:rPr>
          <w:rFonts w:cstheme="minorHAnsi"/>
          <w:bCs/>
          <w:color w:val="44546A" w:themeColor="text2"/>
          <w:sz w:val="20"/>
          <w:szCs w:val="72"/>
          <w:lang w:val="sr-Cyrl-RS"/>
        </w:rPr>
        <w:lastRenderedPageBreak/>
        <w:t>Пољопривредна производња је изнад вишегодишњих просека који су се користили при пројекцији кретања овог сектора, док је грађевинска активност убрзала значајно изнад очекиваног темпа. Посматрано по</w:t>
      </w:r>
      <w:r w:rsidR="00811807">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t xml:space="preserve">компонентама употребе, инвестиције представљају најзначајнији извор додатног раста. Очекује се да ће оне до краја године, уз личну потрошњу, задржати ову улогу. Односно, да ће главни извор раста са производне стране бити услужни сектор, уз значајан допринос грађевинарства и пољопривреде. Извоз ће остварити раст од 9,2%, али ће услед повећаних </w:t>
      </w:r>
      <w:r w:rsidRPr="00A37BCE">
        <w:rPr>
          <w:rFonts w:cstheme="minorHAnsi"/>
          <w:bCs/>
          <w:color w:val="44546A" w:themeColor="text2"/>
          <w:sz w:val="20"/>
          <w:szCs w:val="72"/>
          <w:lang w:val="sr-Cyrl-RS"/>
        </w:rPr>
        <w:lastRenderedPageBreak/>
        <w:t>потреба привреде за репроматеријалом као и средствима за рад бити праћен</w:t>
      </w:r>
      <w:r w:rsidR="00490293" w:rsidRPr="00A37BCE">
        <w:rPr>
          <w:rFonts w:cstheme="minorHAnsi"/>
          <w:bCs/>
          <w:color w:val="44546A" w:themeColor="text2"/>
          <w:sz w:val="20"/>
          <w:szCs w:val="72"/>
          <w:lang w:val="sr-Cyrl-RS"/>
        </w:rPr>
        <w:t xml:space="preserve"> повећаним увозом за 9,8%. Овак</w:t>
      </w:r>
      <w:r w:rsidRPr="00A37BCE">
        <w:rPr>
          <w:rFonts w:cstheme="minorHAnsi"/>
          <w:bCs/>
          <w:color w:val="44546A" w:themeColor="text2"/>
          <w:sz w:val="20"/>
          <w:szCs w:val="72"/>
          <w:lang w:val="sr-Cyrl-RS"/>
        </w:rPr>
        <w:t>ва динамика спољнотрговинске размене ће за последицу имати негативан допринос нето извоза на укупну стопу привредног раста. Уједно, то ће довести и до благог погоршања дефицита текућег рачуна платног биланса у односу на првобитно пројектован. Овај дефицит је и даље у потпуности покривен СДИ, које ће у 2018. години остварити раст за око 9% и достићи износ од 2,6 млрд евра. Уместо планираног дефицита буџета</w:t>
      </w:r>
      <w:r w:rsidR="003F128E" w:rsidRPr="00A37BCE">
        <w:rPr>
          <w:rFonts w:cstheme="minorHAnsi"/>
          <w:bCs/>
          <w:color w:val="44546A" w:themeColor="text2"/>
          <w:sz w:val="20"/>
          <w:szCs w:val="72"/>
          <w:lang w:val="sr-Cyrl-RS"/>
        </w:rPr>
        <w:t>,</w:t>
      </w:r>
      <w:r w:rsidRPr="00A37BCE">
        <w:rPr>
          <w:rFonts w:cstheme="minorHAnsi"/>
          <w:bCs/>
          <w:color w:val="44546A" w:themeColor="text2"/>
          <w:sz w:val="20"/>
          <w:szCs w:val="72"/>
          <w:lang w:val="sr-Cyrl-RS"/>
        </w:rPr>
        <w:t xml:space="preserve"> биће остварен суфицит од 0,6% БДП. Тако ће ово бити друга година заредом са позитивним фискалним резултатом, што је потврда успешности спроведене консолидације и очувања фискалне дисциплине. Последично оваквом фискалном резултату, брзина смањења учешћа јавног дуга у БДП је већа од пројектоване, па се приближавање нивоу од 50% БДП очекује већ </w:t>
      </w:r>
      <w:r w:rsidR="009C2D22" w:rsidRPr="00A37BCE">
        <w:rPr>
          <w:rFonts w:cstheme="minorHAnsi"/>
          <w:bCs/>
          <w:color w:val="44546A" w:themeColor="text2"/>
          <w:sz w:val="20"/>
          <w:szCs w:val="72"/>
          <w:lang w:val="sr-Cyrl-RS"/>
        </w:rPr>
        <w:t xml:space="preserve">почетком </w:t>
      </w:r>
      <w:r w:rsidR="00594BCB" w:rsidRPr="00A37BCE">
        <w:rPr>
          <w:rFonts w:cstheme="minorHAnsi"/>
          <w:bCs/>
          <w:color w:val="44546A" w:themeColor="text2"/>
          <w:sz w:val="20"/>
          <w:szCs w:val="72"/>
          <w:lang w:val="sr-Cyrl-RS"/>
        </w:rPr>
        <w:t>2019. године.</w:t>
      </w:r>
      <w:r w:rsidRPr="00A37BCE">
        <w:rPr>
          <w:rFonts w:cstheme="minorHAnsi"/>
          <w:bCs/>
          <w:color w:val="44546A" w:themeColor="text2"/>
          <w:sz w:val="20"/>
          <w:szCs w:val="72"/>
          <w:lang w:val="sr-Cyrl-RS"/>
        </w:rPr>
        <w:t xml:space="preserve"> Нето девизне резерве на крају септембара су, и поред спровођења процеса смањивања девизних обавеза по основу кредита и ХоВ, на рекордном нивоу и прелазе девет милијарди евра.</w:t>
      </w:r>
    </w:p>
    <w:p w14:paraId="66C00DB4" w14:textId="5289DCF7" w:rsidR="00ED6702" w:rsidRPr="00A37BCE" w:rsidRDefault="00ED6702" w:rsidP="00ED6702">
      <w:pPr>
        <w:pStyle w:val="Caption"/>
        <w:keepNext/>
        <w:jc w:val="center"/>
        <w:rPr>
          <w:rFonts w:cstheme="minorHAnsi"/>
          <w:b/>
          <w:i w:val="0"/>
          <w:iCs w:val="0"/>
          <w:color w:val="002060"/>
          <w:sz w:val="20"/>
          <w:szCs w:val="22"/>
          <w:lang w:val="sr-Cyrl-RS"/>
        </w:rPr>
      </w:pPr>
      <w:r w:rsidRPr="00A37BCE">
        <w:rPr>
          <w:rFonts w:cstheme="minorHAnsi"/>
          <w:b/>
          <w:i w:val="0"/>
          <w:iCs w:val="0"/>
          <w:color w:val="002060"/>
          <w:sz w:val="20"/>
          <w:szCs w:val="22"/>
          <w:lang w:val="sr-Cyrl-RS"/>
        </w:rPr>
        <w:lastRenderedPageBreak/>
        <w:t>Ревизија кретања основних макроекономских агрегата</w:t>
      </w:r>
    </w:p>
    <w:p w14:paraId="29478E5B" w14:textId="2F56E314" w:rsidR="00352961" w:rsidRPr="00A37BCE" w:rsidRDefault="0045496D" w:rsidP="00CE5657">
      <w:pPr>
        <w:jc w:val="both"/>
        <w:rPr>
          <w:rFonts w:cstheme="minorHAnsi"/>
          <w:sz w:val="20"/>
          <w:szCs w:val="72"/>
          <w:lang w:val="sr-Cyrl-RS"/>
        </w:rPr>
      </w:pPr>
      <w:r w:rsidRPr="00A37BCE">
        <w:rPr>
          <w:rFonts w:cstheme="minorHAnsi"/>
          <w:noProof/>
          <w:sz w:val="20"/>
          <w:szCs w:val="72"/>
        </w:rPr>
        <w:drawing>
          <wp:inline distT="0" distB="0" distL="0" distR="0" wp14:anchorId="33524F35" wp14:editId="480B21C5">
            <wp:extent cx="2743200" cy="36576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rojekcije prethodne i nove 1-01.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743200" cy="3657600"/>
                    </a:xfrm>
                    <a:prstGeom prst="rect">
                      <a:avLst/>
                    </a:prstGeom>
                  </pic:spPr>
                </pic:pic>
              </a:graphicData>
            </a:graphic>
          </wp:inline>
        </w:drawing>
      </w:r>
    </w:p>
    <w:p w14:paraId="21AA5BA2" w14:textId="4CA395C3" w:rsidR="005B1B23" w:rsidRPr="00A37BCE" w:rsidRDefault="00A12984" w:rsidP="00CE5657">
      <w:pPr>
        <w:jc w:val="both"/>
        <w:rPr>
          <w:rFonts w:cstheme="minorHAnsi"/>
          <w:sz w:val="20"/>
          <w:szCs w:val="72"/>
          <w:lang w:val="sr-Cyrl-RS"/>
        </w:rPr>
      </w:pPr>
      <w:r>
        <w:rPr>
          <w:rFonts w:cstheme="minorHAnsi"/>
          <w:noProof/>
          <w:sz w:val="20"/>
          <w:szCs w:val="72"/>
        </w:rPr>
        <w:drawing>
          <wp:inline distT="0" distB="0" distL="0" distR="0" wp14:anchorId="3AB52764" wp14:editId="0786B8D6">
            <wp:extent cx="2739231" cy="2959200"/>
            <wp:effectExtent l="0" t="0" r="4445"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l01_str12.png"/>
                    <pic:cNvPicPr/>
                  </pic:nvPicPr>
                  <pic:blipFill>
                    <a:blip r:embed="rId28">
                      <a:extLst>
                        <a:ext uri="{28A0092B-C50C-407E-A947-70E740481C1C}">
                          <a14:useLocalDpi xmlns:a14="http://schemas.microsoft.com/office/drawing/2010/main" val="0"/>
                        </a:ext>
                      </a:extLst>
                    </a:blip>
                    <a:stretch>
                      <a:fillRect/>
                    </a:stretch>
                  </pic:blipFill>
                  <pic:spPr>
                    <a:xfrm>
                      <a:off x="0" y="0"/>
                      <a:ext cx="2739231" cy="2959200"/>
                    </a:xfrm>
                    <a:prstGeom prst="rect">
                      <a:avLst/>
                    </a:prstGeom>
                  </pic:spPr>
                </pic:pic>
              </a:graphicData>
            </a:graphic>
          </wp:inline>
        </w:drawing>
      </w:r>
    </w:p>
    <w:p w14:paraId="30519B35" w14:textId="25C5A311" w:rsidR="009602A3" w:rsidRPr="0067261A" w:rsidRDefault="007A5B91" w:rsidP="00352961">
      <w:pPr>
        <w:rPr>
          <w:rFonts w:cstheme="minorHAnsi"/>
          <w:noProof/>
          <w:sz w:val="20"/>
          <w:szCs w:val="72"/>
          <w:lang w:val="sr-Cyrl-RS"/>
        </w:rPr>
      </w:pPr>
      <w:r>
        <w:rPr>
          <w:rFonts w:cstheme="minorHAnsi"/>
          <w:noProof/>
          <w:sz w:val="20"/>
          <w:szCs w:val="72"/>
        </w:rPr>
        <w:lastRenderedPageBreak/>
        <w:drawing>
          <wp:inline distT="0" distB="0" distL="0" distR="0" wp14:anchorId="4799DA25" wp14:editId="0E848F0E">
            <wp:extent cx="2743332" cy="1583651"/>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Sl02_str13.png"/>
                    <pic:cNvPicPr/>
                  </pic:nvPicPr>
                  <pic:blipFill>
                    <a:blip r:embed="rId29">
                      <a:extLst>
                        <a:ext uri="{28A0092B-C50C-407E-A947-70E740481C1C}">
                          <a14:useLocalDpi xmlns:a14="http://schemas.microsoft.com/office/drawing/2010/main" val="0"/>
                        </a:ext>
                      </a:extLst>
                    </a:blip>
                    <a:stretch>
                      <a:fillRect/>
                    </a:stretch>
                  </pic:blipFill>
                  <pic:spPr>
                    <a:xfrm>
                      <a:off x="0" y="0"/>
                      <a:ext cx="2743332" cy="1583651"/>
                    </a:xfrm>
                    <a:prstGeom prst="rect">
                      <a:avLst/>
                    </a:prstGeom>
                  </pic:spPr>
                </pic:pic>
              </a:graphicData>
            </a:graphic>
          </wp:inline>
        </w:drawing>
      </w:r>
      <w:r w:rsidR="009602A3" w:rsidRPr="00A37BCE">
        <w:rPr>
          <w:rFonts w:cstheme="minorHAnsi"/>
          <w:bCs/>
          <w:color w:val="44546A" w:themeColor="text2"/>
          <w:sz w:val="16"/>
          <w:szCs w:val="72"/>
          <w:lang w:val="sr-Cyrl-RS"/>
        </w:rPr>
        <w:t>Извор: Министарство финансија, РЗС, НБС</w:t>
      </w:r>
    </w:p>
    <w:p w14:paraId="2129A7E7" w14:textId="7F9D7F37" w:rsidR="00352961" w:rsidRPr="00A37BCE" w:rsidRDefault="00352961" w:rsidP="00352961">
      <w:pPr>
        <w:rPr>
          <w:rFonts w:cstheme="minorHAnsi"/>
          <w:b/>
          <w:color w:val="2F5496" w:themeColor="accent1" w:themeShade="BF"/>
          <w:lang w:val="sr-Cyrl-RS"/>
        </w:rPr>
      </w:pPr>
      <w:r w:rsidRPr="00A37BCE">
        <w:rPr>
          <w:rFonts w:cstheme="minorHAnsi"/>
          <w:b/>
          <w:color w:val="2F5496" w:themeColor="accent1" w:themeShade="BF"/>
          <w:lang w:val="sr-Cyrl-RS"/>
        </w:rPr>
        <w:t>Реални сектор</w:t>
      </w:r>
    </w:p>
    <w:p w14:paraId="561AFE0B" w14:textId="43015719" w:rsidR="00352961" w:rsidRPr="00A37BCE" w:rsidRDefault="00DD507F" w:rsidP="00352961">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Према подацима Републичког завода за статистику (у даљем тексту: РЗС), у 2017. години забележен је раст БДП од 2,0%. Лоши временски услови с почетка године значајно су ометали производне процесе у рударству и производњи струје. Такође, негативно су утицали на динамику грађевинске активности. Након тога уследили су неповољни агрометеоролошки услови, који су десетковали приносе најважнијих пољопривредних култура, што је имало за последицу пад пољопривредне производње за 11,2%. Ефемерни карактер негативних чинилаца, који су утицали на рад грађевинске оперативе и електро-енергетског сектора, потврђен је опоравком ових делатности у другом делу године. Тако да је грађевинарство забележило годишњи раст од 5,7% мг, док је укупна индустријска производња била реално већа за 2,8% мг. Прерађивачка индустрија, као најважнији сегмент укупне индуст</w:t>
      </w:r>
      <w:r w:rsidR="00735A07" w:rsidRPr="00A37BCE">
        <w:rPr>
          <w:rFonts w:cstheme="minorHAnsi"/>
          <w:bCs/>
          <w:color w:val="44546A" w:themeColor="text2"/>
          <w:sz w:val="20"/>
          <w:szCs w:val="72"/>
          <w:lang w:val="sr-Cyrl-RS"/>
        </w:rPr>
        <w:t>р</w:t>
      </w:r>
      <w:r w:rsidRPr="00A37BCE">
        <w:rPr>
          <w:rFonts w:cstheme="minorHAnsi"/>
          <w:bCs/>
          <w:color w:val="44546A" w:themeColor="text2"/>
          <w:sz w:val="20"/>
          <w:szCs w:val="72"/>
          <w:lang w:val="sr-Cyrl-RS"/>
        </w:rPr>
        <w:t>ије због производње размењивих добара и генерисања раста извоза, носилац је овог раста са повећањем од 4,8%. По позитивном доприносу се издвајају делатности гумарске, машинске и хемијске индустрије. Услужни сектор остаје доминантан извор раста и детерминише више од половине оствареног повећања привредне активности у 2017. години. Најзначајнији позитиван утицај даје повећање трговине од 5,2% и све снажнији ИКТ сектор, који је креирао бруто додате вредности за 3,8% више у односу на исти период претходне године. Најзначајнији међугодишњи раст забележен је код угоститељства 10,8%, што је резултат раније спроведених активности у правцу подстицања туризма.</w:t>
      </w:r>
    </w:p>
    <w:p w14:paraId="048C2E68" w14:textId="6B573C27" w:rsidR="002C1D90" w:rsidRPr="00A37BCE" w:rsidRDefault="00DD507F" w:rsidP="00352961">
      <w:pPr>
        <w:jc w:val="both"/>
        <w:rPr>
          <w:rFonts w:cstheme="minorHAnsi"/>
          <w:bCs/>
          <w:color w:val="44546A" w:themeColor="text2"/>
          <w:sz w:val="20"/>
          <w:szCs w:val="72"/>
          <w:lang w:val="sr-Cyrl-RS"/>
        </w:rPr>
        <w:sectPr w:rsidR="002C1D90" w:rsidRPr="00A37BCE" w:rsidSect="00CE5657">
          <w:type w:val="continuous"/>
          <w:pgSz w:w="12240" w:h="15840"/>
          <w:pgMar w:top="1440" w:right="1440" w:bottom="1440" w:left="1440" w:header="720" w:footer="720" w:gutter="0"/>
          <w:cols w:num="2" w:space="720"/>
          <w:docGrid w:linePitch="360"/>
          <w15:footnoteColumns w:val="1"/>
        </w:sectPr>
      </w:pPr>
      <w:r w:rsidRPr="00A37BCE">
        <w:rPr>
          <w:rFonts w:cstheme="minorHAnsi"/>
          <w:bCs/>
          <w:color w:val="44546A" w:themeColor="text2"/>
          <w:sz w:val="20"/>
          <w:szCs w:val="72"/>
          <w:lang w:val="sr-Cyrl-RS"/>
        </w:rPr>
        <w:lastRenderedPageBreak/>
        <w:t xml:space="preserve">Посматрано по агрегатима употребе, највећи позитиван допринос расту БДП у 2017. години дају приватна потрошња и инвестиције. Дозирано смањење фискалне рестриктивности, уз раст зарада и запослености, као и смањење трошкова финансирања определило је раст личне потрошње од </w:t>
      </w:r>
      <w:r w:rsidR="0062189A" w:rsidRPr="00A37BCE">
        <w:rPr>
          <w:rFonts w:cstheme="minorHAnsi"/>
          <w:bCs/>
          <w:color w:val="44546A" w:themeColor="text2"/>
          <w:sz w:val="20"/>
          <w:szCs w:val="72"/>
          <w:lang w:val="sr-Cyrl-RS"/>
        </w:rPr>
        <w:t xml:space="preserve">1,9%. </w:t>
      </w:r>
      <w:r w:rsidRPr="00A37BCE">
        <w:rPr>
          <w:rFonts w:cstheme="minorHAnsi"/>
          <w:bCs/>
          <w:color w:val="44546A" w:themeColor="text2"/>
          <w:sz w:val="20"/>
          <w:szCs w:val="72"/>
          <w:lang w:val="sr-Cyrl-RS"/>
        </w:rPr>
        <w:t>Укупне инвестиције, подстакнуте убрзањем грађевинске активности у другој половини године, бележе међугодишње повећање од 7,3% и успостављају постојану путању раста. Извоз континуирано расте и већи је за 8,2%. Брже повећање увоза за 11,1% опредељено је инвестиционим замахом и последично већом тражњом за капиталним добрима.</w:t>
      </w:r>
      <w:r w:rsidR="00767598">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t>Успостављена позитивна кретања у претходном периоду настављена су динамичнијим темпом током 2018. године. У прва два квартала, према подацима РЗС, остварене су реалне стопе међугодишњег раста</w:t>
      </w:r>
      <w:r w:rsidR="00FD102F" w:rsidRPr="00A37BCE">
        <w:rPr>
          <w:rFonts w:cstheme="minorHAnsi"/>
          <w:bCs/>
          <w:color w:val="44546A" w:themeColor="text2"/>
          <w:sz w:val="20"/>
          <w:szCs w:val="72"/>
          <w:lang w:val="sr-Cyrl-RS"/>
        </w:rPr>
        <w:t xml:space="preserve"> БДП</w:t>
      </w:r>
      <w:r w:rsidRPr="00A37BCE">
        <w:rPr>
          <w:rFonts w:cstheme="minorHAnsi"/>
          <w:bCs/>
          <w:color w:val="44546A" w:themeColor="text2"/>
          <w:sz w:val="20"/>
          <w:szCs w:val="72"/>
          <w:lang w:val="sr-Cyrl-RS"/>
        </w:rPr>
        <w:t xml:space="preserve"> од 4,9% и 4,8%, респективно. Иако један део овог убрзања има обрачунски карактер, услед ниске базе претходне године у електро-енергетском сектору, грађевинарству и пољопривреди, треба истаћи да су све компоненте било производне било расходне структуре БДП формирале стабилно растуће путање које су у складу са средњорочним сценари</w:t>
      </w:r>
      <w:r w:rsidR="005A3CA5" w:rsidRPr="00A37BCE">
        <w:rPr>
          <w:rFonts w:cstheme="minorHAnsi"/>
          <w:bCs/>
          <w:color w:val="44546A" w:themeColor="text2"/>
          <w:sz w:val="20"/>
          <w:szCs w:val="72"/>
          <w:lang w:val="sr-Cyrl-RS"/>
        </w:rPr>
        <w:t>ј</w:t>
      </w:r>
      <w:r w:rsidRPr="00A37BCE">
        <w:rPr>
          <w:rFonts w:cstheme="minorHAnsi"/>
          <w:bCs/>
          <w:color w:val="44546A" w:themeColor="text2"/>
          <w:sz w:val="20"/>
          <w:szCs w:val="72"/>
          <w:lang w:val="sr-Cyrl-RS"/>
        </w:rPr>
        <w:t>ом. Позитиван допринос расту у првих шест месеци дају сви производни сектори. Последично најзначајнијем учешћу у структури БДП, сектор услуга је доминантан носилац раста. Рапидно повећање грађевинске активности од 25,1% мг</w:t>
      </w:r>
      <w:r w:rsidR="00767598">
        <w:rPr>
          <w:rFonts w:cstheme="minorHAnsi"/>
          <w:bCs/>
          <w:color w:val="44546A" w:themeColor="text2"/>
          <w:sz w:val="20"/>
          <w:szCs w:val="72"/>
          <w:lang w:val="sr-Cyrl-RS"/>
        </w:rPr>
        <w:t>.</w:t>
      </w:r>
      <w:r w:rsidRPr="00A37BCE">
        <w:rPr>
          <w:rFonts w:cstheme="minorHAnsi"/>
          <w:bCs/>
          <w:color w:val="44546A" w:themeColor="text2"/>
          <w:sz w:val="20"/>
          <w:szCs w:val="72"/>
          <w:lang w:val="sr-Cyrl-RS"/>
        </w:rPr>
        <w:t xml:space="preserve"> обе</w:t>
      </w:r>
      <w:r w:rsidR="00972218" w:rsidRPr="00A37BCE">
        <w:rPr>
          <w:rFonts w:cstheme="minorHAnsi"/>
          <w:bCs/>
          <w:color w:val="44546A" w:themeColor="text2"/>
          <w:sz w:val="20"/>
          <w:szCs w:val="72"/>
          <w:lang w:val="sr-Cyrl-RS"/>
        </w:rPr>
        <w:t>збеђује раст изнад оног који је</w:t>
      </w:r>
      <w:r w:rsidRPr="00A37BCE">
        <w:rPr>
          <w:rFonts w:cstheme="minorHAnsi"/>
          <w:bCs/>
          <w:color w:val="44546A" w:themeColor="text2"/>
          <w:sz w:val="20"/>
          <w:szCs w:val="72"/>
          <w:lang w:val="sr-Cyrl-RS"/>
        </w:rPr>
        <w:t xml:space="preserve"> првобитном пројекцијом очекиван. Такође, пољопривредна производња бележи двоцифрено повећање од 12,9%, док индустрија креира за 4,0% више бруто додате вредности у односу на исти период прошле године. Посматрано по компонентама употребе, раст је вођен приватном потрошњом која је тангирана мерама фискалне релаксације и подржана повољним условима задуживања. Извор додатног раста у првих шест месеци обезбеђен је убрзањем инвестиција за 13,5%. Обим спољнотрговинске размене је повећан. Извоз је у првој половини године порастао за 8,2%, док је бржи раст увоза за 10,9%</w:t>
      </w:r>
      <w:r w:rsidR="002976D7" w:rsidRPr="00A37BCE">
        <w:rPr>
          <w:rFonts w:cstheme="minorHAnsi"/>
          <w:bCs/>
          <w:color w:val="44546A" w:themeColor="text2"/>
          <w:sz w:val="20"/>
          <w:szCs w:val="72"/>
          <w:lang w:val="sr-Cyrl-RS"/>
        </w:rPr>
        <w:t xml:space="preserve"> последица интензивније набавке </w:t>
      </w:r>
      <w:r w:rsidRPr="00A37BCE">
        <w:rPr>
          <w:rFonts w:cstheme="minorHAnsi"/>
          <w:bCs/>
          <w:color w:val="44546A" w:themeColor="text2"/>
          <w:sz w:val="20"/>
          <w:szCs w:val="72"/>
          <w:lang w:val="sr-Cyrl-RS"/>
        </w:rPr>
        <w:t>репроматеријала и инвестиционе опреме.</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1"/>
        <w:gridCol w:w="1297"/>
        <w:gridCol w:w="1312"/>
        <w:gridCol w:w="1331"/>
        <w:gridCol w:w="249"/>
        <w:gridCol w:w="850"/>
      </w:tblGrid>
      <w:tr w:rsidR="002C1D90" w:rsidRPr="00A37BCE" w14:paraId="4749111A" w14:textId="77777777" w:rsidTr="00767598">
        <w:trPr>
          <w:trHeight w:val="324"/>
        </w:trPr>
        <w:tc>
          <w:tcPr>
            <w:tcW w:w="5000" w:type="pct"/>
            <w:gridSpan w:val="6"/>
            <w:tcBorders>
              <w:bottom w:val="single" w:sz="4" w:space="0" w:color="002060"/>
            </w:tcBorders>
          </w:tcPr>
          <w:p w14:paraId="16CCBBB0" w14:textId="342ED414" w:rsidR="002C1D90" w:rsidRPr="00767598" w:rsidRDefault="005B01D9" w:rsidP="00767598">
            <w:pPr>
              <w:jc w:val="center"/>
              <w:rPr>
                <w:rFonts w:cstheme="minorHAnsi"/>
                <w:b/>
                <w:color w:val="2F5496" w:themeColor="accent1" w:themeShade="BF"/>
                <w:sz w:val="20"/>
                <w:lang w:val="sr-Cyrl-RS"/>
              </w:rPr>
            </w:pPr>
            <w:r w:rsidRPr="00A37BCE">
              <w:rPr>
                <w:rFonts w:cstheme="minorHAnsi"/>
                <w:b/>
                <w:color w:val="2F5496" w:themeColor="accent1" w:themeShade="BF"/>
                <w:sz w:val="20"/>
                <w:lang w:val="sr-Cyrl-RS"/>
              </w:rPr>
              <w:lastRenderedPageBreak/>
              <w:t>Табела 3</w:t>
            </w:r>
            <w:r w:rsidR="002C1D90" w:rsidRPr="00A37BCE">
              <w:rPr>
                <w:rFonts w:cstheme="minorHAnsi"/>
                <w:b/>
                <w:color w:val="2F5496" w:themeColor="accent1" w:themeShade="BF"/>
                <w:sz w:val="20"/>
                <w:lang w:val="sr-Cyrl-RS"/>
              </w:rPr>
              <w:t>. Бруто домаћи производ, стопе реалног раста, %</w:t>
            </w:r>
          </w:p>
        </w:tc>
      </w:tr>
      <w:tr w:rsidR="002C1D90" w:rsidRPr="00A37BCE" w14:paraId="0A6A914A" w14:textId="77777777" w:rsidTr="004C0ACF">
        <w:tc>
          <w:tcPr>
            <w:tcW w:w="2308" w:type="pct"/>
            <w:tcBorders>
              <w:top w:val="single" w:sz="4" w:space="0" w:color="002060"/>
              <w:left w:val="single" w:sz="2" w:space="0" w:color="FFFFFF" w:themeColor="background1"/>
              <w:bottom w:val="single" w:sz="2" w:space="0" w:color="FFFFFF" w:themeColor="background1"/>
              <w:right w:val="single" w:sz="2" w:space="0" w:color="FFFFFF" w:themeColor="background1"/>
            </w:tcBorders>
          </w:tcPr>
          <w:p w14:paraId="5921E055" w14:textId="77777777" w:rsidR="002C1D90" w:rsidRPr="00A37BCE" w:rsidRDefault="002C1D90" w:rsidP="002C1D90">
            <w:pPr>
              <w:jc w:val="both"/>
              <w:rPr>
                <w:rFonts w:cstheme="minorHAnsi"/>
                <w:color w:val="002060"/>
                <w:sz w:val="18"/>
                <w:lang w:val="sr-Cyrl-RS"/>
              </w:rPr>
            </w:pPr>
          </w:p>
        </w:tc>
        <w:tc>
          <w:tcPr>
            <w:tcW w:w="693" w:type="pct"/>
            <w:tcBorders>
              <w:top w:val="single" w:sz="4" w:space="0" w:color="002060"/>
              <w:left w:val="single" w:sz="2" w:space="0" w:color="FFFFFF" w:themeColor="background1"/>
              <w:bottom w:val="single" w:sz="4" w:space="0" w:color="002060"/>
              <w:right w:val="single" w:sz="2" w:space="0" w:color="FFFFFF" w:themeColor="background1"/>
            </w:tcBorders>
          </w:tcPr>
          <w:p w14:paraId="03A802C9"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2017*</w:t>
            </w:r>
          </w:p>
        </w:tc>
        <w:tc>
          <w:tcPr>
            <w:tcW w:w="701" w:type="pct"/>
            <w:tcBorders>
              <w:top w:val="single" w:sz="4" w:space="0" w:color="002060"/>
              <w:left w:val="single" w:sz="2" w:space="0" w:color="FFFFFF" w:themeColor="background1"/>
              <w:bottom w:val="single" w:sz="4" w:space="0" w:color="002060"/>
              <w:right w:val="single" w:sz="2" w:space="0" w:color="FFFFFF" w:themeColor="background1"/>
            </w:tcBorders>
          </w:tcPr>
          <w:p w14:paraId="5F7F8DB1"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Q1 2018*</w:t>
            </w:r>
          </w:p>
        </w:tc>
        <w:tc>
          <w:tcPr>
            <w:tcW w:w="711" w:type="pct"/>
            <w:tcBorders>
              <w:top w:val="single" w:sz="4" w:space="0" w:color="002060"/>
              <w:left w:val="single" w:sz="2" w:space="0" w:color="FFFFFF" w:themeColor="background1"/>
              <w:bottom w:val="single" w:sz="4" w:space="0" w:color="002060"/>
              <w:right w:val="single" w:sz="2" w:space="0" w:color="FFFFFF" w:themeColor="background1"/>
            </w:tcBorders>
          </w:tcPr>
          <w:p w14:paraId="3B6BB3BD"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Q2 2018*</w:t>
            </w:r>
          </w:p>
        </w:tc>
        <w:tc>
          <w:tcPr>
            <w:tcW w:w="133" w:type="pct"/>
            <w:tcBorders>
              <w:top w:val="single" w:sz="4" w:space="0" w:color="002060"/>
              <w:left w:val="single" w:sz="2" w:space="0" w:color="FFFFFF" w:themeColor="background1"/>
              <w:bottom w:val="single" w:sz="4" w:space="0" w:color="002060"/>
              <w:right w:val="single" w:sz="2" w:space="0" w:color="FFFFFF" w:themeColor="background1"/>
            </w:tcBorders>
          </w:tcPr>
          <w:p w14:paraId="2DDB3DD7" w14:textId="77777777" w:rsidR="002C1D90" w:rsidRPr="00A37BCE" w:rsidRDefault="002C1D90" w:rsidP="002C1D90">
            <w:pPr>
              <w:jc w:val="center"/>
              <w:rPr>
                <w:rFonts w:cstheme="minorHAnsi"/>
                <w:color w:val="002060"/>
                <w:sz w:val="18"/>
                <w:lang w:val="sr-Cyrl-RS"/>
              </w:rPr>
            </w:pPr>
          </w:p>
        </w:tc>
        <w:tc>
          <w:tcPr>
            <w:tcW w:w="454" w:type="pct"/>
            <w:tcBorders>
              <w:top w:val="single" w:sz="4" w:space="0" w:color="002060"/>
              <w:left w:val="single" w:sz="2" w:space="0" w:color="FFFFFF" w:themeColor="background1"/>
              <w:bottom w:val="single" w:sz="4" w:space="0" w:color="002060"/>
              <w:right w:val="single" w:sz="2" w:space="0" w:color="FFFFFF" w:themeColor="background1"/>
            </w:tcBorders>
          </w:tcPr>
          <w:p w14:paraId="4EE03553"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2018**</w:t>
            </w:r>
          </w:p>
        </w:tc>
      </w:tr>
      <w:tr w:rsidR="002C1D90" w:rsidRPr="00A37BCE" w14:paraId="63B6B3DB" w14:textId="77777777" w:rsidTr="004C0ACF">
        <w:tc>
          <w:tcPr>
            <w:tcW w:w="2308" w:type="pct"/>
            <w:tcBorders>
              <w:top w:val="single" w:sz="2" w:space="0" w:color="FFFFFF" w:themeColor="background1"/>
            </w:tcBorders>
          </w:tcPr>
          <w:p w14:paraId="35547915" w14:textId="77777777" w:rsidR="002C1D90" w:rsidRPr="00A37BCE" w:rsidRDefault="002C1D90" w:rsidP="002C1D90">
            <w:pPr>
              <w:ind w:left="-15"/>
              <w:jc w:val="both"/>
              <w:rPr>
                <w:rFonts w:cstheme="minorHAnsi"/>
                <w:color w:val="002060"/>
                <w:sz w:val="18"/>
                <w:lang w:val="sr-Cyrl-RS"/>
              </w:rPr>
            </w:pPr>
            <w:r w:rsidRPr="00A37BCE">
              <w:rPr>
                <w:rFonts w:cstheme="minorHAnsi"/>
                <w:color w:val="002060"/>
                <w:sz w:val="18"/>
                <w:lang w:val="sr-Cyrl-RS"/>
              </w:rPr>
              <w:t>Бруто домаћи производ</w:t>
            </w:r>
          </w:p>
        </w:tc>
        <w:tc>
          <w:tcPr>
            <w:tcW w:w="693" w:type="pct"/>
            <w:tcBorders>
              <w:top w:val="single" w:sz="4" w:space="0" w:color="002060"/>
            </w:tcBorders>
          </w:tcPr>
          <w:p w14:paraId="04B5F320"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2,0</w:t>
            </w:r>
          </w:p>
        </w:tc>
        <w:tc>
          <w:tcPr>
            <w:tcW w:w="701" w:type="pct"/>
            <w:tcBorders>
              <w:top w:val="single" w:sz="4" w:space="0" w:color="002060"/>
            </w:tcBorders>
          </w:tcPr>
          <w:p w14:paraId="533CB398"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4,9</w:t>
            </w:r>
          </w:p>
        </w:tc>
        <w:tc>
          <w:tcPr>
            <w:tcW w:w="711" w:type="pct"/>
            <w:tcBorders>
              <w:top w:val="single" w:sz="4" w:space="0" w:color="002060"/>
            </w:tcBorders>
          </w:tcPr>
          <w:p w14:paraId="5AC2A50F"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4,8</w:t>
            </w:r>
          </w:p>
        </w:tc>
        <w:tc>
          <w:tcPr>
            <w:tcW w:w="133" w:type="pct"/>
            <w:tcBorders>
              <w:top w:val="single" w:sz="4" w:space="0" w:color="002060"/>
            </w:tcBorders>
          </w:tcPr>
          <w:p w14:paraId="78431E4A" w14:textId="77777777" w:rsidR="002C1D90" w:rsidRPr="00A37BCE" w:rsidRDefault="002C1D90" w:rsidP="002C1D90">
            <w:pPr>
              <w:jc w:val="center"/>
              <w:rPr>
                <w:rFonts w:cstheme="minorHAnsi"/>
                <w:color w:val="002060"/>
                <w:sz w:val="18"/>
                <w:lang w:val="sr-Cyrl-RS"/>
              </w:rPr>
            </w:pPr>
          </w:p>
        </w:tc>
        <w:tc>
          <w:tcPr>
            <w:tcW w:w="454" w:type="pct"/>
            <w:tcBorders>
              <w:top w:val="single" w:sz="4" w:space="0" w:color="002060"/>
            </w:tcBorders>
          </w:tcPr>
          <w:p w14:paraId="41EE0806"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4,2</w:t>
            </w:r>
          </w:p>
        </w:tc>
      </w:tr>
      <w:tr w:rsidR="002C1D90" w:rsidRPr="00A37BCE" w14:paraId="3D3AEBCF" w14:textId="77777777" w:rsidTr="002C1D90">
        <w:tc>
          <w:tcPr>
            <w:tcW w:w="4546" w:type="pct"/>
            <w:gridSpan w:val="5"/>
            <w:tcBorders>
              <w:top w:val="single" w:sz="2" w:space="0" w:color="FFFFFF" w:themeColor="background1"/>
            </w:tcBorders>
            <w:shd w:val="clear" w:color="auto" w:fill="E7E6E6" w:themeFill="background2"/>
          </w:tcPr>
          <w:p w14:paraId="731EC50D" w14:textId="77777777" w:rsidR="002C1D90" w:rsidRPr="00A37BCE" w:rsidRDefault="002C1D90" w:rsidP="002C1D90">
            <w:pPr>
              <w:rPr>
                <w:rFonts w:cstheme="minorHAnsi"/>
                <w:color w:val="002060"/>
                <w:sz w:val="18"/>
                <w:lang w:val="sr-Cyrl-RS"/>
              </w:rPr>
            </w:pPr>
          </w:p>
        </w:tc>
        <w:tc>
          <w:tcPr>
            <w:tcW w:w="454" w:type="pct"/>
            <w:tcBorders>
              <w:top w:val="single" w:sz="2" w:space="0" w:color="FFFFFF" w:themeColor="background1"/>
            </w:tcBorders>
            <w:shd w:val="clear" w:color="auto" w:fill="E7E6E6" w:themeFill="background2"/>
          </w:tcPr>
          <w:p w14:paraId="7E7A8485" w14:textId="77777777" w:rsidR="002C1D90" w:rsidRPr="00A37BCE" w:rsidRDefault="002C1D90" w:rsidP="002C1D90">
            <w:pPr>
              <w:rPr>
                <w:rFonts w:cstheme="minorHAnsi"/>
                <w:color w:val="002060"/>
                <w:sz w:val="18"/>
                <w:lang w:val="sr-Cyrl-RS"/>
              </w:rPr>
            </w:pPr>
          </w:p>
        </w:tc>
      </w:tr>
      <w:tr w:rsidR="002C1D90" w:rsidRPr="00A37BCE" w14:paraId="73FF7F27" w14:textId="77777777" w:rsidTr="004C0ACF">
        <w:tc>
          <w:tcPr>
            <w:tcW w:w="2308" w:type="pct"/>
          </w:tcPr>
          <w:p w14:paraId="18754A08" w14:textId="77777777" w:rsidR="002C1D90" w:rsidRPr="00A37BCE" w:rsidRDefault="002C1D90" w:rsidP="002C1D90">
            <w:pPr>
              <w:ind w:left="-15"/>
              <w:jc w:val="both"/>
              <w:rPr>
                <w:rFonts w:cstheme="minorHAnsi"/>
                <w:color w:val="002060"/>
                <w:sz w:val="18"/>
                <w:lang w:val="sr-Cyrl-RS"/>
              </w:rPr>
            </w:pPr>
            <w:r w:rsidRPr="00A37BCE">
              <w:rPr>
                <w:rFonts w:cstheme="minorHAnsi"/>
                <w:color w:val="002060"/>
                <w:sz w:val="18"/>
                <w:lang w:val="sr-Cyrl-RS"/>
              </w:rPr>
              <w:t>Приватна потрошња</w:t>
            </w:r>
          </w:p>
        </w:tc>
        <w:tc>
          <w:tcPr>
            <w:tcW w:w="693" w:type="pct"/>
          </w:tcPr>
          <w:p w14:paraId="66A5C29C"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1,9</w:t>
            </w:r>
          </w:p>
        </w:tc>
        <w:tc>
          <w:tcPr>
            <w:tcW w:w="701" w:type="pct"/>
          </w:tcPr>
          <w:p w14:paraId="0027D33C"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3,1</w:t>
            </w:r>
          </w:p>
        </w:tc>
        <w:tc>
          <w:tcPr>
            <w:tcW w:w="711" w:type="pct"/>
          </w:tcPr>
          <w:p w14:paraId="12DF623E"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3,1</w:t>
            </w:r>
          </w:p>
        </w:tc>
        <w:tc>
          <w:tcPr>
            <w:tcW w:w="133" w:type="pct"/>
          </w:tcPr>
          <w:p w14:paraId="1EC895E8" w14:textId="77777777" w:rsidR="002C1D90" w:rsidRPr="00A37BCE" w:rsidRDefault="002C1D90" w:rsidP="002C1D90">
            <w:pPr>
              <w:jc w:val="center"/>
              <w:rPr>
                <w:rFonts w:cstheme="minorHAnsi"/>
                <w:color w:val="002060"/>
                <w:sz w:val="18"/>
                <w:lang w:val="sr-Cyrl-RS"/>
              </w:rPr>
            </w:pPr>
          </w:p>
        </w:tc>
        <w:tc>
          <w:tcPr>
            <w:tcW w:w="454" w:type="pct"/>
          </w:tcPr>
          <w:p w14:paraId="102B9BAA"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3,0</w:t>
            </w:r>
          </w:p>
        </w:tc>
      </w:tr>
      <w:tr w:rsidR="002C1D90" w:rsidRPr="00A37BCE" w14:paraId="27057D3D" w14:textId="77777777" w:rsidTr="004C0ACF">
        <w:tc>
          <w:tcPr>
            <w:tcW w:w="2308" w:type="pct"/>
          </w:tcPr>
          <w:p w14:paraId="2BBDF66D" w14:textId="77777777" w:rsidR="002C1D90" w:rsidRPr="00A37BCE" w:rsidRDefault="002C1D90" w:rsidP="002C1D90">
            <w:pPr>
              <w:ind w:left="-15"/>
              <w:jc w:val="both"/>
              <w:rPr>
                <w:rFonts w:cstheme="minorHAnsi"/>
                <w:color w:val="002060"/>
                <w:sz w:val="18"/>
                <w:lang w:val="sr-Cyrl-RS"/>
              </w:rPr>
            </w:pPr>
            <w:r w:rsidRPr="00A37BCE">
              <w:rPr>
                <w:rFonts w:cstheme="minorHAnsi"/>
                <w:color w:val="002060"/>
                <w:sz w:val="18"/>
                <w:lang w:val="sr-Cyrl-RS"/>
              </w:rPr>
              <w:t>Државна потрошња</w:t>
            </w:r>
          </w:p>
        </w:tc>
        <w:tc>
          <w:tcPr>
            <w:tcW w:w="693" w:type="pct"/>
          </w:tcPr>
          <w:p w14:paraId="31A385CC"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3,3</w:t>
            </w:r>
          </w:p>
        </w:tc>
        <w:tc>
          <w:tcPr>
            <w:tcW w:w="701" w:type="pct"/>
          </w:tcPr>
          <w:p w14:paraId="6950A08C"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2,3</w:t>
            </w:r>
          </w:p>
        </w:tc>
        <w:tc>
          <w:tcPr>
            <w:tcW w:w="711" w:type="pct"/>
          </w:tcPr>
          <w:p w14:paraId="552C18F6"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5,3</w:t>
            </w:r>
          </w:p>
        </w:tc>
        <w:tc>
          <w:tcPr>
            <w:tcW w:w="133" w:type="pct"/>
          </w:tcPr>
          <w:p w14:paraId="17C68A1C" w14:textId="77777777" w:rsidR="002C1D90" w:rsidRPr="00A37BCE" w:rsidRDefault="002C1D90" w:rsidP="002C1D90">
            <w:pPr>
              <w:jc w:val="center"/>
              <w:rPr>
                <w:rFonts w:cstheme="minorHAnsi"/>
                <w:color w:val="002060"/>
                <w:sz w:val="18"/>
                <w:lang w:val="sr-Cyrl-RS"/>
              </w:rPr>
            </w:pPr>
          </w:p>
        </w:tc>
        <w:tc>
          <w:tcPr>
            <w:tcW w:w="454" w:type="pct"/>
          </w:tcPr>
          <w:p w14:paraId="36AD0780"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3,5</w:t>
            </w:r>
          </w:p>
        </w:tc>
      </w:tr>
      <w:tr w:rsidR="002C1D90" w:rsidRPr="00A37BCE" w14:paraId="614CD83A" w14:textId="77777777" w:rsidTr="004C0ACF">
        <w:tc>
          <w:tcPr>
            <w:tcW w:w="2308" w:type="pct"/>
          </w:tcPr>
          <w:p w14:paraId="18A2486E" w14:textId="77777777" w:rsidR="002C1D90" w:rsidRPr="00A37BCE" w:rsidRDefault="002C1D90" w:rsidP="002C1D90">
            <w:pPr>
              <w:ind w:left="-15"/>
              <w:jc w:val="both"/>
              <w:rPr>
                <w:rFonts w:cstheme="minorHAnsi"/>
                <w:color w:val="002060"/>
                <w:sz w:val="18"/>
                <w:lang w:val="sr-Cyrl-RS"/>
              </w:rPr>
            </w:pPr>
            <w:r w:rsidRPr="00A37BCE">
              <w:rPr>
                <w:rFonts w:cstheme="minorHAnsi"/>
                <w:color w:val="002060"/>
                <w:sz w:val="18"/>
                <w:lang w:val="sr-Cyrl-RS"/>
              </w:rPr>
              <w:t>Инвестиције у основне фондове</w:t>
            </w:r>
          </w:p>
        </w:tc>
        <w:tc>
          <w:tcPr>
            <w:tcW w:w="693" w:type="pct"/>
          </w:tcPr>
          <w:p w14:paraId="24C17170"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7,3</w:t>
            </w:r>
          </w:p>
        </w:tc>
        <w:tc>
          <w:tcPr>
            <w:tcW w:w="701" w:type="pct"/>
          </w:tcPr>
          <w:p w14:paraId="2C29A87C"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15,1</w:t>
            </w:r>
          </w:p>
        </w:tc>
        <w:tc>
          <w:tcPr>
            <w:tcW w:w="711" w:type="pct"/>
          </w:tcPr>
          <w:p w14:paraId="55316BDF"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12,1</w:t>
            </w:r>
          </w:p>
        </w:tc>
        <w:tc>
          <w:tcPr>
            <w:tcW w:w="133" w:type="pct"/>
          </w:tcPr>
          <w:p w14:paraId="64042725" w14:textId="77777777" w:rsidR="002C1D90" w:rsidRPr="00A37BCE" w:rsidRDefault="002C1D90" w:rsidP="002C1D90">
            <w:pPr>
              <w:jc w:val="center"/>
              <w:rPr>
                <w:rFonts w:cstheme="minorHAnsi"/>
                <w:color w:val="002060"/>
                <w:sz w:val="18"/>
                <w:lang w:val="sr-Cyrl-RS"/>
              </w:rPr>
            </w:pPr>
          </w:p>
        </w:tc>
        <w:tc>
          <w:tcPr>
            <w:tcW w:w="454" w:type="pct"/>
          </w:tcPr>
          <w:p w14:paraId="0E5EAE2E"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9,8</w:t>
            </w:r>
          </w:p>
        </w:tc>
      </w:tr>
      <w:tr w:rsidR="002C1D90" w:rsidRPr="00A37BCE" w14:paraId="21AB0B72" w14:textId="77777777" w:rsidTr="004C0ACF">
        <w:tc>
          <w:tcPr>
            <w:tcW w:w="2308" w:type="pct"/>
          </w:tcPr>
          <w:p w14:paraId="5C1007C7" w14:textId="77777777" w:rsidR="002C1D90" w:rsidRPr="00A37BCE" w:rsidRDefault="002C1D90" w:rsidP="002C1D90">
            <w:pPr>
              <w:ind w:left="-15"/>
              <w:jc w:val="both"/>
              <w:rPr>
                <w:rFonts w:cstheme="minorHAnsi"/>
                <w:color w:val="002060"/>
                <w:sz w:val="18"/>
                <w:lang w:val="sr-Cyrl-RS"/>
              </w:rPr>
            </w:pPr>
            <w:r w:rsidRPr="00A37BCE">
              <w:rPr>
                <w:rFonts w:cstheme="minorHAnsi"/>
                <w:color w:val="002060"/>
                <w:sz w:val="18"/>
                <w:lang w:val="sr-Cyrl-RS"/>
              </w:rPr>
              <w:t>Извоз робе и услуга</w:t>
            </w:r>
          </w:p>
        </w:tc>
        <w:tc>
          <w:tcPr>
            <w:tcW w:w="693" w:type="pct"/>
          </w:tcPr>
          <w:p w14:paraId="6E074DE8"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8,2</w:t>
            </w:r>
          </w:p>
        </w:tc>
        <w:tc>
          <w:tcPr>
            <w:tcW w:w="701" w:type="pct"/>
          </w:tcPr>
          <w:p w14:paraId="2944BDB6"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9,5</w:t>
            </w:r>
          </w:p>
        </w:tc>
        <w:tc>
          <w:tcPr>
            <w:tcW w:w="711" w:type="pct"/>
          </w:tcPr>
          <w:p w14:paraId="4D2EAF7B"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7,1</w:t>
            </w:r>
          </w:p>
        </w:tc>
        <w:tc>
          <w:tcPr>
            <w:tcW w:w="133" w:type="pct"/>
          </w:tcPr>
          <w:p w14:paraId="130EDCA6" w14:textId="77777777" w:rsidR="002C1D90" w:rsidRPr="00A37BCE" w:rsidRDefault="002C1D90" w:rsidP="002C1D90">
            <w:pPr>
              <w:jc w:val="center"/>
              <w:rPr>
                <w:rFonts w:cstheme="minorHAnsi"/>
                <w:color w:val="002060"/>
                <w:sz w:val="18"/>
                <w:lang w:val="sr-Cyrl-RS"/>
              </w:rPr>
            </w:pPr>
          </w:p>
        </w:tc>
        <w:tc>
          <w:tcPr>
            <w:tcW w:w="454" w:type="pct"/>
          </w:tcPr>
          <w:p w14:paraId="3C33936A"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9,2</w:t>
            </w:r>
          </w:p>
        </w:tc>
      </w:tr>
      <w:tr w:rsidR="002C1D90" w:rsidRPr="00A37BCE" w14:paraId="51DA103C" w14:textId="77777777" w:rsidTr="004C0ACF">
        <w:tc>
          <w:tcPr>
            <w:tcW w:w="2308" w:type="pct"/>
          </w:tcPr>
          <w:p w14:paraId="39E2E842" w14:textId="77777777" w:rsidR="002C1D90" w:rsidRPr="00A37BCE" w:rsidRDefault="002C1D90" w:rsidP="002C1D90">
            <w:pPr>
              <w:ind w:left="-15"/>
              <w:jc w:val="both"/>
              <w:rPr>
                <w:rFonts w:cstheme="minorHAnsi"/>
                <w:color w:val="002060"/>
                <w:sz w:val="18"/>
                <w:lang w:val="sr-Cyrl-RS"/>
              </w:rPr>
            </w:pPr>
            <w:r w:rsidRPr="00A37BCE">
              <w:rPr>
                <w:rFonts w:cstheme="minorHAnsi"/>
                <w:color w:val="002060"/>
                <w:sz w:val="18"/>
                <w:lang w:val="sr-Cyrl-RS"/>
              </w:rPr>
              <w:t>Увоз робе и услуга</w:t>
            </w:r>
          </w:p>
        </w:tc>
        <w:tc>
          <w:tcPr>
            <w:tcW w:w="693" w:type="pct"/>
          </w:tcPr>
          <w:p w14:paraId="50F50FA1"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11,1</w:t>
            </w:r>
          </w:p>
        </w:tc>
        <w:tc>
          <w:tcPr>
            <w:tcW w:w="701" w:type="pct"/>
          </w:tcPr>
          <w:p w14:paraId="646583A7"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12,8</w:t>
            </w:r>
          </w:p>
        </w:tc>
        <w:tc>
          <w:tcPr>
            <w:tcW w:w="711" w:type="pct"/>
          </w:tcPr>
          <w:p w14:paraId="25789AA6"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9,2</w:t>
            </w:r>
          </w:p>
        </w:tc>
        <w:tc>
          <w:tcPr>
            <w:tcW w:w="133" w:type="pct"/>
          </w:tcPr>
          <w:p w14:paraId="1ED1AB3F" w14:textId="77777777" w:rsidR="002C1D90" w:rsidRPr="00A37BCE" w:rsidRDefault="002C1D90" w:rsidP="002C1D90">
            <w:pPr>
              <w:jc w:val="center"/>
              <w:rPr>
                <w:rFonts w:cstheme="minorHAnsi"/>
                <w:color w:val="002060"/>
                <w:sz w:val="18"/>
                <w:lang w:val="sr-Cyrl-RS"/>
              </w:rPr>
            </w:pPr>
          </w:p>
        </w:tc>
        <w:tc>
          <w:tcPr>
            <w:tcW w:w="454" w:type="pct"/>
          </w:tcPr>
          <w:p w14:paraId="6CA35AAA"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9,8</w:t>
            </w:r>
          </w:p>
        </w:tc>
      </w:tr>
      <w:tr w:rsidR="002C1D90" w:rsidRPr="00A37BCE" w14:paraId="4F84C645" w14:textId="77777777" w:rsidTr="002C1D90">
        <w:tc>
          <w:tcPr>
            <w:tcW w:w="4546" w:type="pct"/>
            <w:gridSpan w:val="5"/>
            <w:shd w:val="clear" w:color="auto" w:fill="E7E6E6" w:themeFill="background2"/>
          </w:tcPr>
          <w:p w14:paraId="35ADBDF7" w14:textId="77777777" w:rsidR="002C1D90" w:rsidRPr="00A37BCE" w:rsidRDefault="002C1D90" w:rsidP="002C1D90">
            <w:pPr>
              <w:ind w:left="-15"/>
              <w:jc w:val="both"/>
              <w:rPr>
                <w:rFonts w:cstheme="minorHAnsi"/>
                <w:color w:val="002060"/>
                <w:sz w:val="18"/>
                <w:lang w:val="sr-Cyrl-RS"/>
              </w:rPr>
            </w:pPr>
          </w:p>
        </w:tc>
        <w:tc>
          <w:tcPr>
            <w:tcW w:w="454" w:type="pct"/>
            <w:shd w:val="clear" w:color="auto" w:fill="E7E6E6" w:themeFill="background2"/>
          </w:tcPr>
          <w:p w14:paraId="655D8358" w14:textId="77777777" w:rsidR="002C1D90" w:rsidRPr="00A37BCE" w:rsidRDefault="002C1D90" w:rsidP="002C1D90">
            <w:pPr>
              <w:ind w:left="-15"/>
              <w:jc w:val="both"/>
              <w:rPr>
                <w:rFonts w:cstheme="minorHAnsi"/>
                <w:color w:val="002060"/>
                <w:sz w:val="18"/>
                <w:lang w:val="sr-Cyrl-RS"/>
              </w:rPr>
            </w:pPr>
          </w:p>
        </w:tc>
      </w:tr>
      <w:tr w:rsidR="002C1D90" w:rsidRPr="00A37BCE" w14:paraId="768EFCEF" w14:textId="77777777" w:rsidTr="004C0ACF">
        <w:tc>
          <w:tcPr>
            <w:tcW w:w="2308" w:type="pct"/>
          </w:tcPr>
          <w:p w14:paraId="33B73636" w14:textId="77777777" w:rsidR="002C1D90" w:rsidRPr="00A37BCE" w:rsidRDefault="002C1D90" w:rsidP="002C1D90">
            <w:pPr>
              <w:ind w:left="-15"/>
              <w:jc w:val="both"/>
              <w:rPr>
                <w:rFonts w:cstheme="minorHAnsi"/>
                <w:color w:val="002060"/>
                <w:sz w:val="18"/>
                <w:lang w:val="sr-Cyrl-RS"/>
              </w:rPr>
            </w:pPr>
            <w:r w:rsidRPr="00A37BCE">
              <w:rPr>
                <w:rFonts w:cstheme="minorHAnsi"/>
                <w:color w:val="002060"/>
                <w:sz w:val="18"/>
                <w:lang w:val="sr-Cyrl-RS"/>
              </w:rPr>
              <w:t>Пољопривреда</w:t>
            </w:r>
          </w:p>
        </w:tc>
        <w:tc>
          <w:tcPr>
            <w:tcW w:w="693" w:type="pct"/>
          </w:tcPr>
          <w:p w14:paraId="16A773BC"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-11,2</w:t>
            </w:r>
          </w:p>
        </w:tc>
        <w:tc>
          <w:tcPr>
            <w:tcW w:w="701" w:type="pct"/>
          </w:tcPr>
          <w:p w14:paraId="310FBD07"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10,8</w:t>
            </w:r>
          </w:p>
        </w:tc>
        <w:tc>
          <w:tcPr>
            <w:tcW w:w="711" w:type="pct"/>
          </w:tcPr>
          <w:p w14:paraId="43D38531"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14,8</w:t>
            </w:r>
          </w:p>
        </w:tc>
        <w:tc>
          <w:tcPr>
            <w:tcW w:w="133" w:type="pct"/>
          </w:tcPr>
          <w:p w14:paraId="24A985DD" w14:textId="77777777" w:rsidR="002C1D90" w:rsidRPr="00A37BCE" w:rsidRDefault="002C1D90" w:rsidP="002C1D90">
            <w:pPr>
              <w:jc w:val="center"/>
              <w:rPr>
                <w:rFonts w:cstheme="minorHAnsi"/>
                <w:color w:val="002060"/>
                <w:sz w:val="18"/>
                <w:lang w:val="sr-Cyrl-RS"/>
              </w:rPr>
            </w:pPr>
          </w:p>
        </w:tc>
        <w:tc>
          <w:tcPr>
            <w:tcW w:w="454" w:type="pct"/>
          </w:tcPr>
          <w:p w14:paraId="168139B1"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15,2</w:t>
            </w:r>
          </w:p>
        </w:tc>
      </w:tr>
      <w:tr w:rsidR="002C1D90" w:rsidRPr="00A37BCE" w14:paraId="24D21A1B" w14:textId="77777777" w:rsidTr="004C0ACF">
        <w:tc>
          <w:tcPr>
            <w:tcW w:w="2308" w:type="pct"/>
          </w:tcPr>
          <w:p w14:paraId="668A6185" w14:textId="77777777" w:rsidR="002C1D90" w:rsidRPr="00A37BCE" w:rsidRDefault="002C1D90" w:rsidP="002C1D90">
            <w:pPr>
              <w:ind w:left="-15"/>
              <w:jc w:val="both"/>
              <w:rPr>
                <w:rFonts w:cstheme="minorHAnsi"/>
                <w:color w:val="002060"/>
                <w:sz w:val="18"/>
                <w:lang w:val="sr-Cyrl-RS"/>
              </w:rPr>
            </w:pPr>
            <w:r w:rsidRPr="00A37BCE">
              <w:rPr>
                <w:rFonts w:cstheme="minorHAnsi"/>
                <w:color w:val="002060"/>
                <w:sz w:val="18"/>
                <w:lang w:val="sr-Cyrl-RS"/>
              </w:rPr>
              <w:t>Индустрија</w:t>
            </w:r>
          </w:p>
        </w:tc>
        <w:tc>
          <w:tcPr>
            <w:tcW w:w="693" w:type="pct"/>
          </w:tcPr>
          <w:p w14:paraId="65CC1F87"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2,8</w:t>
            </w:r>
          </w:p>
        </w:tc>
        <w:tc>
          <w:tcPr>
            <w:tcW w:w="701" w:type="pct"/>
          </w:tcPr>
          <w:p w14:paraId="62E273AE"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5,4</w:t>
            </w:r>
          </w:p>
        </w:tc>
        <w:tc>
          <w:tcPr>
            <w:tcW w:w="711" w:type="pct"/>
          </w:tcPr>
          <w:p w14:paraId="247CBACC"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2,6</w:t>
            </w:r>
          </w:p>
        </w:tc>
        <w:tc>
          <w:tcPr>
            <w:tcW w:w="133" w:type="pct"/>
          </w:tcPr>
          <w:p w14:paraId="6016DCC1" w14:textId="77777777" w:rsidR="002C1D90" w:rsidRPr="00A37BCE" w:rsidRDefault="002C1D90" w:rsidP="002C1D90">
            <w:pPr>
              <w:jc w:val="center"/>
              <w:rPr>
                <w:rFonts w:cstheme="minorHAnsi"/>
                <w:color w:val="002060"/>
                <w:sz w:val="18"/>
                <w:lang w:val="sr-Cyrl-RS"/>
              </w:rPr>
            </w:pPr>
          </w:p>
        </w:tc>
        <w:tc>
          <w:tcPr>
            <w:tcW w:w="454" w:type="pct"/>
          </w:tcPr>
          <w:p w14:paraId="681FBE3D"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2,7</w:t>
            </w:r>
          </w:p>
        </w:tc>
      </w:tr>
      <w:tr w:rsidR="002C1D90" w:rsidRPr="00A37BCE" w14:paraId="2D76C5B9" w14:textId="77777777" w:rsidTr="004C0ACF">
        <w:tc>
          <w:tcPr>
            <w:tcW w:w="2308" w:type="pct"/>
          </w:tcPr>
          <w:p w14:paraId="2B403F86" w14:textId="77777777" w:rsidR="002C1D90" w:rsidRPr="00A37BCE" w:rsidRDefault="002C1D90" w:rsidP="002C1D90">
            <w:pPr>
              <w:ind w:left="-15"/>
              <w:jc w:val="both"/>
              <w:rPr>
                <w:rFonts w:cstheme="minorHAnsi"/>
                <w:color w:val="002060"/>
                <w:sz w:val="18"/>
                <w:lang w:val="sr-Cyrl-RS"/>
              </w:rPr>
            </w:pPr>
            <w:r w:rsidRPr="00A37BCE">
              <w:rPr>
                <w:rFonts w:cstheme="minorHAnsi"/>
                <w:color w:val="002060"/>
                <w:sz w:val="18"/>
                <w:lang w:val="sr-Cyrl-RS"/>
              </w:rPr>
              <w:t>Грађевинарство</w:t>
            </w:r>
          </w:p>
        </w:tc>
        <w:tc>
          <w:tcPr>
            <w:tcW w:w="693" w:type="pct"/>
          </w:tcPr>
          <w:p w14:paraId="5AD1B69E"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5,7</w:t>
            </w:r>
          </w:p>
        </w:tc>
        <w:tc>
          <w:tcPr>
            <w:tcW w:w="701" w:type="pct"/>
          </w:tcPr>
          <w:p w14:paraId="3A57BB6B"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28,2</w:t>
            </w:r>
          </w:p>
        </w:tc>
        <w:tc>
          <w:tcPr>
            <w:tcW w:w="711" w:type="pct"/>
          </w:tcPr>
          <w:p w14:paraId="52BDC08D"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22,9</w:t>
            </w:r>
          </w:p>
        </w:tc>
        <w:tc>
          <w:tcPr>
            <w:tcW w:w="133" w:type="pct"/>
          </w:tcPr>
          <w:p w14:paraId="5490C267" w14:textId="77777777" w:rsidR="002C1D90" w:rsidRPr="00A37BCE" w:rsidRDefault="002C1D90" w:rsidP="002C1D90">
            <w:pPr>
              <w:jc w:val="center"/>
              <w:rPr>
                <w:rFonts w:cstheme="minorHAnsi"/>
                <w:color w:val="002060"/>
                <w:sz w:val="18"/>
                <w:lang w:val="sr-Cyrl-RS"/>
              </w:rPr>
            </w:pPr>
          </w:p>
        </w:tc>
        <w:tc>
          <w:tcPr>
            <w:tcW w:w="454" w:type="pct"/>
          </w:tcPr>
          <w:p w14:paraId="507ED9CF"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13,4</w:t>
            </w:r>
          </w:p>
        </w:tc>
      </w:tr>
      <w:tr w:rsidR="002C1D90" w:rsidRPr="00A37BCE" w14:paraId="07AF7215" w14:textId="77777777" w:rsidTr="004C0ACF">
        <w:trPr>
          <w:trHeight w:val="369"/>
        </w:trPr>
        <w:tc>
          <w:tcPr>
            <w:tcW w:w="2308" w:type="pct"/>
            <w:tcBorders>
              <w:bottom w:val="single" w:sz="4" w:space="0" w:color="002060"/>
            </w:tcBorders>
          </w:tcPr>
          <w:p w14:paraId="408C16C9" w14:textId="77777777" w:rsidR="002C1D90" w:rsidRPr="00A37BCE" w:rsidRDefault="002C1D90" w:rsidP="002C1D90">
            <w:pPr>
              <w:jc w:val="both"/>
              <w:rPr>
                <w:rFonts w:cstheme="minorHAnsi"/>
                <w:color w:val="002060"/>
                <w:sz w:val="18"/>
                <w:lang w:val="sr-Cyrl-RS"/>
              </w:rPr>
            </w:pPr>
            <w:r w:rsidRPr="00A37BCE">
              <w:rPr>
                <w:rFonts w:cstheme="minorHAnsi"/>
                <w:color w:val="002060"/>
                <w:sz w:val="18"/>
                <w:lang w:val="sr-Cyrl-RS"/>
              </w:rPr>
              <w:t>Услуге</w:t>
            </w:r>
          </w:p>
        </w:tc>
        <w:tc>
          <w:tcPr>
            <w:tcW w:w="693" w:type="pct"/>
            <w:tcBorders>
              <w:bottom w:val="single" w:sz="4" w:space="0" w:color="002060"/>
            </w:tcBorders>
          </w:tcPr>
          <w:p w14:paraId="5952E8EC"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3,3</w:t>
            </w:r>
          </w:p>
        </w:tc>
        <w:tc>
          <w:tcPr>
            <w:tcW w:w="701" w:type="pct"/>
            <w:tcBorders>
              <w:bottom w:val="single" w:sz="4" w:space="0" w:color="002060"/>
            </w:tcBorders>
          </w:tcPr>
          <w:p w14:paraId="5CBE7FA6"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3,2</w:t>
            </w:r>
          </w:p>
        </w:tc>
        <w:tc>
          <w:tcPr>
            <w:tcW w:w="711" w:type="pct"/>
            <w:tcBorders>
              <w:bottom w:val="single" w:sz="4" w:space="0" w:color="002060"/>
            </w:tcBorders>
          </w:tcPr>
          <w:p w14:paraId="1333DBF3"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3,7</w:t>
            </w:r>
          </w:p>
        </w:tc>
        <w:tc>
          <w:tcPr>
            <w:tcW w:w="133" w:type="pct"/>
            <w:tcBorders>
              <w:bottom w:val="single" w:sz="4" w:space="0" w:color="002060"/>
            </w:tcBorders>
          </w:tcPr>
          <w:p w14:paraId="4789A82F" w14:textId="77777777" w:rsidR="002C1D90" w:rsidRPr="00A37BCE" w:rsidRDefault="002C1D90" w:rsidP="002C1D90">
            <w:pPr>
              <w:jc w:val="center"/>
              <w:rPr>
                <w:rFonts w:cstheme="minorHAnsi"/>
                <w:color w:val="002060"/>
                <w:sz w:val="18"/>
                <w:lang w:val="sr-Cyrl-RS"/>
              </w:rPr>
            </w:pPr>
          </w:p>
        </w:tc>
        <w:tc>
          <w:tcPr>
            <w:tcW w:w="454" w:type="pct"/>
            <w:tcBorders>
              <w:bottom w:val="single" w:sz="4" w:space="0" w:color="002060"/>
            </w:tcBorders>
          </w:tcPr>
          <w:p w14:paraId="0705E1AE" w14:textId="77777777" w:rsidR="002C1D90" w:rsidRPr="00A37BCE" w:rsidRDefault="002C1D90" w:rsidP="002C1D90">
            <w:pPr>
              <w:jc w:val="center"/>
              <w:rPr>
                <w:rFonts w:cstheme="minorHAnsi"/>
                <w:color w:val="002060"/>
                <w:sz w:val="18"/>
                <w:lang w:val="sr-Cyrl-RS"/>
              </w:rPr>
            </w:pPr>
            <w:r w:rsidRPr="00A37BCE">
              <w:rPr>
                <w:rFonts w:cstheme="minorHAnsi"/>
                <w:color w:val="002060"/>
                <w:sz w:val="18"/>
                <w:lang w:val="sr-Cyrl-RS"/>
              </w:rPr>
              <w:t>3,3</w:t>
            </w:r>
          </w:p>
        </w:tc>
      </w:tr>
      <w:tr w:rsidR="00206FBA" w:rsidRPr="00A37BCE" w14:paraId="4CF6EE33" w14:textId="77777777" w:rsidTr="00206FBA">
        <w:trPr>
          <w:trHeight w:val="557"/>
        </w:trPr>
        <w:tc>
          <w:tcPr>
            <w:tcW w:w="5000" w:type="pct"/>
            <w:gridSpan w:val="6"/>
            <w:tcBorders>
              <w:top w:val="single" w:sz="4" w:space="0" w:color="002060"/>
            </w:tcBorders>
          </w:tcPr>
          <w:p w14:paraId="69DBABAF" w14:textId="77777777" w:rsidR="00206FBA" w:rsidRPr="00A37BCE" w:rsidRDefault="00206FBA" w:rsidP="002C1D90">
            <w:pPr>
              <w:jc w:val="both"/>
              <w:rPr>
                <w:rFonts w:cstheme="minorHAnsi"/>
                <w:bCs/>
                <w:color w:val="44546A" w:themeColor="text2"/>
                <w:sz w:val="16"/>
                <w:szCs w:val="72"/>
                <w:lang w:val="sr-Cyrl-RS"/>
              </w:rPr>
            </w:pPr>
            <w:r w:rsidRPr="00A37BCE">
              <w:rPr>
                <w:rFonts w:cstheme="minorHAnsi"/>
                <w:bCs/>
                <w:color w:val="44546A" w:themeColor="text2"/>
                <w:sz w:val="16"/>
                <w:szCs w:val="72"/>
                <w:lang w:val="sr-Cyrl-RS"/>
              </w:rPr>
              <w:t>Извор: РЗС</w:t>
            </w:r>
          </w:p>
          <w:p w14:paraId="2B565508" w14:textId="3E82084F" w:rsidR="00206FBA" w:rsidRPr="00A37BCE" w:rsidRDefault="00206FBA" w:rsidP="002C1D90">
            <w:pPr>
              <w:jc w:val="both"/>
              <w:rPr>
                <w:rFonts w:cstheme="minorHAnsi"/>
                <w:bCs/>
                <w:color w:val="44546A" w:themeColor="text2"/>
                <w:sz w:val="16"/>
                <w:szCs w:val="72"/>
                <w:lang w:val="sr-Cyrl-RS"/>
              </w:rPr>
            </w:pPr>
            <w:r w:rsidRPr="00A37BCE">
              <w:rPr>
                <w:rFonts w:cstheme="minorHAnsi"/>
                <w:bCs/>
                <w:color w:val="44546A" w:themeColor="text2"/>
                <w:sz w:val="16"/>
                <w:szCs w:val="72"/>
                <w:lang w:val="sr-Cyrl-RS"/>
              </w:rPr>
              <w:t>*Републички завод за статистику је 1. октобра 2018. године ревидирао податке о БДП за период</w:t>
            </w:r>
            <w:r w:rsidR="002E4A8C" w:rsidRPr="00A37BCE">
              <w:rPr>
                <w:rFonts w:cstheme="minorHAnsi"/>
                <w:bCs/>
                <w:color w:val="44546A" w:themeColor="text2"/>
                <w:sz w:val="16"/>
                <w:szCs w:val="72"/>
                <w:lang w:val="sr-Cyrl-RS"/>
              </w:rPr>
              <w:t xml:space="preserve"> 2015–</w:t>
            </w:r>
            <w:r w:rsidR="00972218" w:rsidRPr="00A37BCE">
              <w:rPr>
                <w:rFonts w:cstheme="minorHAnsi"/>
                <w:bCs/>
                <w:color w:val="44546A" w:themeColor="text2"/>
                <w:sz w:val="16"/>
                <w:szCs w:val="72"/>
                <w:lang w:val="sr-Cyrl-RS"/>
              </w:rPr>
              <w:t>2017</w:t>
            </w:r>
            <w:r w:rsidR="00201586" w:rsidRPr="00A37BCE">
              <w:rPr>
                <w:rFonts w:cstheme="minorHAnsi"/>
                <w:bCs/>
                <w:color w:val="44546A" w:themeColor="text2"/>
                <w:sz w:val="16"/>
                <w:szCs w:val="72"/>
                <w:lang w:val="sr-Cyrl-RS"/>
              </w:rPr>
              <w:t>.</w:t>
            </w:r>
            <w:r w:rsidR="00972218" w:rsidRPr="00A37BCE">
              <w:rPr>
                <w:rFonts w:cstheme="minorHAnsi"/>
                <w:bCs/>
                <w:color w:val="44546A" w:themeColor="text2"/>
                <w:sz w:val="16"/>
                <w:szCs w:val="72"/>
                <w:lang w:val="sr-Cyrl-RS"/>
              </w:rPr>
              <w:t xml:space="preserve"> годин</w:t>
            </w:r>
            <w:r w:rsidR="00230F86">
              <w:rPr>
                <w:rFonts w:cstheme="minorHAnsi"/>
                <w:bCs/>
                <w:color w:val="44546A" w:themeColor="text2"/>
                <w:sz w:val="16"/>
                <w:szCs w:val="72"/>
                <w:lang w:val="sr-Cyrl-RS"/>
              </w:rPr>
              <w:t>е</w:t>
            </w:r>
            <w:r w:rsidR="00490293" w:rsidRPr="00A37BCE">
              <w:rPr>
                <w:rFonts w:cstheme="minorHAnsi"/>
                <w:bCs/>
                <w:color w:val="44546A" w:themeColor="text2"/>
                <w:sz w:val="16"/>
                <w:szCs w:val="72"/>
                <w:lang w:val="sr-Cyrl-RS"/>
              </w:rPr>
              <w:t>,</w:t>
            </w:r>
            <w:r w:rsidR="00972218" w:rsidRPr="00A37BCE">
              <w:rPr>
                <w:rFonts w:cstheme="minorHAnsi"/>
                <w:bCs/>
                <w:color w:val="44546A" w:themeColor="text2"/>
                <w:sz w:val="16"/>
                <w:szCs w:val="72"/>
                <w:lang w:val="sr-Cyrl-RS"/>
              </w:rPr>
              <w:t xml:space="preserve"> као резултат </w:t>
            </w:r>
            <w:r w:rsidRPr="00A37BCE">
              <w:rPr>
                <w:rFonts w:cstheme="minorHAnsi"/>
                <w:bCs/>
                <w:color w:val="44546A" w:themeColor="text2"/>
                <w:sz w:val="16"/>
                <w:szCs w:val="72"/>
                <w:lang w:val="sr-Cyrl-RS"/>
              </w:rPr>
              <w:t>тзв. велике ревизије. За први и други квартал 2018. године очекују се мање корекције обј</w:t>
            </w:r>
            <w:r w:rsidR="00972218" w:rsidRPr="00A37BCE">
              <w:rPr>
                <w:rFonts w:cstheme="minorHAnsi"/>
                <w:bCs/>
                <w:color w:val="44546A" w:themeColor="text2"/>
                <w:sz w:val="16"/>
                <w:szCs w:val="72"/>
                <w:lang w:val="sr-Cyrl-RS"/>
              </w:rPr>
              <w:t xml:space="preserve">ављених података од стране РЗС </w:t>
            </w:r>
            <w:r w:rsidRPr="00A37BCE">
              <w:rPr>
                <w:rFonts w:cstheme="minorHAnsi"/>
                <w:bCs/>
                <w:color w:val="44546A" w:themeColor="text2"/>
                <w:sz w:val="16"/>
                <w:szCs w:val="72"/>
                <w:lang w:val="sr-Cyrl-RS"/>
              </w:rPr>
              <w:t>30. новембра 2018. године.</w:t>
            </w:r>
          </w:p>
          <w:p w14:paraId="263EA970" w14:textId="2A08E26F" w:rsidR="00206FBA" w:rsidRPr="00A37BCE" w:rsidRDefault="00206FBA" w:rsidP="002C1D90">
            <w:pPr>
              <w:jc w:val="both"/>
              <w:rPr>
                <w:rFonts w:cstheme="minorHAnsi"/>
                <w:color w:val="262626" w:themeColor="text1" w:themeTint="D9"/>
                <w:sz w:val="12"/>
                <w:lang w:val="sr-Cyrl-RS"/>
              </w:rPr>
            </w:pPr>
            <w:r w:rsidRPr="00A37BCE">
              <w:rPr>
                <w:rFonts w:cstheme="minorHAnsi"/>
                <w:bCs/>
                <w:color w:val="44546A" w:themeColor="text2"/>
                <w:sz w:val="16"/>
                <w:szCs w:val="72"/>
                <w:lang w:val="sr-Cyrl-RS"/>
              </w:rPr>
              <w:t>**Процена Министарства финансија.</w:t>
            </w:r>
          </w:p>
        </w:tc>
      </w:tr>
    </w:tbl>
    <w:p w14:paraId="633B78CA" w14:textId="371A253D" w:rsidR="002C1D90" w:rsidRPr="00A37BCE" w:rsidRDefault="002C1D90" w:rsidP="00352961">
      <w:pPr>
        <w:jc w:val="both"/>
        <w:rPr>
          <w:rFonts w:cstheme="minorHAnsi"/>
          <w:sz w:val="20"/>
          <w:szCs w:val="72"/>
          <w:lang w:val="sr-Cyrl-RS"/>
        </w:rPr>
        <w:sectPr w:rsidR="002C1D90" w:rsidRPr="00A37BCE" w:rsidSect="002C1D90">
          <w:type w:val="continuous"/>
          <w:pgSz w:w="12240" w:h="15840"/>
          <w:pgMar w:top="1440" w:right="1440" w:bottom="1440" w:left="1440" w:header="720" w:footer="720" w:gutter="0"/>
          <w:cols w:space="720"/>
          <w:docGrid w:linePitch="360"/>
        </w:sectPr>
      </w:pPr>
    </w:p>
    <w:p w14:paraId="06F915B7" w14:textId="78C8406D" w:rsidR="002C1D90" w:rsidRPr="00A37BCE" w:rsidRDefault="00DD507F" w:rsidP="002C1D9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lastRenderedPageBreak/>
        <w:t>У трећем кварталу настављена су позитивна кретања из прве половине године. Према флеш процени РЗС раст БДП износио је 3,7% мг. Посматрано са производне стране вођен је услужним сектором уз значајан допринос пољопривреде, док је са расходне стране раст вођен домаћом тражњом.</w:t>
      </w:r>
    </w:p>
    <w:p w14:paraId="58623689" w14:textId="0CAB84FB" w:rsidR="00D01AB2" w:rsidRPr="00A37BCE" w:rsidRDefault="00F72984" w:rsidP="009B45EF">
      <w:pPr>
        <w:spacing w:line="276" w:lineRule="auto"/>
        <w:jc w:val="both"/>
        <w:rPr>
          <w:rFonts w:cstheme="minorHAnsi"/>
          <w:bCs/>
          <w:color w:val="44546A" w:themeColor="text2"/>
          <w:sz w:val="20"/>
          <w:szCs w:val="72"/>
          <w:lang w:val="sr-Cyrl-RS"/>
        </w:rPr>
        <w:sectPr w:rsidR="00D01AB2" w:rsidRPr="00A37BCE" w:rsidSect="0060082B">
          <w:type w:val="continuous"/>
          <w:pgSz w:w="12240" w:h="15840"/>
          <w:pgMar w:top="1440" w:right="1440" w:bottom="1440" w:left="1440" w:header="720" w:footer="720" w:gutter="0"/>
          <w:cols w:num="2" w:space="720"/>
          <w:docGrid w:linePitch="360"/>
        </w:sectPr>
      </w:pPr>
      <w:r w:rsidRPr="00A37BCE">
        <w:rPr>
          <w:rFonts w:cstheme="minorHAnsi"/>
          <w:bCs/>
          <w:color w:val="44546A" w:themeColor="text2"/>
          <w:sz w:val="20"/>
          <w:szCs w:val="72"/>
          <w:lang w:val="sr-Cyrl-RS"/>
        </w:rPr>
        <w:t xml:space="preserve">Високофреквентни индикатори, који су расположиви за првих девет месеци 2018. године, потврђују постојаност успостављених кретања. Укупна индустрија бележи раст физичког обима од 2,3%. Најзначајнији је утицај прерађивачке индустрије, која је међугодишње произвела за 2,7% више и тиме дала допринос стопи раста укупне индустрије од 1,9 </w:t>
      </w:r>
      <w:r w:rsidR="005D635E">
        <w:rPr>
          <w:rFonts w:cstheme="minorHAnsi"/>
          <w:bCs/>
          <w:color w:val="44546A" w:themeColor="text2"/>
          <w:sz w:val="20"/>
          <w:szCs w:val="72"/>
          <w:lang w:val="sr-Cyrl-RS"/>
        </w:rPr>
        <w:t>п. п.</w:t>
      </w:r>
      <w:r w:rsidRPr="00A37BCE">
        <w:rPr>
          <w:rFonts w:cstheme="minorHAnsi"/>
          <w:bCs/>
          <w:color w:val="44546A" w:themeColor="text2"/>
          <w:sz w:val="20"/>
          <w:szCs w:val="72"/>
          <w:lang w:val="sr-Cyrl-RS"/>
        </w:rPr>
        <w:t xml:space="preserve"> Производња струје већа је за 3,6% и доприноси са 0,6 п.</w:t>
      </w:r>
      <w:r w:rsidR="00D23AD9">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t xml:space="preserve">п, док је утицај рударства благо негативан. У 19 од 24 делатности </w:t>
      </w:r>
      <w:r w:rsidRPr="00A37BCE">
        <w:rPr>
          <w:rFonts w:cstheme="minorHAnsi"/>
          <w:bCs/>
          <w:color w:val="44546A" w:themeColor="text2"/>
          <w:sz w:val="20"/>
          <w:szCs w:val="72"/>
          <w:lang w:val="sr-Cyrl-RS"/>
        </w:rPr>
        <w:lastRenderedPageBreak/>
        <w:t xml:space="preserve">прерађивачке индустрије регистрована су позитивна кретања. По најснажнијем позитивном утицају издваја се нафтна индустрија и производња основних метала. Убрзање машинске индустрије стимулисано је већом тражњом за инвестиционим добрима, док је већа производња грађевинског материјала, детерминисана убрзањем приватних и јавних грађевинских радова. Негативан утицај преосталих пет делатности је миноран и износи тек 0,6 </w:t>
      </w:r>
      <w:r w:rsidR="005D635E">
        <w:rPr>
          <w:rFonts w:cstheme="minorHAnsi"/>
          <w:bCs/>
          <w:color w:val="44546A" w:themeColor="text2"/>
          <w:sz w:val="20"/>
          <w:szCs w:val="72"/>
          <w:lang w:val="sr-Cyrl-RS"/>
        </w:rPr>
        <w:t>п. п.</w:t>
      </w:r>
      <w:r w:rsidRPr="00A37BCE">
        <w:rPr>
          <w:rFonts w:cstheme="minorHAnsi"/>
          <w:bCs/>
          <w:color w:val="44546A" w:themeColor="text2"/>
          <w:sz w:val="20"/>
          <w:szCs w:val="72"/>
          <w:lang w:val="sr-Cyrl-RS"/>
        </w:rPr>
        <w:t xml:space="preserve"> Ипак, важно је имати у виду да долази од делатности које су до скора биле носиоци раста укупне индустрије и извоза. </w:t>
      </w:r>
      <w:r w:rsidR="0051621D" w:rsidRPr="00A37BCE">
        <w:rPr>
          <w:rFonts w:cstheme="minorHAnsi"/>
          <w:bCs/>
          <w:color w:val="44546A" w:themeColor="text2"/>
          <w:sz w:val="20"/>
          <w:szCs w:val="72"/>
          <w:lang w:val="sr-Cyrl-RS"/>
        </w:rPr>
        <w:t>За сада овом успо</w:t>
      </w:r>
      <w:r w:rsidRPr="00A37BCE">
        <w:rPr>
          <w:rFonts w:cstheme="minorHAnsi"/>
          <w:bCs/>
          <w:color w:val="44546A" w:themeColor="text2"/>
          <w:sz w:val="20"/>
          <w:szCs w:val="72"/>
          <w:lang w:val="sr-Cyrl-RS"/>
        </w:rPr>
        <w:t xml:space="preserve">равању </w:t>
      </w:r>
      <w:r w:rsidR="001D254C" w:rsidRPr="00A37BCE">
        <w:rPr>
          <w:rFonts w:cstheme="minorHAnsi"/>
          <w:bCs/>
          <w:color w:val="44546A" w:themeColor="text2"/>
          <w:sz w:val="20"/>
          <w:szCs w:val="72"/>
          <w:lang w:val="sr-Cyrl-RS"/>
        </w:rPr>
        <w:t xml:space="preserve">се </w:t>
      </w:r>
      <w:r w:rsidRPr="00A37BCE">
        <w:rPr>
          <w:rFonts w:cstheme="minorHAnsi"/>
          <w:bCs/>
          <w:color w:val="44546A" w:themeColor="text2"/>
          <w:sz w:val="20"/>
          <w:szCs w:val="72"/>
          <w:lang w:val="sr-Cyrl-RS"/>
        </w:rPr>
        <w:t>п</w:t>
      </w:r>
      <w:r w:rsidR="001D254C" w:rsidRPr="00A37BCE">
        <w:rPr>
          <w:rFonts w:cstheme="minorHAnsi"/>
          <w:bCs/>
          <w:color w:val="44546A" w:themeColor="text2"/>
          <w:sz w:val="20"/>
          <w:szCs w:val="72"/>
          <w:lang w:val="sr-Cyrl-RS"/>
        </w:rPr>
        <w:t>риписује</w:t>
      </w:r>
      <w:r w:rsidRPr="00A37BCE">
        <w:rPr>
          <w:rFonts w:cstheme="minorHAnsi"/>
          <w:bCs/>
          <w:color w:val="44546A" w:themeColor="text2"/>
          <w:sz w:val="20"/>
          <w:szCs w:val="72"/>
          <w:lang w:val="sr-Cyrl-RS"/>
        </w:rPr>
        <w:t xml:space="preserve"> привремени карактер и </w:t>
      </w:r>
      <w:r w:rsidR="00BC1484" w:rsidRPr="00A37BCE">
        <w:rPr>
          <w:rFonts w:cstheme="minorHAnsi"/>
          <w:bCs/>
          <w:color w:val="44546A" w:themeColor="text2"/>
          <w:sz w:val="20"/>
          <w:szCs w:val="72"/>
          <w:lang w:val="sr-Cyrl-RS"/>
        </w:rPr>
        <w:t>може се довести у везу</w:t>
      </w:r>
      <w:r w:rsidR="001D254C" w:rsidRPr="00A37BCE">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t>са спуштањем очекивања о кретању привредне активности наших главних спољнотрговинских партнера.</w:t>
      </w:r>
    </w:p>
    <w:p w14:paraId="1C2900CB" w14:textId="77777777" w:rsidR="00744077" w:rsidRPr="00A37BCE" w:rsidRDefault="00744077" w:rsidP="00744077">
      <w:pPr>
        <w:spacing w:after="0" w:line="240" w:lineRule="auto"/>
        <w:jc w:val="center"/>
        <w:rPr>
          <w:rFonts w:cstheme="minorHAnsi"/>
          <w:b/>
          <w:color w:val="2F5496" w:themeColor="accent1" w:themeShade="BF"/>
          <w:sz w:val="20"/>
          <w:lang w:val="sr-Cyrl-RS"/>
        </w:rPr>
      </w:pPr>
    </w:p>
    <w:p w14:paraId="62A2BB0B" w14:textId="77777777" w:rsidR="00CE5E55" w:rsidRPr="00A37BCE" w:rsidRDefault="00CE5E55">
      <w:pPr>
        <w:rPr>
          <w:rFonts w:cstheme="minorHAnsi"/>
          <w:b/>
          <w:color w:val="2F5496" w:themeColor="accent1" w:themeShade="BF"/>
          <w:sz w:val="20"/>
          <w:lang w:val="sr-Cyrl-RS"/>
        </w:rPr>
      </w:pPr>
      <w:r w:rsidRPr="00A37BCE">
        <w:rPr>
          <w:rFonts w:cstheme="minorHAnsi"/>
          <w:b/>
          <w:color w:val="2F5496" w:themeColor="accent1" w:themeShade="BF"/>
          <w:sz w:val="20"/>
          <w:lang w:val="sr-Cyrl-RS"/>
        </w:rPr>
        <w:br w:type="page"/>
      </w:r>
    </w:p>
    <w:p w14:paraId="3C22BA78" w14:textId="183C76B5" w:rsidR="00744077" w:rsidRPr="00A37BCE" w:rsidRDefault="00744077" w:rsidP="00CE5E55">
      <w:pPr>
        <w:spacing w:after="0" w:line="240" w:lineRule="auto"/>
        <w:jc w:val="center"/>
        <w:rPr>
          <w:rFonts w:cstheme="minorHAnsi"/>
          <w:b/>
          <w:color w:val="2F5496" w:themeColor="accent1" w:themeShade="BF"/>
          <w:sz w:val="20"/>
          <w:lang w:val="sr-Cyrl-RS"/>
        </w:rPr>
      </w:pPr>
      <w:r w:rsidRPr="00A37BCE">
        <w:rPr>
          <w:rFonts w:cstheme="minorHAnsi"/>
          <w:b/>
          <w:color w:val="2F5496" w:themeColor="accent1" w:themeShade="BF"/>
          <w:sz w:val="20"/>
          <w:lang w:val="sr-Cyrl-RS"/>
        </w:rPr>
        <w:lastRenderedPageBreak/>
        <w:t>Индекси физичког обима водећих делатности индустријске производње, 2017=100</w:t>
      </w:r>
    </w:p>
    <w:p w14:paraId="0F6D0A93" w14:textId="7A011FC9" w:rsidR="00304ECA" w:rsidRPr="00A37BCE" w:rsidRDefault="00304ECA" w:rsidP="00744077">
      <w:pPr>
        <w:spacing w:after="0" w:line="240" w:lineRule="auto"/>
        <w:jc w:val="center"/>
        <w:rPr>
          <w:rFonts w:cstheme="minorHAnsi"/>
          <w:b/>
          <w:color w:val="2F5496" w:themeColor="accent1" w:themeShade="BF"/>
          <w:sz w:val="20"/>
          <w:lang w:val="sr-Cyrl-RS"/>
        </w:rPr>
      </w:pPr>
      <w:r w:rsidRPr="00A37BCE">
        <w:rPr>
          <w:rFonts w:cstheme="minorHAnsi"/>
          <w:b/>
          <w:noProof/>
          <w:color w:val="2F5496" w:themeColor="accent1" w:themeShade="BF"/>
          <w:sz w:val="20"/>
        </w:rPr>
        <w:drawing>
          <wp:inline distT="0" distB="0" distL="0" distR="0" wp14:anchorId="182D5586" wp14:editId="4FFCAE5F">
            <wp:extent cx="5943600" cy="53911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rerađivačka 6 grafikona-01.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943600" cy="5391150"/>
                    </a:xfrm>
                    <a:prstGeom prst="rect">
                      <a:avLst/>
                    </a:prstGeom>
                  </pic:spPr>
                </pic:pic>
              </a:graphicData>
            </a:graphic>
          </wp:inline>
        </w:drawing>
      </w:r>
    </w:p>
    <w:p w14:paraId="3995E597" w14:textId="3A869F4E" w:rsidR="00BE75BF" w:rsidRPr="00A37BCE" w:rsidRDefault="00BE75BF" w:rsidP="002C1D90">
      <w:pPr>
        <w:jc w:val="both"/>
        <w:rPr>
          <w:rFonts w:cstheme="minorHAnsi"/>
          <w:noProof/>
          <w:sz w:val="16"/>
          <w:szCs w:val="16"/>
          <w:lang w:val="sr-Cyrl-RS"/>
        </w:rPr>
        <w:sectPr w:rsidR="00BE75BF" w:rsidRPr="00A37BCE" w:rsidSect="00D01AB2">
          <w:type w:val="continuous"/>
          <w:pgSz w:w="12240" w:h="15840"/>
          <w:pgMar w:top="1440" w:right="1440" w:bottom="1440" w:left="1440" w:header="720" w:footer="720" w:gutter="0"/>
          <w:cols w:space="720"/>
          <w:docGrid w:linePitch="360"/>
        </w:sectPr>
      </w:pPr>
      <w:r w:rsidRPr="00A37BCE">
        <w:rPr>
          <w:rFonts w:cstheme="minorHAnsi"/>
          <w:bCs/>
          <w:color w:val="44546A" w:themeColor="text2"/>
          <w:sz w:val="16"/>
          <w:szCs w:val="72"/>
          <w:lang w:val="sr-Cyrl-RS"/>
        </w:rPr>
        <w:t>Извор: Министарство финансија</w:t>
      </w:r>
    </w:p>
    <w:p w14:paraId="43B45ADA" w14:textId="5D1EF486" w:rsidR="00D01AB2" w:rsidRPr="00A37BCE" w:rsidRDefault="00F72984" w:rsidP="00D01AB2">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lastRenderedPageBreak/>
        <w:t>Посматрано по намени индустријских производа, у првих девет месеци раст физичког обима бележе све наменске групе</w:t>
      </w:r>
      <w:r w:rsidR="00E452E8" w:rsidRPr="00A37BCE">
        <w:rPr>
          <w:rFonts w:cstheme="minorHAnsi"/>
          <w:bCs/>
          <w:color w:val="44546A" w:themeColor="text2"/>
          <w:sz w:val="20"/>
          <w:szCs w:val="72"/>
          <w:lang w:val="sr-Cyrl-RS"/>
        </w:rPr>
        <w:t>,</w:t>
      </w:r>
      <w:r w:rsidRPr="00A37BCE">
        <w:rPr>
          <w:rFonts w:cstheme="minorHAnsi"/>
          <w:bCs/>
          <w:color w:val="44546A" w:themeColor="text2"/>
          <w:sz w:val="20"/>
          <w:szCs w:val="72"/>
          <w:lang w:val="sr-Cyrl-RS"/>
        </w:rPr>
        <w:t xml:space="preserve"> осим производње нетрајних производа за широку потрошњу. Доминантан извор раста укупне индус</w:t>
      </w:r>
      <w:r w:rsidR="0051621D" w:rsidRPr="00A37BCE">
        <w:rPr>
          <w:rFonts w:cstheme="minorHAnsi"/>
          <w:bCs/>
          <w:color w:val="44546A" w:themeColor="text2"/>
          <w:sz w:val="20"/>
          <w:szCs w:val="72"/>
          <w:lang w:val="sr-Cyrl-RS"/>
        </w:rPr>
        <w:t>трије је производња интермедијар</w:t>
      </w:r>
      <w:r w:rsidRPr="00A37BCE">
        <w:rPr>
          <w:rFonts w:cstheme="minorHAnsi"/>
          <w:bCs/>
          <w:color w:val="44546A" w:themeColor="text2"/>
          <w:sz w:val="20"/>
          <w:szCs w:val="72"/>
          <w:lang w:val="sr-Cyrl-RS"/>
        </w:rPr>
        <w:t>них производа, која је међугодишње већа за 4,5% и опредељена је пре свега повећањем производње основних метала и грађевинског материјала. Значајан позитиван утицај даје и производња енергије, услед већег обима продукције нафте и струје. Раст групе капиталних добара највећим делом ослоњен је на раст машинске индустрије што је резултат</w:t>
      </w:r>
      <w:r w:rsidR="009B45EF">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lastRenderedPageBreak/>
        <w:t>инвестиционог замајца који је започет средином прошле године.</w:t>
      </w:r>
    </w:p>
    <w:p w14:paraId="23833C37" w14:textId="77777777" w:rsidR="0068345D" w:rsidRPr="00A37BCE" w:rsidRDefault="00F72984" w:rsidP="0068345D">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Ус</w:t>
      </w:r>
      <w:r w:rsidR="00735A07" w:rsidRPr="00A37BCE">
        <w:rPr>
          <w:rFonts w:cstheme="minorHAnsi"/>
          <w:bCs/>
          <w:color w:val="44546A" w:themeColor="text2"/>
          <w:sz w:val="20"/>
          <w:szCs w:val="72"/>
          <w:lang w:val="sr-Cyrl-RS"/>
        </w:rPr>
        <w:t>лужни сектор стабил</w:t>
      </w:r>
      <w:r w:rsidRPr="00A37BCE">
        <w:rPr>
          <w:rFonts w:cstheme="minorHAnsi"/>
          <w:bCs/>
          <w:color w:val="44546A" w:themeColor="text2"/>
          <w:sz w:val="20"/>
          <w:szCs w:val="72"/>
          <w:lang w:val="sr-Cyrl-RS"/>
        </w:rPr>
        <w:t>но расте и чува улогу доминантног носиоца привредног раста. У периоду јануар</w:t>
      </w:r>
      <w:r w:rsidR="002E4A8C" w:rsidRPr="00A37BCE">
        <w:rPr>
          <w:rFonts w:cstheme="minorHAnsi"/>
          <w:bCs/>
          <w:color w:val="44546A" w:themeColor="text2"/>
          <w:sz w:val="20"/>
          <w:szCs w:val="72"/>
          <w:lang w:val="sr-Cyrl-RS"/>
        </w:rPr>
        <w:t>–</w:t>
      </w:r>
      <w:r w:rsidRPr="00A37BCE">
        <w:rPr>
          <w:rFonts w:cstheme="minorHAnsi"/>
          <w:bCs/>
          <w:color w:val="44546A" w:themeColor="text2"/>
          <w:sz w:val="20"/>
          <w:szCs w:val="72"/>
          <w:lang w:val="sr-Cyrl-RS"/>
        </w:rPr>
        <w:t xml:space="preserve">септембар 2018. године, у односу на исти период претходне године, малопродајни промет је био већи за 6,5% номинално, односно 4,0% реално. Посматрано у сталним ценама, највећи раст, од 5,4%, остварен је у промету непрехрамбених производа. Моторним горивима трговало се више за 4,1%, док је промет хране, пића и дувана већи за 2,8%. Стратешка оријентација Владе ка јачању туристичких услуга резултирала је растом броја туриста, којих је у </w:t>
      </w:r>
      <w:r w:rsidRPr="00A37BCE">
        <w:rPr>
          <w:rFonts w:cstheme="minorHAnsi"/>
          <w:bCs/>
          <w:color w:val="44546A" w:themeColor="text2"/>
          <w:sz w:val="20"/>
          <w:szCs w:val="72"/>
          <w:lang w:val="sr-Cyrl-RS"/>
        </w:rPr>
        <w:lastRenderedPageBreak/>
        <w:t>првих девет месеци регистровано преко 2,6 милиона, чиме је оств</w:t>
      </w:r>
      <w:r w:rsidR="00735A07" w:rsidRPr="00A37BCE">
        <w:rPr>
          <w:rFonts w:cstheme="minorHAnsi"/>
          <w:bCs/>
          <w:color w:val="44546A" w:themeColor="text2"/>
          <w:sz w:val="20"/>
          <w:szCs w:val="72"/>
          <w:lang w:val="sr-Cyrl-RS"/>
        </w:rPr>
        <w:t>а</w:t>
      </w:r>
      <w:r w:rsidRPr="00A37BCE">
        <w:rPr>
          <w:rFonts w:cstheme="minorHAnsi"/>
          <w:bCs/>
          <w:color w:val="44546A" w:themeColor="text2"/>
          <w:sz w:val="20"/>
          <w:szCs w:val="72"/>
          <w:lang w:val="sr-Cyrl-RS"/>
        </w:rPr>
        <w:t>рен међугодишњи раст од 11,8%. Ово пов</w:t>
      </w:r>
      <w:r w:rsidR="00972218" w:rsidRPr="00A37BCE">
        <w:rPr>
          <w:rFonts w:cstheme="minorHAnsi"/>
          <w:bCs/>
          <w:color w:val="44546A" w:themeColor="text2"/>
          <w:sz w:val="20"/>
          <w:szCs w:val="72"/>
          <w:lang w:val="sr-Cyrl-RS"/>
        </w:rPr>
        <w:t>ећање праћено је и већим бројем</w:t>
      </w:r>
      <w:r w:rsidRPr="00A37BCE">
        <w:rPr>
          <w:rFonts w:cstheme="minorHAnsi"/>
          <w:bCs/>
          <w:color w:val="44546A" w:themeColor="text2"/>
          <w:sz w:val="20"/>
          <w:szCs w:val="72"/>
          <w:lang w:val="sr-Cyrl-RS"/>
        </w:rPr>
        <w:t xml:space="preserve"> остварених ноћења за 12,9%, те их је укупно забележено око 7,5 милиона. Девизни прилив од </w:t>
      </w:r>
      <w:r w:rsidRPr="00A37BCE">
        <w:rPr>
          <w:rFonts w:cstheme="minorHAnsi"/>
          <w:bCs/>
          <w:color w:val="44546A" w:themeColor="text2"/>
          <w:sz w:val="20"/>
          <w:szCs w:val="72"/>
          <w:lang w:val="sr-Cyrl-RS"/>
        </w:rPr>
        <w:lastRenderedPageBreak/>
        <w:t>туризма, у периоду јануар</w:t>
      </w:r>
      <w:r w:rsidR="002E4A8C" w:rsidRPr="00A37BCE">
        <w:rPr>
          <w:rFonts w:cstheme="minorHAnsi"/>
          <w:bCs/>
          <w:color w:val="44546A" w:themeColor="text2"/>
          <w:sz w:val="20"/>
          <w:szCs w:val="72"/>
          <w:lang w:val="sr-Cyrl-RS"/>
        </w:rPr>
        <w:t>–</w:t>
      </w:r>
      <w:r w:rsidRPr="00A37BCE">
        <w:rPr>
          <w:rFonts w:cstheme="minorHAnsi"/>
          <w:bCs/>
          <w:color w:val="44546A" w:themeColor="text2"/>
          <w:sz w:val="20"/>
          <w:szCs w:val="72"/>
          <w:lang w:val="sr-Cyrl-RS"/>
        </w:rPr>
        <w:t>август, износио је 861 мил</w:t>
      </w:r>
      <w:r w:rsidR="00E452E8" w:rsidRPr="00A37BCE">
        <w:rPr>
          <w:rFonts w:cstheme="minorHAnsi"/>
          <w:bCs/>
          <w:color w:val="44546A" w:themeColor="text2"/>
          <w:sz w:val="20"/>
          <w:szCs w:val="72"/>
          <w:lang w:val="sr-Cyrl-RS"/>
        </w:rPr>
        <w:t>.</w:t>
      </w:r>
      <w:r w:rsidRPr="00A37BCE">
        <w:rPr>
          <w:rFonts w:cstheme="minorHAnsi"/>
          <w:bCs/>
          <w:color w:val="44546A" w:themeColor="text2"/>
          <w:sz w:val="20"/>
          <w:szCs w:val="72"/>
          <w:lang w:val="sr-Cyrl-RS"/>
        </w:rPr>
        <w:t xml:space="preserve"> евра, што је међугодишње повећање од 13,3%, док је промет у угоститељству у </w:t>
      </w:r>
      <w:r w:rsidR="00BB65B2" w:rsidRPr="00A37BCE">
        <w:rPr>
          <w:rFonts w:cstheme="minorHAnsi"/>
          <w:bCs/>
          <w:color w:val="44546A" w:themeColor="text2"/>
          <w:sz w:val="20"/>
          <w:szCs w:val="72"/>
          <w:lang w:val="sr-Cyrl-RS"/>
        </w:rPr>
        <w:t xml:space="preserve">првој половини године реално </w:t>
      </w:r>
      <w:r w:rsidRPr="00A37BCE">
        <w:rPr>
          <w:rFonts w:cstheme="minorHAnsi"/>
          <w:bCs/>
          <w:color w:val="44546A" w:themeColor="text2"/>
          <w:sz w:val="20"/>
          <w:szCs w:val="72"/>
          <w:lang w:val="sr-Cyrl-RS"/>
        </w:rPr>
        <w:t>повећан за 9,9%.</w:t>
      </w:r>
    </w:p>
    <w:p w14:paraId="347772E0" w14:textId="77777777" w:rsidR="00CE5E55" w:rsidRPr="00A37BCE" w:rsidRDefault="00CE5E55" w:rsidP="009B45EF">
      <w:pPr>
        <w:rPr>
          <w:rFonts w:cstheme="minorHAnsi"/>
          <w:b/>
          <w:color w:val="002060"/>
          <w:sz w:val="20"/>
          <w:lang w:val="sr-Cyrl-RS"/>
        </w:rPr>
        <w:sectPr w:rsidR="00CE5E55" w:rsidRPr="00A37BCE" w:rsidSect="00CE5E55">
          <w:type w:val="continuous"/>
          <w:pgSz w:w="12240" w:h="15840"/>
          <w:pgMar w:top="1440" w:right="1440" w:bottom="1440" w:left="1440" w:header="720" w:footer="720" w:gutter="0"/>
          <w:cols w:num="2" w:space="720"/>
          <w:docGrid w:linePitch="360"/>
        </w:sectPr>
      </w:pPr>
    </w:p>
    <w:p w14:paraId="37240D4E" w14:textId="77777777" w:rsidR="00FB7907" w:rsidRPr="00A37BCE" w:rsidRDefault="00FB7907" w:rsidP="009B45EF">
      <w:pPr>
        <w:spacing w:after="0"/>
        <w:rPr>
          <w:rFonts w:cstheme="minorHAnsi"/>
          <w:b/>
          <w:color w:val="002060"/>
          <w:sz w:val="20"/>
          <w:lang w:val="sr-Cyrl-RS"/>
        </w:rPr>
      </w:pPr>
    </w:p>
    <w:p w14:paraId="3A066C6D" w14:textId="77777777" w:rsidR="009E765D" w:rsidRPr="00A37BCE" w:rsidRDefault="00744077" w:rsidP="009E765D">
      <w:pPr>
        <w:jc w:val="center"/>
        <w:rPr>
          <w:rFonts w:cstheme="minorHAnsi"/>
          <w:b/>
          <w:color w:val="002060"/>
          <w:sz w:val="20"/>
          <w:lang w:val="sr-Cyrl-RS"/>
        </w:rPr>
      </w:pPr>
      <w:r w:rsidRPr="00A37BCE">
        <w:rPr>
          <w:rFonts w:cstheme="minorHAnsi"/>
          <w:b/>
          <w:color w:val="002060"/>
          <w:sz w:val="20"/>
          <w:lang w:val="sr-Cyrl-RS"/>
        </w:rPr>
        <w:t>Високофреквент</w:t>
      </w:r>
      <w:r w:rsidR="00E452E8" w:rsidRPr="00A37BCE">
        <w:rPr>
          <w:rFonts w:cstheme="minorHAnsi"/>
          <w:b/>
          <w:color w:val="002060"/>
          <w:sz w:val="20"/>
          <w:lang w:val="sr-Cyrl-RS"/>
        </w:rPr>
        <w:t>н</w:t>
      </w:r>
      <w:r w:rsidRPr="00A37BCE">
        <w:rPr>
          <w:rFonts w:cstheme="minorHAnsi"/>
          <w:b/>
          <w:color w:val="002060"/>
          <w:sz w:val="20"/>
          <w:lang w:val="sr-Cyrl-RS"/>
        </w:rPr>
        <w:t>и индикатори најзначајнијих услужних делатности, 2017=100</w:t>
      </w:r>
      <w:r w:rsidR="006C1A3D" w:rsidRPr="00A37BCE">
        <w:rPr>
          <w:rFonts w:cstheme="minorHAnsi"/>
          <w:noProof/>
        </w:rPr>
        <w:drawing>
          <wp:inline distT="0" distB="0" distL="0" distR="0" wp14:anchorId="50294851" wp14:editId="4E0529DE">
            <wp:extent cx="5943600" cy="4490720"/>
            <wp:effectExtent l="0" t="0" r="0" b="508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Usluge 6 grafikona-01.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943600" cy="4490720"/>
                    </a:xfrm>
                    <a:prstGeom prst="rect">
                      <a:avLst/>
                    </a:prstGeom>
                  </pic:spPr>
                </pic:pic>
              </a:graphicData>
            </a:graphic>
          </wp:inline>
        </w:drawing>
      </w:r>
    </w:p>
    <w:p w14:paraId="299CD11E" w14:textId="2817F45D" w:rsidR="00BE75BF" w:rsidRPr="00A37BCE" w:rsidRDefault="00BE75BF" w:rsidP="009E765D">
      <w:pPr>
        <w:rPr>
          <w:rFonts w:cstheme="minorHAnsi"/>
          <w:lang w:val="sr-Cyrl-RS"/>
        </w:rPr>
        <w:sectPr w:rsidR="00BE75BF" w:rsidRPr="00A37BCE" w:rsidSect="00D01AB2">
          <w:type w:val="continuous"/>
          <w:pgSz w:w="12240" w:h="15840"/>
          <w:pgMar w:top="1440" w:right="1440" w:bottom="1440" w:left="1440" w:header="720" w:footer="720" w:gutter="0"/>
          <w:cols w:space="720"/>
          <w:docGrid w:linePitch="360"/>
        </w:sectPr>
      </w:pPr>
      <w:r w:rsidRPr="00A37BCE">
        <w:rPr>
          <w:rFonts w:cstheme="minorHAnsi"/>
          <w:bCs/>
          <w:color w:val="44546A" w:themeColor="text2"/>
          <w:sz w:val="16"/>
          <w:szCs w:val="72"/>
          <w:lang w:val="sr-Cyrl-RS"/>
        </w:rPr>
        <w:t>Извор: Министарство финансија</w:t>
      </w:r>
    </w:p>
    <w:p w14:paraId="50E32CB9" w14:textId="77777777" w:rsidR="00261423" w:rsidRPr="00261423" w:rsidRDefault="00261423" w:rsidP="002C1D90">
      <w:pPr>
        <w:jc w:val="both"/>
        <w:rPr>
          <w:rFonts w:cstheme="minorHAnsi"/>
          <w:bCs/>
          <w:color w:val="44546A" w:themeColor="text2"/>
          <w:sz w:val="10"/>
          <w:szCs w:val="10"/>
          <w:lang w:val="sr-Cyrl-RS"/>
        </w:rPr>
      </w:pPr>
    </w:p>
    <w:p w14:paraId="1CC2C754" w14:textId="30E4B43C" w:rsidR="00D01AB2" w:rsidRPr="00A37BCE" w:rsidRDefault="00F72984" w:rsidP="002C1D90">
      <w:pPr>
        <w:jc w:val="both"/>
        <w:rPr>
          <w:rFonts w:cstheme="minorHAnsi"/>
          <w:bCs/>
          <w:color w:val="44546A" w:themeColor="text2"/>
          <w:sz w:val="20"/>
          <w:szCs w:val="72"/>
          <w:lang w:val="sr-Cyrl-RS"/>
        </w:rPr>
        <w:sectPr w:rsidR="00D01AB2" w:rsidRPr="00A37BCE" w:rsidSect="00D01AB2">
          <w:type w:val="continuous"/>
          <w:pgSz w:w="12240" w:h="15840"/>
          <w:pgMar w:top="1440" w:right="1440" w:bottom="1440" w:left="1440" w:header="720" w:footer="720" w:gutter="0"/>
          <w:cols w:num="2" w:space="720"/>
          <w:docGrid w:linePitch="360"/>
        </w:sectPr>
      </w:pPr>
      <w:r w:rsidRPr="00A37BCE">
        <w:rPr>
          <w:rFonts w:cstheme="minorHAnsi"/>
          <w:bCs/>
          <w:color w:val="44546A" w:themeColor="text2"/>
          <w:sz w:val="20"/>
          <w:szCs w:val="72"/>
          <w:lang w:val="sr-Cyrl-RS"/>
        </w:rPr>
        <w:t xml:space="preserve">Кретања основних макроекономских </w:t>
      </w:r>
      <w:r w:rsidR="0047251C" w:rsidRPr="00A37BCE">
        <w:rPr>
          <w:rFonts w:cstheme="minorHAnsi"/>
          <w:bCs/>
          <w:color w:val="44546A" w:themeColor="text2"/>
          <w:sz w:val="20"/>
          <w:szCs w:val="72"/>
          <w:lang w:val="sr-Cyrl-RS"/>
        </w:rPr>
        <w:t>агрегата</w:t>
      </w:r>
      <w:r w:rsidRPr="00A37BCE">
        <w:rPr>
          <w:rFonts w:cstheme="minorHAnsi"/>
          <w:bCs/>
          <w:color w:val="44546A" w:themeColor="text2"/>
          <w:sz w:val="20"/>
          <w:szCs w:val="72"/>
          <w:lang w:val="sr-Cyrl-RS"/>
        </w:rPr>
        <w:t xml:space="preserve"> и индикатора за Републику Србију у периоду 2019–2021. година пројектована су на основу актуелних економских показатеља и изгледа за Републику Србију и међународно окружење</w:t>
      </w:r>
      <w:r w:rsidR="00303B83" w:rsidRPr="00A37BCE">
        <w:rPr>
          <w:rFonts w:cstheme="minorHAnsi"/>
          <w:bCs/>
          <w:color w:val="44546A" w:themeColor="text2"/>
          <w:sz w:val="20"/>
          <w:szCs w:val="72"/>
          <w:lang w:val="sr-Cyrl-RS"/>
        </w:rPr>
        <w:t>, као и на основу процене ефеката планираних мера економске политике.</w:t>
      </w:r>
      <w:r w:rsidRPr="00A37BCE">
        <w:rPr>
          <w:rFonts w:cstheme="minorHAnsi"/>
          <w:bCs/>
          <w:color w:val="44546A" w:themeColor="text2"/>
          <w:sz w:val="20"/>
          <w:szCs w:val="72"/>
          <w:lang w:val="sr-Cyrl-RS"/>
        </w:rPr>
        <w:t xml:space="preserve"> У обзир су узети и успостављена фискална стабилност и трендна кретања реалног сектора, ојачана екстерна позиција земље и растући прилив СДИ. Поред тога, започете реформе и планирана системска унапређења привредног амбијента идентификујемо као </w:t>
      </w:r>
      <w:r w:rsidRPr="00A37BCE">
        <w:rPr>
          <w:rFonts w:cstheme="minorHAnsi"/>
          <w:bCs/>
          <w:color w:val="44546A" w:themeColor="text2"/>
          <w:sz w:val="20"/>
          <w:szCs w:val="72"/>
          <w:lang w:val="sr-Cyrl-RS"/>
        </w:rPr>
        <w:lastRenderedPageBreak/>
        <w:t xml:space="preserve">изворе могућег додатног раста. У супротном смеру могу деловати потенцијалне неизвесности креиране турбуленцијама на међународном тржишту роба и капитала. Негативни чиниоци из прошле године, као што је и предочавано, нису угрозили средњорочни сценарио. Овогодишње убрзање, иако једним делом услед ниске референтне базе, има извор у свим производним секторима. Посматрано са расходне стране, раст личне потрошње је подржан повољним чиниоцима и генерисан је пре свега кроз побољшања на тржишту рада. Готово једнако значајан допринос расту даје и инвестициона </w:t>
      </w:r>
      <w:r w:rsidRPr="00A37BCE">
        <w:rPr>
          <w:rFonts w:cstheme="minorHAnsi"/>
          <w:bCs/>
          <w:color w:val="44546A" w:themeColor="text2"/>
          <w:sz w:val="20"/>
          <w:szCs w:val="72"/>
          <w:lang w:val="sr-Cyrl-RS"/>
        </w:rPr>
        <w:lastRenderedPageBreak/>
        <w:t>потрошња, што је пожељно са становишта одрживости и додатног убрзања привредне активности. Влада</w:t>
      </w:r>
      <w:r w:rsidR="00B64F63">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t xml:space="preserve">ће водити одговорну и предвидиву фискалну политику, синхронизовану са монетарним властима и фокусирану на стимулисање нових извора раста. Очувана стабилност јавних финансија обезбедила је фискални простор за повећање капиталних расхода, али и омогућила конкретне мере у правцу растерећења привреде и афирмације приватног инвестирања. Раст СДИ обезбедиће </w:t>
      </w:r>
      <w:r w:rsidRPr="00A37BCE">
        <w:rPr>
          <w:rFonts w:cstheme="minorHAnsi"/>
          <w:bCs/>
          <w:color w:val="44546A" w:themeColor="text2"/>
          <w:sz w:val="20"/>
          <w:szCs w:val="72"/>
          <w:lang w:val="sr-Cyrl-RS"/>
        </w:rPr>
        <w:lastRenderedPageBreak/>
        <w:t xml:space="preserve">трансфер знања и технологије, подићи конкурентност и обезбедити нове продајне канале домаћим произвођачима. Механизам подстицаја има за циљ њихову секторску и регионалну дисперзију. Повећање минималне цене рада и </w:t>
      </w:r>
      <w:r w:rsidR="00842EE5">
        <w:rPr>
          <w:rFonts w:cstheme="minorHAnsi"/>
          <w:bCs/>
          <w:color w:val="44546A" w:themeColor="text2"/>
          <w:sz w:val="20"/>
          <w:szCs w:val="72"/>
          <w:lang w:val="sr-Cyrl-RS"/>
        </w:rPr>
        <w:t>за следећу годину, родно одговорно</w:t>
      </w:r>
      <w:r w:rsidRPr="00A37BCE">
        <w:rPr>
          <w:rFonts w:cstheme="minorHAnsi"/>
          <w:bCs/>
          <w:color w:val="44546A" w:themeColor="text2"/>
          <w:sz w:val="20"/>
          <w:szCs w:val="72"/>
          <w:lang w:val="sr-Cyrl-RS"/>
        </w:rPr>
        <w:t xml:space="preserve"> буџетирање, подршка социјалном предузетништву и задр</w:t>
      </w:r>
      <w:r w:rsidR="00735A07" w:rsidRPr="00A37BCE">
        <w:rPr>
          <w:rFonts w:cstheme="minorHAnsi"/>
          <w:bCs/>
          <w:color w:val="44546A" w:themeColor="text2"/>
          <w:sz w:val="20"/>
          <w:szCs w:val="72"/>
          <w:lang w:val="sr-Cyrl-RS"/>
        </w:rPr>
        <w:t>у</w:t>
      </w:r>
      <w:r w:rsidRPr="00A37BCE">
        <w:rPr>
          <w:rFonts w:cstheme="minorHAnsi"/>
          <w:bCs/>
          <w:color w:val="44546A" w:themeColor="text2"/>
          <w:sz w:val="20"/>
          <w:szCs w:val="72"/>
          <w:lang w:val="sr-Cyrl-RS"/>
        </w:rPr>
        <w:t>жном сектору, уз реформу система образовања деловаће у правцу ублажавања социјалних неједнакости и смањењу сиромаштва.</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3"/>
        <w:gridCol w:w="925"/>
        <w:gridCol w:w="925"/>
        <w:gridCol w:w="972"/>
        <w:gridCol w:w="930"/>
        <w:gridCol w:w="915"/>
      </w:tblGrid>
      <w:tr w:rsidR="00D01AB2" w:rsidRPr="00A37BCE" w14:paraId="4C9386D9" w14:textId="77777777" w:rsidTr="00607829">
        <w:trPr>
          <w:trHeight w:val="414"/>
        </w:trPr>
        <w:tc>
          <w:tcPr>
            <w:tcW w:w="4511" w:type="pct"/>
            <w:gridSpan w:val="5"/>
            <w:tcBorders>
              <w:bottom w:val="single" w:sz="4" w:space="0" w:color="002060"/>
            </w:tcBorders>
          </w:tcPr>
          <w:p w14:paraId="6F0061FB" w14:textId="5B66B78D" w:rsidR="00D01AB2" w:rsidRPr="00A37BCE" w:rsidRDefault="005B01D9" w:rsidP="00607829">
            <w:pPr>
              <w:jc w:val="center"/>
              <w:rPr>
                <w:rFonts w:cstheme="minorHAnsi"/>
                <w:b/>
                <w:color w:val="2F5496" w:themeColor="accent1" w:themeShade="BF"/>
                <w:sz w:val="20"/>
                <w:lang w:val="sr-Cyrl-RS"/>
              </w:rPr>
            </w:pPr>
            <w:r w:rsidRPr="00A37BCE">
              <w:rPr>
                <w:rFonts w:cstheme="minorHAnsi"/>
                <w:b/>
                <w:color w:val="002060"/>
                <w:sz w:val="20"/>
                <w:lang w:val="sr-Cyrl-RS"/>
              </w:rPr>
              <w:lastRenderedPageBreak/>
              <w:t>Табела 4</w:t>
            </w:r>
            <w:r w:rsidR="00D01AB2" w:rsidRPr="00A37BCE">
              <w:rPr>
                <w:rFonts w:cstheme="minorHAnsi"/>
                <w:b/>
                <w:color w:val="002060"/>
                <w:sz w:val="20"/>
                <w:lang w:val="sr-Cyrl-RS"/>
              </w:rPr>
              <w:t>. Пројекција основних макроекономских показатеља Републике Србије</w:t>
            </w:r>
          </w:p>
        </w:tc>
        <w:tc>
          <w:tcPr>
            <w:tcW w:w="489" w:type="pct"/>
            <w:tcBorders>
              <w:bottom w:val="single" w:sz="4" w:space="0" w:color="002060"/>
            </w:tcBorders>
          </w:tcPr>
          <w:p w14:paraId="7CBBD2D1" w14:textId="77777777" w:rsidR="00D01AB2" w:rsidRPr="00A37BCE" w:rsidRDefault="00D01AB2" w:rsidP="00607829">
            <w:pPr>
              <w:jc w:val="center"/>
              <w:rPr>
                <w:rFonts w:cstheme="minorHAnsi"/>
                <w:b/>
                <w:color w:val="2F5496" w:themeColor="accent1" w:themeShade="BF"/>
                <w:sz w:val="16"/>
                <w:lang w:val="sr-Cyrl-RS"/>
              </w:rPr>
            </w:pPr>
          </w:p>
        </w:tc>
      </w:tr>
      <w:tr w:rsidR="00D01AB2" w:rsidRPr="00A37BCE" w14:paraId="5D48597E" w14:textId="77777777" w:rsidTr="00117933">
        <w:tc>
          <w:tcPr>
            <w:tcW w:w="2507" w:type="pct"/>
            <w:tcBorders>
              <w:top w:val="single" w:sz="4" w:space="0" w:color="002060"/>
              <w:left w:val="single" w:sz="2" w:space="0" w:color="FFFFFF" w:themeColor="background1"/>
              <w:bottom w:val="single" w:sz="2" w:space="0" w:color="FFFFFF" w:themeColor="background1"/>
              <w:right w:val="single" w:sz="2" w:space="0" w:color="FFFFFF" w:themeColor="background1"/>
            </w:tcBorders>
          </w:tcPr>
          <w:p w14:paraId="52A91476" w14:textId="77777777" w:rsidR="00D01AB2" w:rsidRPr="00A37BCE" w:rsidRDefault="00D01AB2" w:rsidP="00607829">
            <w:pPr>
              <w:jc w:val="both"/>
              <w:rPr>
                <w:rFonts w:cstheme="minorHAnsi"/>
                <w:color w:val="002060"/>
                <w:sz w:val="18"/>
                <w:lang w:val="sr-Cyrl-RS"/>
              </w:rPr>
            </w:pPr>
          </w:p>
        </w:tc>
        <w:tc>
          <w:tcPr>
            <w:tcW w:w="494" w:type="pct"/>
            <w:tcBorders>
              <w:top w:val="single" w:sz="4" w:space="0" w:color="002060"/>
              <w:left w:val="single" w:sz="2" w:space="0" w:color="FFFFFF" w:themeColor="background1"/>
              <w:bottom w:val="single" w:sz="4" w:space="0" w:color="FFFFFF" w:themeColor="background1"/>
              <w:right w:val="single" w:sz="2" w:space="0" w:color="FFFFFF" w:themeColor="background1"/>
            </w:tcBorders>
            <w:shd w:val="clear" w:color="auto" w:fill="auto"/>
          </w:tcPr>
          <w:p w14:paraId="3B82E6B5" w14:textId="77777777" w:rsidR="00D01AB2" w:rsidRPr="00A37BCE" w:rsidRDefault="00D01AB2" w:rsidP="00607829">
            <w:pPr>
              <w:jc w:val="center"/>
              <w:rPr>
                <w:rFonts w:cstheme="minorHAnsi"/>
                <w:color w:val="002060"/>
                <w:sz w:val="18"/>
                <w:lang w:val="sr-Cyrl-RS"/>
              </w:rPr>
            </w:pPr>
            <w:r w:rsidRPr="00A37BCE">
              <w:rPr>
                <w:rFonts w:cstheme="minorHAnsi"/>
                <w:color w:val="002060"/>
                <w:sz w:val="18"/>
                <w:lang w:val="sr-Cyrl-RS"/>
              </w:rPr>
              <w:t>Процена</w:t>
            </w:r>
          </w:p>
        </w:tc>
        <w:tc>
          <w:tcPr>
            <w:tcW w:w="494" w:type="pct"/>
            <w:tcBorders>
              <w:top w:val="single" w:sz="4" w:space="0" w:color="002060"/>
              <w:left w:val="single" w:sz="2" w:space="0" w:color="FFFFFF" w:themeColor="background1"/>
              <w:bottom w:val="single" w:sz="2" w:space="0" w:color="FFFFFF" w:themeColor="background1"/>
              <w:right w:val="single" w:sz="2" w:space="0" w:color="FFFFFF" w:themeColor="background1"/>
            </w:tcBorders>
            <w:shd w:val="clear" w:color="auto" w:fill="auto"/>
          </w:tcPr>
          <w:p w14:paraId="27D9808D" w14:textId="77777777" w:rsidR="00D01AB2" w:rsidRPr="00A37BCE" w:rsidRDefault="00D01AB2" w:rsidP="00607829">
            <w:pPr>
              <w:jc w:val="center"/>
              <w:rPr>
                <w:rFonts w:cstheme="minorHAnsi"/>
                <w:color w:val="002060"/>
                <w:sz w:val="18"/>
                <w:lang w:val="sr-Cyrl-RS"/>
              </w:rPr>
            </w:pPr>
          </w:p>
        </w:tc>
        <w:tc>
          <w:tcPr>
            <w:tcW w:w="1505" w:type="pct"/>
            <w:gridSpan w:val="3"/>
            <w:tcBorders>
              <w:top w:val="single" w:sz="4" w:space="0" w:color="002060"/>
              <w:left w:val="single" w:sz="2" w:space="0" w:color="FFFFFF" w:themeColor="background1"/>
              <w:bottom w:val="single" w:sz="4" w:space="0" w:color="FFFFFF" w:themeColor="background1"/>
              <w:right w:val="single" w:sz="2" w:space="0" w:color="FFFFFF" w:themeColor="background1"/>
            </w:tcBorders>
            <w:shd w:val="clear" w:color="auto" w:fill="auto"/>
          </w:tcPr>
          <w:p w14:paraId="5E25700C" w14:textId="77777777" w:rsidR="00D01AB2" w:rsidRPr="00A37BCE" w:rsidRDefault="00D01AB2" w:rsidP="00607829">
            <w:pPr>
              <w:jc w:val="center"/>
              <w:rPr>
                <w:rFonts w:cstheme="minorHAnsi"/>
                <w:color w:val="002060"/>
                <w:sz w:val="18"/>
                <w:lang w:val="sr-Cyrl-RS"/>
              </w:rPr>
            </w:pPr>
            <w:r w:rsidRPr="00A37BCE">
              <w:rPr>
                <w:rFonts w:cstheme="minorHAnsi"/>
                <w:color w:val="002060"/>
                <w:sz w:val="18"/>
                <w:lang w:val="sr-Cyrl-RS"/>
              </w:rPr>
              <w:t>Пројекције</w:t>
            </w:r>
          </w:p>
        </w:tc>
      </w:tr>
      <w:tr w:rsidR="00D01AB2" w:rsidRPr="00A37BCE" w14:paraId="7EAAB534" w14:textId="77777777" w:rsidTr="00117933">
        <w:tc>
          <w:tcPr>
            <w:tcW w:w="2507" w:type="pct"/>
            <w:tcBorders>
              <w:top w:val="single" w:sz="2" w:space="0" w:color="FFFFFF" w:themeColor="background1"/>
            </w:tcBorders>
          </w:tcPr>
          <w:p w14:paraId="3B9E2E82" w14:textId="77777777" w:rsidR="00D01AB2" w:rsidRPr="00A37BCE" w:rsidRDefault="00D01AB2" w:rsidP="00607829">
            <w:pPr>
              <w:ind w:left="-15"/>
              <w:jc w:val="both"/>
              <w:rPr>
                <w:rFonts w:cstheme="minorHAnsi"/>
                <w:color w:val="002060"/>
                <w:sz w:val="18"/>
                <w:szCs w:val="18"/>
                <w:lang w:val="sr-Cyrl-RS"/>
              </w:rPr>
            </w:pPr>
          </w:p>
        </w:tc>
        <w:tc>
          <w:tcPr>
            <w:tcW w:w="494" w:type="pct"/>
            <w:tcBorders>
              <w:top w:val="single" w:sz="4" w:space="0" w:color="FFFFFF" w:themeColor="background1"/>
              <w:bottom w:val="single" w:sz="4" w:space="0" w:color="002060"/>
            </w:tcBorders>
          </w:tcPr>
          <w:p w14:paraId="3E6B151B"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lang w:val="sr-Cyrl-RS"/>
              </w:rPr>
              <w:t>2018</w:t>
            </w:r>
          </w:p>
        </w:tc>
        <w:tc>
          <w:tcPr>
            <w:tcW w:w="494" w:type="pct"/>
            <w:tcBorders>
              <w:top w:val="single" w:sz="2" w:space="0" w:color="FFFFFF" w:themeColor="background1"/>
            </w:tcBorders>
          </w:tcPr>
          <w:p w14:paraId="2D158B85" w14:textId="77777777" w:rsidR="00D01AB2" w:rsidRPr="00A37BCE" w:rsidRDefault="00D01AB2" w:rsidP="00607829">
            <w:pPr>
              <w:jc w:val="center"/>
              <w:rPr>
                <w:rFonts w:cstheme="minorHAnsi"/>
                <w:color w:val="002060"/>
                <w:sz w:val="18"/>
                <w:szCs w:val="18"/>
                <w:lang w:val="sr-Cyrl-RS"/>
              </w:rPr>
            </w:pPr>
          </w:p>
        </w:tc>
        <w:tc>
          <w:tcPr>
            <w:tcW w:w="519" w:type="pct"/>
            <w:tcBorders>
              <w:top w:val="single" w:sz="4" w:space="0" w:color="FFFFFF" w:themeColor="background1"/>
              <w:bottom w:val="single" w:sz="4" w:space="0" w:color="002060"/>
            </w:tcBorders>
          </w:tcPr>
          <w:p w14:paraId="2E963792"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lang w:val="sr-Cyrl-RS"/>
              </w:rPr>
              <w:t>2019</w:t>
            </w:r>
          </w:p>
        </w:tc>
        <w:tc>
          <w:tcPr>
            <w:tcW w:w="497" w:type="pct"/>
            <w:tcBorders>
              <w:top w:val="single" w:sz="4" w:space="0" w:color="FFFFFF" w:themeColor="background1"/>
              <w:bottom w:val="single" w:sz="4" w:space="0" w:color="002060"/>
            </w:tcBorders>
          </w:tcPr>
          <w:p w14:paraId="53DEB61A"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lang w:val="sr-Cyrl-RS"/>
              </w:rPr>
              <w:t>2020</w:t>
            </w:r>
          </w:p>
        </w:tc>
        <w:tc>
          <w:tcPr>
            <w:tcW w:w="489" w:type="pct"/>
            <w:tcBorders>
              <w:top w:val="single" w:sz="4" w:space="0" w:color="FFFFFF" w:themeColor="background1"/>
              <w:bottom w:val="single" w:sz="4" w:space="0" w:color="002060"/>
            </w:tcBorders>
          </w:tcPr>
          <w:p w14:paraId="21FCEA06"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lang w:val="sr-Cyrl-RS"/>
              </w:rPr>
              <w:t>2021</w:t>
            </w:r>
          </w:p>
        </w:tc>
      </w:tr>
      <w:tr w:rsidR="00D01AB2" w:rsidRPr="00A37BCE" w14:paraId="6AE31B1C" w14:textId="77777777" w:rsidTr="00117933">
        <w:tc>
          <w:tcPr>
            <w:tcW w:w="2507" w:type="pct"/>
            <w:tcBorders>
              <w:top w:val="single" w:sz="2" w:space="0" w:color="FFFFFF" w:themeColor="background1"/>
            </w:tcBorders>
          </w:tcPr>
          <w:p w14:paraId="75F6819A" w14:textId="61E82CCB" w:rsidR="00D01AB2" w:rsidRPr="00A37BCE" w:rsidRDefault="00E452E8" w:rsidP="00607829">
            <w:pPr>
              <w:ind w:left="-15"/>
              <w:jc w:val="both"/>
              <w:rPr>
                <w:rFonts w:cstheme="minorHAnsi"/>
                <w:color w:val="002060"/>
                <w:sz w:val="18"/>
                <w:szCs w:val="18"/>
                <w:lang w:val="sr-Cyrl-RS"/>
              </w:rPr>
            </w:pPr>
            <w:r w:rsidRPr="00A37BCE">
              <w:rPr>
                <w:rFonts w:cstheme="minorHAnsi"/>
                <w:color w:val="002060"/>
                <w:sz w:val="18"/>
                <w:szCs w:val="18"/>
                <w:lang w:val="sr-Cyrl-RS"/>
              </w:rPr>
              <w:t>БДП, млрд динара (текуће цене)</w:t>
            </w:r>
          </w:p>
        </w:tc>
        <w:tc>
          <w:tcPr>
            <w:tcW w:w="494" w:type="pct"/>
            <w:tcBorders>
              <w:top w:val="single" w:sz="4" w:space="0" w:color="002060"/>
            </w:tcBorders>
          </w:tcPr>
          <w:p w14:paraId="0CD6D893"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5.074</w:t>
            </w:r>
          </w:p>
        </w:tc>
        <w:tc>
          <w:tcPr>
            <w:tcW w:w="494" w:type="pct"/>
            <w:tcBorders>
              <w:top w:val="single" w:sz="2" w:space="0" w:color="FFFFFF" w:themeColor="background1"/>
            </w:tcBorders>
          </w:tcPr>
          <w:p w14:paraId="293F3AF9" w14:textId="77777777" w:rsidR="00D01AB2" w:rsidRPr="00A37BCE" w:rsidRDefault="00D01AB2" w:rsidP="00607829">
            <w:pPr>
              <w:jc w:val="center"/>
              <w:rPr>
                <w:rFonts w:cstheme="minorHAnsi"/>
                <w:color w:val="002060"/>
                <w:sz w:val="18"/>
                <w:szCs w:val="18"/>
                <w:lang w:val="sr-Cyrl-RS"/>
              </w:rPr>
            </w:pPr>
          </w:p>
        </w:tc>
        <w:tc>
          <w:tcPr>
            <w:tcW w:w="519" w:type="pct"/>
            <w:tcBorders>
              <w:top w:val="single" w:sz="4" w:space="0" w:color="002060"/>
            </w:tcBorders>
          </w:tcPr>
          <w:p w14:paraId="79C62571"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5.424</w:t>
            </w:r>
          </w:p>
        </w:tc>
        <w:tc>
          <w:tcPr>
            <w:tcW w:w="497" w:type="pct"/>
            <w:tcBorders>
              <w:top w:val="single" w:sz="4" w:space="0" w:color="002060"/>
            </w:tcBorders>
          </w:tcPr>
          <w:p w14:paraId="419748BA"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5.832</w:t>
            </w:r>
          </w:p>
        </w:tc>
        <w:tc>
          <w:tcPr>
            <w:tcW w:w="489" w:type="pct"/>
            <w:tcBorders>
              <w:top w:val="single" w:sz="4" w:space="0" w:color="002060"/>
            </w:tcBorders>
          </w:tcPr>
          <w:p w14:paraId="63CDD7F7"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6.269</w:t>
            </w:r>
          </w:p>
        </w:tc>
      </w:tr>
      <w:tr w:rsidR="00D01AB2" w:rsidRPr="00A37BCE" w14:paraId="47E447D7" w14:textId="77777777" w:rsidTr="00607829">
        <w:tc>
          <w:tcPr>
            <w:tcW w:w="2507" w:type="pct"/>
          </w:tcPr>
          <w:p w14:paraId="2593EF18" w14:textId="69329C14" w:rsidR="00D01AB2" w:rsidRPr="00A37BCE" w:rsidRDefault="00E452E8" w:rsidP="00607829">
            <w:pPr>
              <w:ind w:left="-15"/>
              <w:jc w:val="both"/>
              <w:rPr>
                <w:rFonts w:cstheme="minorHAnsi"/>
                <w:color w:val="002060"/>
                <w:sz w:val="18"/>
                <w:szCs w:val="18"/>
                <w:lang w:val="sr-Cyrl-RS"/>
              </w:rPr>
            </w:pPr>
            <w:r w:rsidRPr="00A37BCE">
              <w:rPr>
                <w:rFonts w:cstheme="minorHAnsi"/>
                <w:color w:val="002060"/>
                <w:sz w:val="18"/>
                <w:szCs w:val="18"/>
                <w:lang w:val="sr-Cyrl-RS"/>
              </w:rPr>
              <w:t>Реални раст БДП, %</w:t>
            </w:r>
          </w:p>
        </w:tc>
        <w:tc>
          <w:tcPr>
            <w:tcW w:w="494" w:type="pct"/>
          </w:tcPr>
          <w:p w14:paraId="3748312E"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4,2</w:t>
            </w:r>
          </w:p>
        </w:tc>
        <w:tc>
          <w:tcPr>
            <w:tcW w:w="494" w:type="pct"/>
          </w:tcPr>
          <w:p w14:paraId="679373CC" w14:textId="77777777" w:rsidR="00D01AB2" w:rsidRPr="00A37BCE" w:rsidRDefault="00D01AB2" w:rsidP="00607829">
            <w:pPr>
              <w:jc w:val="center"/>
              <w:rPr>
                <w:rFonts w:cstheme="minorHAnsi"/>
                <w:color w:val="002060"/>
                <w:sz w:val="18"/>
                <w:szCs w:val="18"/>
                <w:lang w:val="sr-Cyrl-RS"/>
              </w:rPr>
            </w:pPr>
          </w:p>
        </w:tc>
        <w:tc>
          <w:tcPr>
            <w:tcW w:w="519" w:type="pct"/>
          </w:tcPr>
          <w:p w14:paraId="1ECE3AE5"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3,5</w:t>
            </w:r>
          </w:p>
        </w:tc>
        <w:tc>
          <w:tcPr>
            <w:tcW w:w="497" w:type="pct"/>
          </w:tcPr>
          <w:p w14:paraId="68B6183D"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4,0</w:t>
            </w:r>
          </w:p>
        </w:tc>
        <w:tc>
          <w:tcPr>
            <w:tcW w:w="489" w:type="pct"/>
          </w:tcPr>
          <w:p w14:paraId="2CCCCD14"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4,0</w:t>
            </w:r>
          </w:p>
        </w:tc>
      </w:tr>
      <w:tr w:rsidR="00D01AB2" w:rsidRPr="00A37BCE" w14:paraId="6A209407" w14:textId="77777777" w:rsidTr="00607829">
        <w:tc>
          <w:tcPr>
            <w:tcW w:w="2507" w:type="pct"/>
          </w:tcPr>
          <w:p w14:paraId="1BA4D933" w14:textId="0CEC4B92" w:rsidR="00D01AB2" w:rsidRPr="00A37BCE" w:rsidRDefault="00E452E8" w:rsidP="00607829">
            <w:pPr>
              <w:ind w:left="-15"/>
              <w:jc w:val="both"/>
              <w:rPr>
                <w:rFonts w:cstheme="minorHAnsi"/>
                <w:color w:val="002060"/>
                <w:sz w:val="18"/>
                <w:szCs w:val="18"/>
                <w:lang w:val="sr-Cyrl-RS"/>
              </w:rPr>
            </w:pPr>
            <w:r w:rsidRPr="00A37BCE">
              <w:rPr>
                <w:rFonts w:cstheme="minorHAnsi"/>
                <w:color w:val="002060"/>
                <w:sz w:val="18"/>
                <w:szCs w:val="18"/>
                <w:lang w:val="sr-Cyrl-RS"/>
              </w:rPr>
              <w:t>Дефлатор БДП, %</w:t>
            </w:r>
          </w:p>
        </w:tc>
        <w:tc>
          <w:tcPr>
            <w:tcW w:w="494" w:type="pct"/>
          </w:tcPr>
          <w:p w14:paraId="1E2D480E"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2,4</w:t>
            </w:r>
          </w:p>
        </w:tc>
        <w:tc>
          <w:tcPr>
            <w:tcW w:w="494" w:type="pct"/>
          </w:tcPr>
          <w:p w14:paraId="4A320259" w14:textId="77777777" w:rsidR="00D01AB2" w:rsidRPr="00A37BCE" w:rsidRDefault="00D01AB2" w:rsidP="00607829">
            <w:pPr>
              <w:jc w:val="center"/>
              <w:rPr>
                <w:rFonts w:cstheme="minorHAnsi"/>
                <w:color w:val="002060"/>
                <w:sz w:val="18"/>
                <w:szCs w:val="18"/>
                <w:lang w:val="sr-Cyrl-RS"/>
              </w:rPr>
            </w:pPr>
          </w:p>
        </w:tc>
        <w:tc>
          <w:tcPr>
            <w:tcW w:w="519" w:type="pct"/>
          </w:tcPr>
          <w:p w14:paraId="7B90F22F"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3,3</w:t>
            </w:r>
          </w:p>
        </w:tc>
        <w:tc>
          <w:tcPr>
            <w:tcW w:w="497" w:type="pct"/>
          </w:tcPr>
          <w:p w14:paraId="02A7FDD3"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3,4</w:t>
            </w:r>
          </w:p>
        </w:tc>
        <w:tc>
          <w:tcPr>
            <w:tcW w:w="489" w:type="pct"/>
          </w:tcPr>
          <w:p w14:paraId="01C127CD"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3,4</w:t>
            </w:r>
          </w:p>
        </w:tc>
      </w:tr>
      <w:tr w:rsidR="00D01AB2" w:rsidRPr="00A37BCE" w14:paraId="4DE1A139" w14:textId="77777777" w:rsidTr="00607829">
        <w:tc>
          <w:tcPr>
            <w:tcW w:w="5000" w:type="pct"/>
            <w:gridSpan w:val="6"/>
            <w:shd w:val="clear" w:color="auto" w:fill="E7E6E6" w:themeFill="background2"/>
          </w:tcPr>
          <w:p w14:paraId="7EDBB5FD" w14:textId="77777777" w:rsidR="00D01AB2" w:rsidRPr="00A37BCE" w:rsidRDefault="00D01AB2" w:rsidP="00607829">
            <w:pPr>
              <w:rPr>
                <w:rFonts w:cstheme="minorHAnsi"/>
                <w:color w:val="002060"/>
                <w:sz w:val="18"/>
                <w:szCs w:val="18"/>
                <w:lang w:val="sr-Cyrl-RS"/>
              </w:rPr>
            </w:pPr>
            <w:r w:rsidRPr="00A37BCE">
              <w:rPr>
                <w:rFonts w:cstheme="minorHAnsi"/>
                <w:color w:val="002060"/>
                <w:sz w:val="18"/>
                <w:szCs w:val="18"/>
                <w:lang w:val="sr-Cyrl-RS"/>
              </w:rPr>
              <w:t>Реални раст појединих компоненти БДП, %</w:t>
            </w:r>
          </w:p>
        </w:tc>
      </w:tr>
      <w:tr w:rsidR="00D01AB2" w:rsidRPr="00A37BCE" w14:paraId="5F0D104A" w14:textId="77777777" w:rsidTr="00607829">
        <w:tc>
          <w:tcPr>
            <w:tcW w:w="2507" w:type="pct"/>
          </w:tcPr>
          <w:p w14:paraId="63F2DA5A" w14:textId="18B0FDDE" w:rsidR="00D01AB2" w:rsidRPr="00A37BCE" w:rsidRDefault="00E452E8" w:rsidP="00607829">
            <w:pPr>
              <w:ind w:left="256"/>
              <w:jc w:val="both"/>
              <w:rPr>
                <w:rFonts w:cstheme="minorHAnsi"/>
                <w:color w:val="002060"/>
                <w:sz w:val="18"/>
                <w:szCs w:val="18"/>
                <w:lang w:val="sr-Cyrl-RS"/>
              </w:rPr>
            </w:pPr>
            <w:r w:rsidRPr="00A37BCE">
              <w:rPr>
                <w:rFonts w:cstheme="minorHAnsi"/>
                <w:color w:val="002060"/>
                <w:sz w:val="18"/>
                <w:szCs w:val="18"/>
                <w:lang w:val="sr-Cyrl-RS"/>
              </w:rPr>
              <w:t>Лична потрошња</w:t>
            </w:r>
          </w:p>
        </w:tc>
        <w:tc>
          <w:tcPr>
            <w:tcW w:w="494" w:type="pct"/>
          </w:tcPr>
          <w:p w14:paraId="76AF95F2"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3,0</w:t>
            </w:r>
          </w:p>
        </w:tc>
        <w:tc>
          <w:tcPr>
            <w:tcW w:w="494" w:type="pct"/>
          </w:tcPr>
          <w:p w14:paraId="49184A4B" w14:textId="77777777" w:rsidR="00D01AB2" w:rsidRPr="00A37BCE" w:rsidRDefault="00D01AB2" w:rsidP="00607829">
            <w:pPr>
              <w:jc w:val="center"/>
              <w:rPr>
                <w:rFonts w:cstheme="minorHAnsi"/>
                <w:color w:val="002060"/>
                <w:sz w:val="18"/>
                <w:szCs w:val="18"/>
                <w:lang w:val="sr-Cyrl-RS"/>
              </w:rPr>
            </w:pPr>
          </w:p>
        </w:tc>
        <w:tc>
          <w:tcPr>
            <w:tcW w:w="519" w:type="pct"/>
          </w:tcPr>
          <w:p w14:paraId="43E6EFF2"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3,1</w:t>
            </w:r>
          </w:p>
        </w:tc>
        <w:tc>
          <w:tcPr>
            <w:tcW w:w="497" w:type="pct"/>
          </w:tcPr>
          <w:p w14:paraId="0D8FE272"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3,3</w:t>
            </w:r>
          </w:p>
        </w:tc>
        <w:tc>
          <w:tcPr>
            <w:tcW w:w="489" w:type="pct"/>
          </w:tcPr>
          <w:p w14:paraId="63EEE67C"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3,4</w:t>
            </w:r>
          </w:p>
        </w:tc>
      </w:tr>
      <w:tr w:rsidR="00D01AB2" w:rsidRPr="00A37BCE" w14:paraId="6569CBFB" w14:textId="77777777" w:rsidTr="00607829">
        <w:tc>
          <w:tcPr>
            <w:tcW w:w="2507" w:type="pct"/>
          </w:tcPr>
          <w:p w14:paraId="1336E0A5" w14:textId="7421347B" w:rsidR="00D01AB2" w:rsidRPr="00A37BCE" w:rsidRDefault="00E452E8" w:rsidP="00607829">
            <w:pPr>
              <w:ind w:left="256"/>
              <w:jc w:val="both"/>
              <w:rPr>
                <w:rFonts w:cstheme="minorHAnsi"/>
                <w:color w:val="002060"/>
                <w:sz w:val="18"/>
                <w:szCs w:val="18"/>
                <w:lang w:val="sr-Cyrl-RS"/>
              </w:rPr>
            </w:pPr>
            <w:r w:rsidRPr="00A37BCE">
              <w:rPr>
                <w:rFonts w:cstheme="minorHAnsi"/>
                <w:color w:val="002060"/>
                <w:sz w:val="18"/>
                <w:szCs w:val="18"/>
                <w:lang w:val="sr-Cyrl-RS"/>
              </w:rPr>
              <w:t>Државна потрошња</w:t>
            </w:r>
          </w:p>
        </w:tc>
        <w:tc>
          <w:tcPr>
            <w:tcW w:w="494" w:type="pct"/>
          </w:tcPr>
          <w:p w14:paraId="3B54D3C9"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3,5</w:t>
            </w:r>
          </w:p>
        </w:tc>
        <w:tc>
          <w:tcPr>
            <w:tcW w:w="494" w:type="pct"/>
          </w:tcPr>
          <w:p w14:paraId="404DA88D" w14:textId="77777777" w:rsidR="00D01AB2" w:rsidRPr="00A37BCE" w:rsidRDefault="00D01AB2" w:rsidP="00607829">
            <w:pPr>
              <w:jc w:val="center"/>
              <w:rPr>
                <w:rFonts w:cstheme="minorHAnsi"/>
                <w:color w:val="002060"/>
                <w:sz w:val="18"/>
                <w:szCs w:val="18"/>
                <w:lang w:val="sr-Cyrl-RS"/>
              </w:rPr>
            </w:pPr>
          </w:p>
        </w:tc>
        <w:tc>
          <w:tcPr>
            <w:tcW w:w="519" w:type="pct"/>
          </w:tcPr>
          <w:p w14:paraId="7E47FD97"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1,9</w:t>
            </w:r>
          </w:p>
        </w:tc>
        <w:tc>
          <w:tcPr>
            <w:tcW w:w="497" w:type="pct"/>
          </w:tcPr>
          <w:p w14:paraId="2AD877ED"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1,7</w:t>
            </w:r>
          </w:p>
        </w:tc>
        <w:tc>
          <w:tcPr>
            <w:tcW w:w="489" w:type="pct"/>
          </w:tcPr>
          <w:p w14:paraId="4D7D927E"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2,4</w:t>
            </w:r>
          </w:p>
        </w:tc>
      </w:tr>
      <w:tr w:rsidR="00D01AB2" w:rsidRPr="00A37BCE" w14:paraId="2F4D40C0" w14:textId="77777777" w:rsidTr="00607829">
        <w:tc>
          <w:tcPr>
            <w:tcW w:w="2507" w:type="pct"/>
          </w:tcPr>
          <w:p w14:paraId="26C33EB7" w14:textId="6CAFD765" w:rsidR="00D01AB2" w:rsidRPr="00A37BCE" w:rsidRDefault="00D01AB2" w:rsidP="00607829">
            <w:pPr>
              <w:ind w:left="256"/>
              <w:jc w:val="both"/>
              <w:rPr>
                <w:rFonts w:cstheme="minorHAnsi"/>
                <w:color w:val="002060"/>
                <w:sz w:val="18"/>
                <w:szCs w:val="18"/>
                <w:lang w:val="sr-Cyrl-RS"/>
              </w:rPr>
            </w:pPr>
            <w:r w:rsidRPr="00A37BCE">
              <w:rPr>
                <w:rFonts w:cstheme="minorHAnsi"/>
                <w:color w:val="002060"/>
                <w:sz w:val="18"/>
                <w:szCs w:val="18"/>
                <w:lang w:val="sr-Cyrl-RS"/>
              </w:rPr>
              <w:t>Бруто ин</w:t>
            </w:r>
            <w:r w:rsidR="00E452E8" w:rsidRPr="00A37BCE">
              <w:rPr>
                <w:rFonts w:cstheme="minorHAnsi"/>
                <w:color w:val="002060"/>
                <w:sz w:val="18"/>
                <w:szCs w:val="18"/>
                <w:lang w:val="sr-Cyrl-RS"/>
              </w:rPr>
              <w:t>вестиције у основне фондове</w:t>
            </w:r>
          </w:p>
        </w:tc>
        <w:tc>
          <w:tcPr>
            <w:tcW w:w="494" w:type="pct"/>
          </w:tcPr>
          <w:p w14:paraId="2B49C6DA"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9,8</w:t>
            </w:r>
          </w:p>
        </w:tc>
        <w:tc>
          <w:tcPr>
            <w:tcW w:w="494" w:type="pct"/>
          </w:tcPr>
          <w:p w14:paraId="485E60E7" w14:textId="77777777" w:rsidR="00D01AB2" w:rsidRPr="00A37BCE" w:rsidRDefault="00D01AB2" w:rsidP="00607829">
            <w:pPr>
              <w:jc w:val="center"/>
              <w:rPr>
                <w:rFonts w:cstheme="minorHAnsi"/>
                <w:color w:val="002060"/>
                <w:sz w:val="18"/>
                <w:szCs w:val="18"/>
                <w:lang w:val="sr-Cyrl-RS"/>
              </w:rPr>
            </w:pPr>
          </w:p>
        </w:tc>
        <w:tc>
          <w:tcPr>
            <w:tcW w:w="519" w:type="pct"/>
          </w:tcPr>
          <w:p w14:paraId="67B8513C"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5,6</w:t>
            </w:r>
          </w:p>
        </w:tc>
        <w:tc>
          <w:tcPr>
            <w:tcW w:w="497" w:type="pct"/>
          </w:tcPr>
          <w:p w14:paraId="25116A67"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5,8</w:t>
            </w:r>
          </w:p>
        </w:tc>
        <w:tc>
          <w:tcPr>
            <w:tcW w:w="489" w:type="pct"/>
          </w:tcPr>
          <w:p w14:paraId="282BB1B5"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6,0</w:t>
            </w:r>
          </w:p>
        </w:tc>
      </w:tr>
      <w:tr w:rsidR="00D01AB2" w:rsidRPr="00A37BCE" w14:paraId="478F99C3" w14:textId="77777777" w:rsidTr="00607829">
        <w:tc>
          <w:tcPr>
            <w:tcW w:w="2507" w:type="pct"/>
          </w:tcPr>
          <w:p w14:paraId="41B9D0FA" w14:textId="77777777" w:rsidR="00D01AB2" w:rsidRPr="00A37BCE" w:rsidRDefault="00D01AB2" w:rsidP="00607829">
            <w:pPr>
              <w:ind w:left="256"/>
              <w:jc w:val="both"/>
              <w:rPr>
                <w:rFonts w:cstheme="minorHAnsi"/>
                <w:color w:val="002060"/>
                <w:sz w:val="18"/>
                <w:szCs w:val="18"/>
                <w:lang w:val="sr-Cyrl-RS"/>
              </w:rPr>
            </w:pPr>
            <w:r w:rsidRPr="00A37BCE">
              <w:rPr>
                <w:rFonts w:cstheme="minorHAnsi"/>
                <w:color w:val="002060"/>
                <w:sz w:val="18"/>
                <w:szCs w:val="18"/>
                <w:lang w:val="sr-Cyrl-RS"/>
              </w:rPr>
              <w:t>Извоз робе и услуга</w:t>
            </w:r>
          </w:p>
        </w:tc>
        <w:tc>
          <w:tcPr>
            <w:tcW w:w="494" w:type="pct"/>
          </w:tcPr>
          <w:p w14:paraId="1092EEC0"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9,2</w:t>
            </w:r>
          </w:p>
        </w:tc>
        <w:tc>
          <w:tcPr>
            <w:tcW w:w="494" w:type="pct"/>
          </w:tcPr>
          <w:p w14:paraId="6FDDECC0" w14:textId="77777777" w:rsidR="00D01AB2" w:rsidRPr="00A37BCE" w:rsidRDefault="00D01AB2" w:rsidP="00607829">
            <w:pPr>
              <w:jc w:val="center"/>
              <w:rPr>
                <w:rFonts w:cstheme="minorHAnsi"/>
                <w:color w:val="002060"/>
                <w:sz w:val="18"/>
                <w:szCs w:val="18"/>
                <w:lang w:val="sr-Cyrl-RS"/>
              </w:rPr>
            </w:pPr>
          </w:p>
        </w:tc>
        <w:tc>
          <w:tcPr>
            <w:tcW w:w="519" w:type="pct"/>
          </w:tcPr>
          <w:p w14:paraId="2FD07A03"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9,5</w:t>
            </w:r>
          </w:p>
        </w:tc>
        <w:tc>
          <w:tcPr>
            <w:tcW w:w="497" w:type="pct"/>
          </w:tcPr>
          <w:p w14:paraId="6BE58D18"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9,5</w:t>
            </w:r>
          </w:p>
        </w:tc>
        <w:tc>
          <w:tcPr>
            <w:tcW w:w="489" w:type="pct"/>
          </w:tcPr>
          <w:p w14:paraId="6062C0E9"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9,2</w:t>
            </w:r>
          </w:p>
        </w:tc>
      </w:tr>
      <w:tr w:rsidR="00D01AB2" w:rsidRPr="00A37BCE" w14:paraId="689CFD1B" w14:textId="77777777" w:rsidTr="00607829">
        <w:tc>
          <w:tcPr>
            <w:tcW w:w="2507" w:type="pct"/>
          </w:tcPr>
          <w:p w14:paraId="6B0AB5FD" w14:textId="68B27323" w:rsidR="00D01AB2" w:rsidRPr="00A37BCE" w:rsidRDefault="00E452E8" w:rsidP="00607829">
            <w:pPr>
              <w:ind w:left="256"/>
              <w:jc w:val="both"/>
              <w:rPr>
                <w:rFonts w:cstheme="minorHAnsi"/>
                <w:color w:val="002060"/>
                <w:sz w:val="18"/>
                <w:szCs w:val="18"/>
                <w:lang w:val="sr-Cyrl-RS"/>
              </w:rPr>
            </w:pPr>
            <w:r w:rsidRPr="00A37BCE">
              <w:rPr>
                <w:rFonts w:cstheme="minorHAnsi"/>
                <w:color w:val="002060"/>
                <w:sz w:val="18"/>
                <w:szCs w:val="18"/>
                <w:lang w:val="sr-Cyrl-RS"/>
              </w:rPr>
              <w:t>Увоз робе и услуга</w:t>
            </w:r>
          </w:p>
        </w:tc>
        <w:tc>
          <w:tcPr>
            <w:tcW w:w="494" w:type="pct"/>
          </w:tcPr>
          <w:p w14:paraId="14F4972F"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9,8</w:t>
            </w:r>
          </w:p>
        </w:tc>
        <w:tc>
          <w:tcPr>
            <w:tcW w:w="494" w:type="pct"/>
          </w:tcPr>
          <w:p w14:paraId="0658ABB0" w14:textId="77777777" w:rsidR="00D01AB2" w:rsidRPr="00A37BCE" w:rsidRDefault="00D01AB2" w:rsidP="00607829">
            <w:pPr>
              <w:jc w:val="center"/>
              <w:rPr>
                <w:rFonts w:cstheme="minorHAnsi"/>
                <w:color w:val="002060"/>
                <w:sz w:val="18"/>
                <w:szCs w:val="18"/>
                <w:lang w:val="sr-Cyrl-RS"/>
              </w:rPr>
            </w:pPr>
          </w:p>
        </w:tc>
        <w:tc>
          <w:tcPr>
            <w:tcW w:w="519" w:type="pct"/>
          </w:tcPr>
          <w:p w14:paraId="12BF289A"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8,2</w:t>
            </w:r>
          </w:p>
        </w:tc>
        <w:tc>
          <w:tcPr>
            <w:tcW w:w="497" w:type="pct"/>
          </w:tcPr>
          <w:p w14:paraId="4A854F1F"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8,0</w:t>
            </w:r>
          </w:p>
        </w:tc>
        <w:tc>
          <w:tcPr>
            <w:tcW w:w="489" w:type="pct"/>
          </w:tcPr>
          <w:p w14:paraId="7739346C"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8,0</w:t>
            </w:r>
          </w:p>
        </w:tc>
      </w:tr>
      <w:tr w:rsidR="00D01AB2" w:rsidRPr="00A37BCE" w14:paraId="07349E99" w14:textId="77777777" w:rsidTr="00607829">
        <w:tc>
          <w:tcPr>
            <w:tcW w:w="2507" w:type="pct"/>
          </w:tcPr>
          <w:p w14:paraId="69A6E7F9" w14:textId="77777777" w:rsidR="00D01AB2" w:rsidRPr="00A37BCE" w:rsidRDefault="00D01AB2" w:rsidP="00607829">
            <w:pPr>
              <w:ind w:left="-15"/>
              <w:jc w:val="both"/>
              <w:rPr>
                <w:rFonts w:cstheme="minorHAnsi"/>
                <w:color w:val="002060"/>
                <w:sz w:val="18"/>
                <w:szCs w:val="18"/>
                <w:lang w:val="sr-Cyrl-RS"/>
              </w:rPr>
            </w:pPr>
            <w:r w:rsidRPr="00A37BCE">
              <w:rPr>
                <w:rFonts w:cstheme="minorHAnsi"/>
                <w:color w:val="002060"/>
                <w:sz w:val="18"/>
                <w:szCs w:val="18"/>
                <w:lang w:val="sr-Cyrl-RS"/>
              </w:rPr>
              <w:t>Салдо робе и услуга, у ЕУР, % БДП</w:t>
            </w:r>
          </w:p>
        </w:tc>
        <w:tc>
          <w:tcPr>
            <w:tcW w:w="494" w:type="pct"/>
          </w:tcPr>
          <w:p w14:paraId="431E1C44" w14:textId="267193B2" w:rsidR="00D01AB2" w:rsidRPr="00A37BCE" w:rsidRDefault="00A153B6" w:rsidP="00607829">
            <w:pPr>
              <w:jc w:val="center"/>
              <w:rPr>
                <w:rFonts w:cstheme="minorHAnsi"/>
                <w:color w:val="002060"/>
                <w:sz w:val="18"/>
                <w:szCs w:val="18"/>
                <w:lang w:val="sr-Cyrl-RS"/>
              </w:rPr>
            </w:pPr>
            <w:r w:rsidRPr="00A37BCE">
              <w:rPr>
                <w:rFonts w:cstheme="minorHAnsi"/>
                <w:color w:val="002060"/>
                <w:sz w:val="18"/>
                <w:szCs w:val="18"/>
                <w:lang w:val="sr-Cyrl-RS"/>
              </w:rPr>
              <w:t>-8,7</w:t>
            </w:r>
          </w:p>
        </w:tc>
        <w:tc>
          <w:tcPr>
            <w:tcW w:w="494" w:type="pct"/>
          </w:tcPr>
          <w:p w14:paraId="752F2A40" w14:textId="77777777" w:rsidR="00D01AB2" w:rsidRPr="00A37BCE" w:rsidRDefault="00D01AB2" w:rsidP="00607829">
            <w:pPr>
              <w:jc w:val="center"/>
              <w:rPr>
                <w:rFonts w:cstheme="minorHAnsi"/>
                <w:color w:val="002060"/>
                <w:sz w:val="18"/>
                <w:szCs w:val="18"/>
                <w:lang w:val="sr-Cyrl-RS"/>
              </w:rPr>
            </w:pPr>
          </w:p>
        </w:tc>
        <w:tc>
          <w:tcPr>
            <w:tcW w:w="519" w:type="pct"/>
          </w:tcPr>
          <w:p w14:paraId="2D74D961"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-8,0</w:t>
            </w:r>
          </w:p>
        </w:tc>
        <w:tc>
          <w:tcPr>
            <w:tcW w:w="497" w:type="pct"/>
          </w:tcPr>
          <w:p w14:paraId="76C42917"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-7,3</w:t>
            </w:r>
          </w:p>
        </w:tc>
        <w:tc>
          <w:tcPr>
            <w:tcW w:w="489" w:type="pct"/>
          </w:tcPr>
          <w:p w14:paraId="5E6942CD"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-6,7</w:t>
            </w:r>
          </w:p>
        </w:tc>
      </w:tr>
      <w:tr w:rsidR="00D01AB2" w:rsidRPr="00A37BCE" w14:paraId="2B7D3135" w14:textId="77777777" w:rsidTr="00607829">
        <w:tc>
          <w:tcPr>
            <w:tcW w:w="2507" w:type="pct"/>
          </w:tcPr>
          <w:p w14:paraId="08B50B2F" w14:textId="77777777" w:rsidR="00D01AB2" w:rsidRPr="00A37BCE" w:rsidRDefault="00D01AB2" w:rsidP="00607829">
            <w:pPr>
              <w:ind w:left="-15"/>
              <w:jc w:val="both"/>
              <w:rPr>
                <w:rFonts w:cstheme="minorHAnsi"/>
                <w:color w:val="002060"/>
                <w:sz w:val="18"/>
                <w:szCs w:val="18"/>
                <w:lang w:val="sr-Cyrl-RS"/>
              </w:rPr>
            </w:pPr>
            <w:r w:rsidRPr="00A37BCE">
              <w:rPr>
                <w:rFonts w:cstheme="minorHAnsi"/>
                <w:color w:val="002060"/>
                <w:sz w:val="18"/>
                <w:szCs w:val="18"/>
                <w:lang w:val="sr-Cyrl-RS"/>
              </w:rPr>
              <w:t>Салдо текућег рачуна, у ЕУР, % БДП</w:t>
            </w:r>
          </w:p>
        </w:tc>
        <w:tc>
          <w:tcPr>
            <w:tcW w:w="494" w:type="pct"/>
          </w:tcPr>
          <w:p w14:paraId="247AB503"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-5,2</w:t>
            </w:r>
          </w:p>
        </w:tc>
        <w:tc>
          <w:tcPr>
            <w:tcW w:w="494" w:type="pct"/>
          </w:tcPr>
          <w:p w14:paraId="127EEAA4" w14:textId="77777777" w:rsidR="00D01AB2" w:rsidRPr="00A37BCE" w:rsidRDefault="00D01AB2" w:rsidP="00607829">
            <w:pPr>
              <w:jc w:val="center"/>
              <w:rPr>
                <w:rFonts w:cstheme="minorHAnsi"/>
                <w:color w:val="002060"/>
                <w:sz w:val="18"/>
                <w:szCs w:val="18"/>
                <w:lang w:val="sr-Cyrl-RS"/>
              </w:rPr>
            </w:pPr>
          </w:p>
        </w:tc>
        <w:tc>
          <w:tcPr>
            <w:tcW w:w="519" w:type="pct"/>
          </w:tcPr>
          <w:p w14:paraId="29FC520C"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-5,0</w:t>
            </w:r>
          </w:p>
        </w:tc>
        <w:tc>
          <w:tcPr>
            <w:tcW w:w="497" w:type="pct"/>
          </w:tcPr>
          <w:p w14:paraId="4FE4603D"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-4,5</w:t>
            </w:r>
          </w:p>
        </w:tc>
        <w:tc>
          <w:tcPr>
            <w:tcW w:w="489" w:type="pct"/>
          </w:tcPr>
          <w:p w14:paraId="074CE1C0"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-4,2</w:t>
            </w:r>
          </w:p>
        </w:tc>
      </w:tr>
      <w:tr w:rsidR="00D01AB2" w:rsidRPr="00A37BCE" w14:paraId="5E18F30D" w14:textId="77777777" w:rsidTr="00607829">
        <w:trPr>
          <w:trHeight w:val="369"/>
        </w:trPr>
        <w:tc>
          <w:tcPr>
            <w:tcW w:w="2507" w:type="pct"/>
            <w:tcBorders>
              <w:bottom w:val="single" w:sz="4" w:space="0" w:color="002060"/>
            </w:tcBorders>
          </w:tcPr>
          <w:p w14:paraId="7CD58967" w14:textId="77777777" w:rsidR="00D01AB2" w:rsidRPr="00A37BCE" w:rsidRDefault="00D01AB2" w:rsidP="00607829">
            <w:pPr>
              <w:jc w:val="both"/>
              <w:rPr>
                <w:rFonts w:cstheme="minorHAnsi"/>
                <w:color w:val="002060"/>
                <w:sz w:val="18"/>
                <w:szCs w:val="18"/>
                <w:lang w:val="sr-Cyrl-RS"/>
              </w:rPr>
            </w:pPr>
            <w:r w:rsidRPr="00A37BCE">
              <w:rPr>
                <w:rFonts w:cstheme="minorHAnsi"/>
                <w:color w:val="002060"/>
                <w:sz w:val="18"/>
                <w:szCs w:val="18"/>
                <w:lang w:val="sr-Cyrl-RS"/>
              </w:rPr>
              <w:t>Инфлација, просек периода, %</w:t>
            </w:r>
          </w:p>
        </w:tc>
        <w:tc>
          <w:tcPr>
            <w:tcW w:w="494" w:type="pct"/>
            <w:tcBorders>
              <w:bottom w:val="single" w:sz="4" w:space="0" w:color="002060"/>
            </w:tcBorders>
          </w:tcPr>
          <w:p w14:paraId="27053BBE"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2,1</w:t>
            </w:r>
          </w:p>
        </w:tc>
        <w:tc>
          <w:tcPr>
            <w:tcW w:w="494" w:type="pct"/>
            <w:tcBorders>
              <w:bottom w:val="single" w:sz="4" w:space="0" w:color="002060"/>
            </w:tcBorders>
          </w:tcPr>
          <w:p w14:paraId="0ED19D4D" w14:textId="77777777" w:rsidR="00D01AB2" w:rsidRPr="00A37BCE" w:rsidRDefault="00D01AB2" w:rsidP="00607829">
            <w:pPr>
              <w:jc w:val="center"/>
              <w:rPr>
                <w:rFonts w:cstheme="minorHAnsi"/>
                <w:color w:val="002060"/>
                <w:sz w:val="18"/>
                <w:szCs w:val="18"/>
                <w:lang w:val="sr-Cyrl-RS"/>
              </w:rPr>
            </w:pPr>
          </w:p>
        </w:tc>
        <w:tc>
          <w:tcPr>
            <w:tcW w:w="519" w:type="pct"/>
            <w:tcBorders>
              <w:bottom w:val="single" w:sz="4" w:space="0" w:color="002060"/>
            </w:tcBorders>
          </w:tcPr>
          <w:p w14:paraId="1A8C4C12"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2,3</w:t>
            </w:r>
          </w:p>
        </w:tc>
        <w:tc>
          <w:tcPr>
            <w:tcW w:w="497" w:type="pct"/>
            <w:tcBorders>
              <w:bottom w:val="single" w:sz="4" w:space="0" w:color="002060"/>
            </w:tcBorders>
          </w:tcPr>
          <w:p w14:paraId="134F11C1"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3,0</w:t>
            </w:r>
          </w:p>
        </w:tc>
        <w:tc>
          <w:tcPr>
            <w:tcW w:w="489" w:type="pct"/>
            <w:tcBorders>
              <w:bottom w:val="single" w:sz="4" w:space="0" w:color="002060"/>
            </w:tcBorders>
          </w:tcPr>
          <w:p w14:paraId="5B68C9F7" w14:textId="77777777" w:rsidR="00D01AB2" w:rsidRPr="00A37BCE" w:rsidRDefault="00D01AB2" w:rsidP="00607829">
            <w:pPr>
              <w:jc w:val="center"/>
              <w:rPr>
                <w:rFonts w:cstheme="minorHAnsi"/>
                <w:color w:val="002060"/>
                <w:sz w:val="18"/>
                <w:szCs w:val="18"/>
                <w:lang w:val="sr-Cyrl-RS"/>
              </w:rPr>
            </w:pPr>
            <w:r w:rsidRPr="00A37BCE">
              <w:rPr>
                <w:rFonts w:cstheme="minorHAnsi"/>
                <w:color w:val="002060"/>
                <w:sz w:val="18"/>
                <w:szCs w:val="18"/>
                <w:lang w:val="sr-Cyrl-RS"/>
              </w:rPr>
              <w:t>3,0</w:t>
            </w:r>
          </w:p>
        </w:tc>
      </w:tr>
      <w:tr w:rsidR="009E765D" w:rsidRPr="00A37BCE" w14:paraId="730223C7" w14:textId="77777777" w:rsidTr="00607829">
        <w:tc>
          <w:tcPr>
            <w:tcW w:w="2507" w:type="pct"/>
            <w:tcBorders>
              <w:top w:val="single" w:sz="4" w:space="0" w:color="002060"/>
            </w:tcBorders>
          </w:tcPr>
          <w:p w14:paraId="7E313041" w14:textId="77777777" w:rsidR="00D01AB2" w:rsidRPr="00A37BCE" w:rsidRDefault="00D01AB2" w:rsidP="00607829">
            <w:pPr>
              <w:jc w:val="both"/>
              <w:rPr>
                <w:rFonts w:cstheme="minorHAnsi"/>
                <w:color w:val="44546A" w:themeColor="text2"/>
                <w:sz w:val="16"/>
                <w:lang w:val="sr-Cyrl-RS"/>
              </w:rPr>
            </w:pPr>
            <w:r w:rsidRPr="00A37BCE">
              <w:rPr>
                <w:rFonts w:cstheme="minorHAnsi"/>
                <w:color w:val="44546A" w:themeColor="text2"/>
                <w:sz w:val="16"/>
                <w:lang w:val="sr-Cyrl-RS"/>
              </w:rPr>
              <w:t>Извор: Министарство финансија</w:t>
            </w:r>
          </w:p>
        </w:tc>
        <w:tc>
          <w:tcPr>
            <w:tcW w:w="494" w:type="pct"/>
            <w:tcBorders>
              <w:top w:val="single" w:sz="4" w:space="0" w:color="002060"/>
            </w:tcBorders>
          </w:tcPr>
          <w:p w14:paraId="40153B74" w14:textId="77777777" w:rsidR="00D01AB2" w:rsidRPr="00A37BCE" w:rsidRDefault="00D01AB2" w:rsidP="00607829">
            <w:pPr>
              <w:jc w:val="both"/>
              <w:rPr>
                <w:rFonts w:cstheme="minorHAnsi"/>
                <w:color w:val="44546A" w:themeColor="text2"/>
                <w:sz w:val="16"/>
                <w:lang w:val="sr-Cyrl-RS"/>
              </w:rPr>
            </w:pPr>
          </w:p>
        </w:tc>
        <w:tc>
          <w:tcPr>
            <w:tcW w:w="494" w:type="pct"/>
            <w:tcBorders>
              <w:top w:val="single" w:sz="4" w:space="0" w:color="002060"/>
            </w:tcBorders>
          </w:tcPr>
          <w:p w14:paraId="0996A524" w14:textId="77777777" w:rsidR="00D01AB2" w:rsidRPr="00A37BCE" w:rsidRDefault="00D01AB2" w:rsidP="00607829">
            <w:pPr>
              <w:jc w:val="both"/>
              <w:rPr>
                <w:rFonts w:cstheme="minorHAnsi"/>
                <w:color w:val="44546A" w:themeColor="text2"/>
                <w:sz w:val="16"/>
                <w:lang w:val="sr-Cyrl-RS"/>
              </w:rPr>
            </w:pPr>
          </w:p>
        </w:tc>
        <w:tc>
          <w:tcPr>
            <w:tcW w:w="519" w:type="pct"/>
            <w:tcBorders>
              <w:top w:val="single" w:sz="4" w:space="0" w:color="002060"/>
            </w:tcBorders>
          </w:tcPr>
          <w:p w14:paraId="7349FAF1" w14:textId="77777777" w:rsidR="00D01AB2" w:rsidRPr="00A37BCE" w:rsidRDefault="00D01AB2" w:rsidP="00607829">
            <w:pPr>
              <w:jc w:val="both"/>
              <w:rPr>
                <w:rFonts w:cstheme="minorHAnsi"/>
                <w:color w:val="44546A" w:themeColor="text2"/>
                <w:sz w:val="16"/>
                <w:lang w:val="sr-Cyrl-RS"/>
              </w:rPr>
            </w:pPr>
          </w:p>
        </w:tc>
        <w:tc>
          <w:tcPr>
            <w:tcW w:w="497" w:type="pct"/>
            <w:tcBorders>
              <w:top w:val="single" w:sz="4" w:space="0" w:color="002060"/>
            </w:tcBorders>
          </w:tcPr>
          <w:p w14:paraId="782CD779" w14:textId="77777777" w:rsidR="00D01AB2" w:rsidRPr="00A37BCE" w:rsidRDefault="00D01AB2" w:rsidP="00607829">
            <w:pPr>
              <w:jc w:val="both"/>
              <w:rPr>
                <w:rFonts w:cstheme="minorHAnsi"/>
                <w:color w:val="44546A" w:themeColor="text2"/>
                <w:sz w:val="16"/>
                <w:lang w:val="sr-Cyrl-RS"/>
              </w:rPr>
            </w:pPr>
          </w:p>
        </w:tc>
        <w:tc>
          <w:tcPr>
            <w:tcW w:w="489" w:type="pct"/>
            <w:tcBorders>
              <w:top w:val="single" w:sz="4" w:space="0" w:color="002060"/>
            </w:tcBorders>
          </w:tcPr>
          <w:p w14:paraId="6B533AC2" w14:textId="77777777" w:rsidR="00D01AB2" w:rsidRPr="00A37BCE" w:rsidRDefault="00D01AB2" w:rsidP="00607829">
            <w:pPr>
              <w:jc w:val="both"/>
              <w:rPr>
                <w:rFonts w:cstheme="minorHAnsi"/>
                <w:color w:val="44546A" w:themeColor="text2"/>
                <w:sz w:val="16"/>
                <w:lang w:val="sr-Cyrl-RS"/>
              </w:rPr>
            </w:pPr>
          </w:p>
        </w:tc>
      </w:tr>
    </w:tbl>
    <w:p w14:paraId="34237A83" w14:textId="77777777" w:rsidR="00D01AB2" w:rsidRPr="00A37BCE" w:rsidRDefault="00D01AB2" w:rsidP="00D01AB2">
      <w:pPr>
        <w:jc w:val="center"/>
        <w:rPr>
          <w:rFonts w:cstheme="minorHAnsi"/>
          <w:b/>
          <w:color w:val="2F5496" w:themeColor="accent1" w:themeShade="BF"/>
          <w:sz w:val="16"/>
          <w:lang w:val="sr-Cyrl-RS"/>
        </w:rPr>
        <w:sectPr w:rsidR="00D01AB2" w:rsidRPr="00A37BCE" w:rsidSect="00AB121A">
          <w:type w:val="continuous"/>
          <w:pgSz w:w="12240" w:h="15840"/>
          <w:pgMar w:top="1440" w:right="1440" w:bottom="1440" w:left="1440" w:header="720" w:footer="720" w:gutter="0"/>
          <w:cols w:space="720"/>
          <w:docGrid w:linePitch="360"/>
        </w:sectPr>
      </w:pPr>
    </w:p>
    <w:p w14:paraId="1026669E" w14:textId="77777777" w:rsidR="00261423" w:rsidRDefault="00261423" w:rsidP="00D01AB2">
      <w:pPr>
        <w:jc w:val="both"/>
        <w:rPr>
          <w:rFonts w:cstheme="minorHAnsi"/>
          <w:bCs/>
          <w:color w:val="44546A" w:themeColor="text2"/>
          <w:sz w:val="20"/>
          <w:szCs w:val="72"/>
          <w:lang w:val="sr-Cyrl-RS"/>
        </w:rPr>
      </w:pPr>
    </w:p>
    <w:p w14:paraId="70C2A5BA" w14:textId="3637A7A0" w:rsidR="00F92A0F" w:rsidRPr="00A37BCE" w:rsidRDefault="00F72984" w:rsidP="00D01AB2">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За 2019. годину пројектован је реални раст привредне активности од 3,5%. Нешто нижа стопа од овогодишње највећим делом има разлоге у изузетно високо</w:t>
      </w:r>
      <w:r w:rsidR="0065552D">
        <w:rPr>
          <w:rFonts w:cstheme="minorHAnsi"/>
          <w:bCs/>
          <w:color w:val="44546A" w:themeColor="text2"/>
          <w:sz w:val="20"/>
          <w:szCs w:val="72"/>
          <w:lang w:val="sr-Cyrl-RS"/>
        </w:rPr>
        <w:t>ј</w:t>
      </w:r>
      <w:r w:rsidRPr="00A37BCE">
        <w:rPr>
          <w:rFonts w:cstheme="minorHAnsi"/>
          <w:bCs/>
          <w:color w:val="44546A" w:themeColor="text2"/>
          <w:sz w:val="20"/>
          <w:szCs w:val="72"/>
          <w:lang w:val="sr-Cyrl-RS"/>
        </w:rPr>
        <w:t xml:space="preserve"> референтној бази пољопривреде</w:t>
      </w:r>
      <w:r w:rsidR="0065552D">
        <w:rPr>
          <w:rFonts w:cstheme="minorHAnsi"/>
          <w:bCs/>
          <w:color w:val="44546A" w:themeColor="text2"/>
          <w:sz w:val="20"/>
          <w:szCs w:val="72"/>
          <w:lang w:val="sr-Cyrl-RS"/>
        </w:rPr>
        <w:t>,</w:t>
      </w:r>
      <w:r w:rsidRPr="00A37BCE">
        <w:rPr>
          <w:rFonts w:cstheme="minorHAnsi"/>
          <w:bCs/>
          <w:color w:val="44546A" w:themeColor="text2"/>
          <w:sz w:val="20"/>
          <w:szCs w:val="72"/>
          <w:lang w:val="sr-Cyrl-RS"/>
        </w:rPr>
        <w:t xml:space="preserve"> која је постављена рекордном производњом у 2018. години. Тиме се од овог сектора очекује благ негативан допринос расту, услед међугодишњег пада који на бази вишегодишњих просека пројектујемо на -6,6%. Остали производни сектори ће у 2019. години остварити повећање креиране БДВ. Услужни сектор ће задржати улогу доминантног носиоца раста са реалном стопом повећања од 3,7%. Укупна индустрија ће убрзати и са растом од 4,7% такође значајно допринети расту. Оваквим кретањима услужног и индустријског сектора биће опредељено око четири петине стопе привредног раста. Убрзање грађевинске активности за 8,8% такође ће дати подршку расту. Очекујемо снажније извођење приватних грађевинских </w:t>
      </w:r>
      <w:r w:rsidRPr="00A37BCE">
        <w:rPr>
          <w:rFonts w:cstheme="minorHAnsi"/>
          <w:bCs/>
          <w:color w:val="44546A" w:themeColor="text2"/>
          <w:sz w:val="20"/>
          <w:szCs w:val="72"/>
          <w:lang w:val="sr-Cyrl-RS"/>
        </w:rPr>
        <w:lastRenderedPageBreak/>
        <w:t>радова уз наставак повећања ефикасности реализације јавних пројеката.</w:t>
      </w:r>
    </w:p>
    <w:p w14:paraId="6163C0AA" w14:textId="7D8DD98A" w:rsidR="00B81A62" w:rsidRPr="00A37BCE" w:rsidRDefault="00B81A62" w:rsidP="00B81A62">
      <w:pPr>
        <w:pStyle w:val="Caption"/>
        <w:keepNext/>
        <w:jc w:val="center"/>
        <w:rPr>
          <w:rFonts w:cstheme="minorHAnsi"/>
          <w:b/>
          <w:i w:val="0"/>
          <w:iCs w:val="0"/>
          <w:color w:val="002060"/>
          <w:sz w:val="20"/>
          <w:szCs w:val="22"/>
          <w:lang w:val="sr-Cyrl-RS"/>
        </w:rPr>
      </w:pPr>
      <w:r w:rsidRPr="00A37BCE">
        <w:rPr>
          <w:rFonts w:cstheme="minorHAnsi"/>
          <w:b/>
          <w:i w:val="0"/>
          <w:iCs w:val="0"/>
          <w:color w:val="002060"/>
          <w:sz w:val="20"/>
          <w:szCs w:val="22"/>
          <w:lang w:val="sr-Cyrl-RS"/>
        </w:rPr>
        <w:t xml:space="preserve">Доприноси стопи реалног раста БДП, производни приступ, </w:t>
      </w:r>
      <w:r w:rsidR="005D635E">
        <w:rPr>
          <w:rFonts w:cstheme="minorHAnsi"/>
          <w:b/>
          <w:i w:val="0"/>
          <w:iCs w:val="0"/>
          <w:color w:val="002060"/>
          <w:sz w:val="20"/>
          <w:szCs w:val="22"/>
          <w:lang w:val="sr-Cyrl-RS"/>
        </w:rPr>
        <w:t>п. п.</w:t>
      </w:r>
    </w:p>
    <w:p w14:paraId="034E786B" w14:textId="171997A0" w:rsidR="00B81A62" w:rsidRPr="00FF68AE" w:rsidRDefault="00FF68AE" w:rsidP="00D01AB2">
      <w:pPr>
        <w:jc w:val="both"/>
        <w:rPr>
          <w:rFonts w:cstheme="minorHAnsi"/>
          <w:bCs/>
          <w:color w:val="44546A" w:themeColor="text2"/>
          <w:sz w:val="20"/>
          <w:szCs w:val="72"/>
          <w:lang w:val="sr-Cyrl-RS"/>
        </w:rPr>
      </w:pPr>
      <w:r>
        <w:rPr>
          <w:rFonts w:cstheme="minorHAnsi"/>
          <w:bCs/>
          <w:noProof/>
          <w:color w:val="FF0000"/>
          <w:sz w:val="20"/>
          <w:szCs w:val="72"/>
        </w:rPr>
        <w:drawing>
          <wp:inline distT="0" distB="0" distL="0" distR="0" wp14:anchorId="4BDA88D3" wp14:editId="571EED56">
            <wp:extent cx="2743200" cy="18319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oprinosi BDP SRB proizvodni-01.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743838" cy="1832401"/>
                    </a:xfrm>
                    <a:prstGeom prst="rect">
                      <a:avLst/>
                    </a:prstGeom>
                  </pic:spPr>
                </pic:pic>
              </a:graphicData>
            </a:graphic>
          </wp:inline>
        </w:drawing>
      </w:r>
    </w:p>
    <w:p w14:paraId="6CE354DE" w14:textId="77777777" w:rsidR="00D66705" w:rsidRPr="00A37BCE" w:rsidRDefault="00B81A62" w:rsidP="00D01AB2">
      <w:pPr>
        <w:jc w:val="both"/>
        <w:rPr>
          <w:rFonts w:cstheme="minorHAnsi"/>
          <w:bCs/>
          <w:color w:val="44546A" w:themeColor="text2"/>
          <w:sz w:val="16"/>
          <w:szCs w:val="72"/>
          <w:lang w:val="sr-Cyrl-RS"/>
        </w:rPr>
      </w:pPr>
      <w:r w:rsidRPr="00A37BCE">
        <w:rPr>
          <w:rFonts w:cstheme="minorHAnsi"/>
          <w:bCs/>
          <w:color w:val="44546A" w:themeColor="text2"/>
          <w:sz w:val="16"/>
          <w:szCs w:val="72"/>
          <w:lang w:val="sr-Cyrl-RS"/>
        </w:rPr>
        <w:t>Извор: Министарство финансија</w:t>
      </w:r>
    </w:p>
    <w:p w14:paraId="0C78B33D" w14:textId="01946E48" w:rsidR="00D66705" w:rsidRPr="00A37BCE" w:rsidRDefault="001F72DE" w:rsidP="00D01AB2">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 xml:space="preserve">Посматрано са расходне стране, очекује се наставак позитивног утицаја раста запослености и повољних услова задуживања на приватну </w:t>
      </w:r>
      <w:r w:rsidRPr="00A37BCE">
        <w:rPr>
          <w:rFonts w:cstheme="minorHAnsi"/>
          <w:bCs/>
          <w:color w:val="44546A" w:themeColor="text2"/>
          <w:sz w:val="20"/>
          <w:szCs w:val="72"/>
          <w:lang w:val="sr-Cyrl-RS"/>
        </w:rPr>
        <w:lastRenderedPageBreak/>
        <w:t xml:space="preserve">потрошњу. Подстакнута и мерама фискалне релаксације ова компонента ће остварити раст од 3,1% и у складу са својим доминантним учешћем у структури БДП дати најзначајнији допринос расту. Треба имати у виду да је раст потрошње базиран на здравим изворима, нижи је од реалног раста БДП </w:t>
      </w:r>
      <w:r w:rsidR="0051621D" w:rsidRPr="00A37BCE">
        <w:rPr>
          <w:rFonts w:cstheme="minorHAnsi"/>
          <w:bCs/>
          <w:color w:val="44546A" w:themeColor="text2"/>
          <w:sz w:val="20"/>
          <w:szCs w:val="72"/>
          <w:lang w:val="sr-Cyrl-RS"/>
        </w:rPr>
        <w:t>и неће генерисати унутрашње и с</w:t>
      </w:r>
      <w:r w:rsidRPr="00A37BCE">
        <w:rPr>
          <w:rFonts w:cstheme="minorHAnsi"/>
          <w:bCs/>
          <w:color w:val="44546A" w:themeColor="text2"/>
          <w:sz w:val="20"/>
          <w:szCs w:val="72"/>
          <w:lang w:val="sr-Cyrl-RS"/>
        </w:rPr>
        <w:t>пољне неравнотеже. У 2019. години инвестиције ће бити веће за 5,6%. Инвестиције ће бити друга по значају компонента у погледу позитивног доприноса расту, што је веома важно са становишта његове одрживости. Дивер</w:t>
      </w:r>
      <w:r w:rsidR="00E74834">
        <w:rPr>
          <w:rFonts w:cstheme="minorHAnsi"/>
          <w:bCs/>
          <w:color w:val="44546A" w:themeColor="text2"/>
          <w:sz w:val="20"/>
          <w:szCs w:val="72"/>
          <w:lang w:val="sr-Cyrl-RS"/>
        </w:rPr>
        <w:t>с</w:t>
      </w:r>
      <w:r w:rsidRPr="00A37BCE">
        <w:rPr>
          <w:rFonts w:cstheme="minorHAnsi"/>
          <w:bCs/>
          <w:color w:val="44546A" w:themeColor="text2"/>
          <w:sz w:val="20"/>
          <w:szCs w:val="72"/>
          <w:lang w:val="sr-Cyrl-RS"/>
        </w:rPr>
        <w:t>ификација СДИ по индустријским и услужним делатностима, подржана значајно већом производњом сектора пољопривреде у 2018. години, резултираће бржим растом извоза (9,5%) од раста увоза (8,2%). Оваква кретања ће резултирати благо позитивним доприносом нето извоза расту БДП, што ће уз побољшане односе размене довести до смањења дефицита текућег рачуна платног биланса на 5,0% БДП. Министарс</w:t>
      </w:r>
      <w:r w:rsidR="00926217" w:rsidRPr="00A37BCE">
        <w:rPr>
          <w:rFonts w:cstheme="minorHAnsi"/>
          <w:bCs/>
          <w:color w:val="44546A" w:themeColor="text2"/>
          <w:sz w:val="20"/>
          <w:szCs w:val="72"/>
          <w:lang w:val="sr-Cyrl-RS"/>
        </w:rPr>
        <w:t>тво финансија задржава конзерва</w:t>
      </w:r>
      <w:r w:rsidRPr="00A37BCE">
        <w:rPr>
          <w:rFonts w:cstheme="minorHAnsi"/>
          <w:bCs/>
          <w:color w:val="44546A" w:themeColor="text2"/>
          <w:sz w:val="20"/>
          <w:szCs w:val="72"/>
          <w:lang w:val="sr-Cyrl-RS"/>
        </w:rPr>
        <w:t>тиван приступ при пројектовању средњорочних макроекономских кретања, првенствено због турбулентних дешавања на међународном тржишту роба и капитала, као и због волатилне природе кретања пољопривредне производње. Привредни раст и добар фискални резултат, са успостављеном фиск</w:t>
      </w:r>
      <w:r w:rsidR="0051621D" w:rsidRPr="00A37BCE">
        <w:rPr>
          <w:rFonts w:cstheme="minorHAnsi"/>
          <w:bCs/>
          <w:color w:val="44546A" w:themeColor="text2"/>
          <w:sz w:val="20"/>
          <w:szCs w:val="72"/>
          <w:lang w:val="sr-Cyrl-RS"/>
        </w:rPr>
        <w:t>а</w:t>
      </w:r>
      <w:r w:rsidRPr="00A37BCE">
        <w:rPr>
          <w:rFonts w:cstheme="minorHAnsi"/>
          <w:bCs/>
          <w:color w:val="44546A" w:themeColor="text2"/>
          <w:sz w:val="20"/>
          <w:szCs w:val="72"/>
          <w:lang w:val="sr-Cyrl-RS"/>
        </w:rPr>
        <w:t xml:space="preserve">лном дисциплином и значајно ојачаним кредибилитетом државе </w:t>
      </w:r>
      <w:r w:rsidR="00E74834">
        <w:rPr>
          <w:rFonts w:cstheme="minorHAnsi"/>
          <w:bCs/>
          <w:color w:val="44546A" w:themeColor="text2"/>
          <w:sz w:val="20"/>
          <w:szCs w:val="72"/>
          <w:lang w:val="sr-Cyrl-RS"/>
        </w:rPr>
        <w:t xml:space="preserve">Републике </w:t>
      </w:r>
      <w:r w:rsidRPr="00A37BCE">
        <w:rPr>
          <w:rFonts w:cstheme="minorHAnsi"/>
          <w:bCs/>
          <w:color w:val="44546A" w:themeColor="text2"/>
          <w:sz w:val="20"/>
          <w:szCs w:val="72"/>
          <w:lang w:val="sr-Cyrl-RS"/>
        </w:rPr>
        <w:t xml:space="preserve">Србије код инвеститора, уз повољније услове задуживања на међународном финансијском тржишту, обезбедиће наставак убрзаног темпа смањења учешћа спољног и јавног дуга у БДП. Очекује се да ће </w:t>
      </w:r>
      <w:r w:rsidR="00BE35CA">
        <w:rPr>
          <w:rFonts w:cstheme="minorHAnsi"/>
          <w:bCs/>
          <w:color w:val="44546A" w:themeColor="text2"/>
          <w:sz w:val="20"/>
          <w:szCs w:val="72"/>
          <w:lang w:val="sr-Cyrl-RS"/>
        </w:rPr>
        <w:t xml:space="preserve">општи ниво </w:t>
      </w:r>
      <w:r w:rsidRPr="00A37BCE">
        <w:rPr>
          <w:rFonts w:cstheme="minorHAnsi"/>
          <w:bCs/>
          <w:color w:val="44546A" w:themeColor="text2"/>
          <w:sz w:val="20"/>
          <w:szCs w:val="72"/>
          <w:lang w:val="sr-Cyrl-RS"/>
        </w:rPr>
        <w:t>јавн</w:t>
      </w:r>
      <w:r w:rsidR="00BE35CA">
        <w:rPr>
          <w:rFonts w:cstheme="minorHAnsi"/>
          <w:bCs/>
          <w:color w:val="44546A" w:themeColor="text2"/>
          <w:sz w:val="20"/>
          <w:szCs w:val="72"/>
          <w:lang w:val="sr-Cyrl-RS"/>
        </w:rPr>
        <w:t>ог</w:t>
      </w:r>
      <w:r w:rsidRPr="00A37BCE">
        <w:rPr>
          <w:rFonts w:cstheme="minorHAnsi"/>
          <w:bCs/>
          <w:color w:val="44546A" w:themeColor="text2"/>
          <w:sz w:val="20"/>
          <w:szCs w:val="72"/>
          <w:lang w:val="sr-Cyrl-RS"/>
        </w:rPr>
        <w:t xml:space="preserve"> дуг</w:t>
      </w:r>
      <w:r w:rsidR="00BE35CA">
        <w:rPr>
          <w:rFonts w:cstheme="minorHAnsi"/>
          <w:bCs/>
          <w:color w:val="44546A" w:themeColor="text2"/>
          <w:sz w:val="20"/>
          <w:szCs w:val="72"/>
          <w:lang w:val="sr-Cyrl-RS"/>
        </w:rPr>
        <w:t>а</w:t>
      </w:r>
      <w:r w:rsidRPr="00A37BCE">
        <w:rPr>
          <w:rFonts w:cstheme="minorHAnsi"/>
          <w:bCs/>
          <w:color w:val="44546A" w:themeColor="text2"/>
          <w:sz w:val="20"/>
          <w:szCs w:val="72"/>
          <w:lang w:val="sr-Cyrl-RS"/>
        </w:rPr>
        <w:t xml:space="preserve"> Републике Србије на крају 2019. године износити око 52% БДП.</w:t>
      </w:r>
    </w:p>
    <w:p w14:paraId="17CE23F7" w14:textId="58FD97ED" w:rsidR="00D66705" w:rsidRPr="00A37BCE" w:rsidRDefault="00D66705" w:rsidP="00E22C5F">
      <w:pPr>
        <w:pStyle w:val="Caption"/>
        <w:keepNext/>
        <w:jc w:val="center"/>
        <w:rPr>
          <w:rFonts w:cstheme="minorHAnsi"/>
          <w:b/>
          <w:i w:val="0"/>
          <w:iCs w:val="0"/>
          <w:color w:val="002060"/>
          <w:sz w:val="20"/>
          <w:szCs w:val="22"/>
          <w:lang w:val="sr-Cyrl-RS"/>
        </w:rPr>
      </w:pPr>
      <w:r w:rsidRPr="00A37BCE">
        <w:rPr>
          <w:rFonts w:cstheme="minorHAnsi"/>
          <w:b/>
          <w:i w:val="0"/>
          <w:iCs w:val="0"/>
          <w:color w:val="002060"/>
          <w:sz w:val="20"/>
          <w:szCs w:val="22"/>
          <w:lang w:val="sr-Cyrl-RS"/>
        </w:rPr>
        <w:lastRenderedPageBreak/>
        <w:t xml:space="preserve">Доприноси стопи реалног раста БДП, </w:t>
      </w:r>
      <w:r w:rsidR="00E22C5F" w:rsidRPr="00A37BCE">
        <w:rPr>
          <w:rFonts w:cstheme="minorHAnsi"/>
          <w:b/>
          <w:i w:val="0"/>
          <w:iCs w:val="0"/>
          <w:color w:val="002060"/>
          <w:sz w:val="20"/>
          <w:szCs w:val="22"/>
          <w:lang w:val="sr-Cyrl-RS"/>
        </w:rPr>
        <w:br/>
      </w:r>
      <w:r w:rsidRPr="00A37BCE">
        <w:rPr>
          <w:rFonts w:cstheme="minorHAnsi"/>
          <w:b/>
          <w:i w:val="0"/>
          <w:iCs w:val="0"/>
          <w:color w:val="002060"/>
          <w:sz w:val="20"/>
          <w:szCs w:val="22"/>
          <w:lang w:val="sr-Cyrl-RS"/>
        </w:rPr>
        <w:t xml:space="preserve">расходни приступ, </w:t>
      </w:r>
      <w:r w:rsidR="005D635E">
        <w:rPr>
          <w:rFonts w:cstheme="minorHAnsi"/>
          <w:b/>
          <w:i w:val="0"/>
          <w:iCs w:val="0"/>
          <w:color w:val="002060"/>
          <w:sz w:val="20"/>
          <w:szCs w:val="22"/>
          <w:lang w:val="sr-Cyrl-RS"/>
        </w:rPr>
        <w:t>п. п.</w:t>
      </w:r>
    </w:p>
    <w:p w14:paraId="66DC2E85" w14:textId="2D977391" w:rsidR="00D66705" w:rsidRPr="00A37BCE" w:rsidRDefault="00D66705" w:rsidP="00D01AB2">
      <w:pPr>
        <w:jc w:val="both"/>
        <w:rPr>
          <w:rFonts w:cstheme="minorHAnsi"/>
          <w:bCs/>
          <w:color w:val="44546A" w:themeColor="text2"/>
          <w:sz w:val="20"/>
          <w:szCs w:val="72"/>
          <w:lang w:val="sr-Cyrl-RS"/>
        </w:rPr>
      </w:pPr>
      <w:r w:rsidRPr="00A37BCE">
        <w:rPr>
          <w:rFonts w:cstheme="minorHAnsi"/>
          <w:bCs/>
          <w:noProof/>
          <w:color w:val="44546A" w:themeColor="text2"/>
          <w:sz w:val="20"/>
          <w:szCs w:val="72"/>
        </w:rPr>
        <w:drawing>
          <wp:inline distT="0" distB="0" distL="0" distR="0" wp14:anchorId="6F5008FA" wp14:editId="6DB58EAC">
            <wp:extent cx="2743200" cy="2052320"/>
            <wp:effectExtent l="0" t="0" r="0" b="508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Doprinosi BDP SRB rashodni-01.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743200" cy="2052320"/>
                    </a:xfrm>
                    <a:prstGeom prst="rect">
                      <a:avLst/>
                    </a:prstGeom>
                  </pic:spPr>
                </pic:pic>
              </a:graphicData>
            </a:graphic>
          </wp:inline>
        </w:drawing>
      </w:r>
      <w:r w:rsidRPr="00A37BCE">
        <w:rPr>
          <w:rFonts w:cstheme="minorHAnsi"/>
          <w:bCs/>
          <w:color w:val="44546A" w:themeColor="text2"/>
          <w:sz w:val="16"/>
          <w:szCs w:val="72"/>
          <w:lang w:val="sr-Cyrl-RS"/>
        </w:rPr>
        <w:t>Извор: Министарство финансија</w:t>
      </w:r>
    </w:p>
    <w:p w14:paraId="409EE46B" w14:textId="3657647F" w:rsidR="00D01AB2" w:rsidRPr="00A37BCE" w:rsidRDefault="001F72DE" w:rsidP="00D01AB2">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Према средњорочној макроекономској пројекцији кумулативна стопа раста у периоду 2019</w:t>
      </w:r>
      <w:r w:rsidR="002E4A8C" w:rsidRPr="00A37BCE">
        <w:rPr>
          <w:rFonts w:cstheme="minorHAnsi"/>
          <w:bCs/>
          <w:color w:val="44546A" w:themeColor="text2"/>
          <w:sz w:val="20"/>
          <w:szCs w:val="72"/>
          <w:lang w:val="sr-Cyrl-RS"/>
        </w:rPr>
        <w:t>–</w:t>
      </w:r>
      <w:r w:rsidRPr="00A37BCE">
        <w:rPr>
          <w:rFonts w:cstheme="minorHAnsi"/>
          <w:bCs/>
          <w:color w:val="44546A" w:themeColor="text2"/>
          <w:sz w:val="20"/>
          <w:szCs w:val="72"/>
          <w:lang w:val="sr-Cyrl-RS"/>
        </w:rPr>
        <w:t>2021. годин</w:t>
      </w:r>
      <w:r w:rsidR="00230F86">
        <w:rPr>
          <w:rFonts w:cstheme="minorHAnsi"/>
          <w:bCs/>
          <w:color w:val="44546A" w:themeColor="text2"/>
          <w:sz w:val="20"/>
          <w:szCs w:val="72"/>
          <w:lang w:val="sr-Cyrl-RS"/>
        </w:rPr>
        <w:t>е</w:t>
      </w:r>
      <w:r w:rsidRPr="00A37BCE">
        <w:rPr>
          <w:rFonts w:cstheme="minorHAnsi"/>
          <w:bCs/>
          <w:color w:val="44546A" w:themeColor="text2"/>
          <w:sz w:val="20"/>
          <w:szCs w:val="72"/>
          <w:lang w:val="sr-Cyrl-RS"/>
        </w:rPr>
        <w:t xml:space="preserve"> износиће 11,9% и биће опредељена растом домаће тражње. Овај извор раста је детерминисан како истрајним растом инвестиција тако и растом личне потрошње. Просечно годишње српска привреда</w:t>
      </w:r>
      <w:r w:rsidR="001D3A04" w:rsidRPr="00A37BCE">
        <w:rPr>
          <w:rFonts w:cstheme="minorHAnsi"/>
          <w:bCs/>
          <w:color w:val="44546A" w:themeColor="text2"/>
          <w:sz w:val="20"/>
          <w:szCs w:val="72"/>
          <w:lang w:val="sr-Cyrl-RS"/>
        </w:rPr>
        <w:t xml:space="preserve"> ће</w:t>
      </w:r>
      <w:r w:rsidRPr="00A37BCE">
        <w:rPr>
          <w:rFonts w:cstheme="minorHAnsi"/>
          <w:bCs/>
          <w:color w:val="44546A" w:themeColor="text2"/>
          <w:sz w:val="20"/>
          <w:szCs w:val="72"/>
          <w:lang w:val="sr-Cyrl-RS"/>
        </w:rPr>
        <w:t xml:space="preserve"> расти по стопи од 3,8%. Парале</w:t>
      </w:r>
      <w:r w:rsidR="0051621D" w:rsidRPr="00A37BCE">
        <w:rPr>
          <w:rFonts w:cstheme="minorHAnsi"/>
          <w:bCs/>
          <w:color w:val="44546A" w:themeColor="text2"/>
          <w:sz w:val="20"/>
          <w:szCs w:val="72"/>
          <w:lang w:val="sr-Cyrl-RS"/>
        </w:rPr>
        <w:t>л</w:t>
      </w:r>
      <w:r w:rsidRPr="00A37BCE">
        <w:rPr>
          <w:rFonts w:cstheme="minorHAnsi"/>
          <w:bCs/>
          <w:color w:val="44546A" w:themeColor="text2"/>
          <w:sz w:val="20"/>
          <w:szCs w:val="72"/>
          <w:lang w:val="sr-Cyrl-RS"/>
        </w:rPr>
        <w:t>но ће се смањивати јавни дуг, интензивирати реформски процеси у јавним предузећима и инсистирати на фискалној дисциплини. Повећање пр</w:t>
      </w:r>
      <w:r w:rsidR="0051621D" w:rsidRPr="00A37BCE">
        <w:rPr>
          <w:rFonts w:cstheme="minorHAnsi"/>
          <w:bCs/>
          <w:color w:val="44546A" w:themeColor="text2"/>
          <w:sz w:val="20"/>
          <w:szCs w:val="72"/>
          <w:lang w:val="sr-Cyrl-RS"/>
        </w:rPr>
        <w:t>и</w:t>
      </w:r>
      <w:r w:rsidRPr="00A37BCE">
        <w:rPr>
          <w:rFonts w:cstheme="minorHAnsi"/>
          <w:bCs/>
          <w:color w:val="44546A" w:themeColor="text2"/>
          <w:sz w:val="20"/>
          <w:szCs w:val="72"/>
          <w:lang w:val="sr-Cyrl-RS"/>
        </w:rPr>
        <w:t>ватне потрошње пројектовано је по нижој стопи од убрзања привредне активности и у просеку износи 3,2%. Ово повећање у себи не садржи нарушавајуће елементе успостављеним равнотежама. Засновано је на здравим изворима, пре свега на повећању запослености али и повољном утицају ценовних и кредитних к</w:t>
      </w:r>
      <w:r w:rsidR="00972218" w:rsidRPr="00A37BCE">
        <w:rPr>
          <w:rFonts w:cstheme="minorHAnsi"/>
          <w:bCs/>
          <w:color w:val="44546A" w:themeColor="text2"/>
          <w:sz w:val="20"/>
          <w:szCs w:val="72"/>
          <w:lang w:val="sr-Cyrl-RS"/>
        </w:rPr>
        <w:t xml:space="preserve">ретања на расположиви доходак. </w:t>
      </w:r>
      <w:r w:rsidRPr="00A37BCE">
        <w:rPr>
          <w:rFonts w:cstheme="minorHAnsi"/>
          <w:bCs/>
          <w:color w:val="44546A" w:themeColor="text2"/>
          <w:sz w:val="20"/>
          <w:szCs w:val="72"/>
          <w:lang w:val="sr-Cyrl-RS"/>
        </w:rPr>
        <w:t xml:space="preserve">Очекује се стабилан раст инвестиција у просеку од око 6% годишње, што ће постепено подизати њихово учешће у структури БДП. Просечан годишњи раст извоза биће 9,4% и бржи је од очекиваног раста увоза за 8,1%. Оваква динамика спољнотрговинских токова побољшаће </w:t>
      </w:r>
      <w:r w:rsidR="00E60CC1" w:rsidRPr="00A37BCE">
        <w:rPr>
          <w:rFonts w:cstheme="minorHAnsi"/>
          <w:bCs/>
          <w:color w:val="44546A" w:themeColor="text2"/>
          <w:sz w:val="20"/>
          <w:szCs w:val="72"/>
          <w:lang w:val="sr-Cyrl-RS"/>
        </w:rPr>
        <w:t xml:space="preserve">салдо </w:t>
      </w:r>
      <w:r w:rsidRPr="00A37BCE">
        <w:rPr>
          <w:rFonts w:cstheme="minorHAnsi"/>
          <w:bCs/>
          <w:color w:val="44546A" w:themeColor="text2"/>
          <w:sz w:val="20"/>
          <w:szCs w:val="72"/>
          <w:lang w:val="sr-Cyrl-RS"/>
        </w:rPr>
        <w:t xml:space="preserve">текућег рачуна платног биланса и обезбедити позитиван утицај нето извоза на стопу привредног раста у средњем року. Очекивања су базирана на </w:t>
      </w:r>
      <w:r w:rsidR="0051621D" w:rsidRPr="00A37BCE">
        <w:rPr>
          <w:rFonts w:cstheme="minorHAnsi"/>
          <w:bCs/>
          <w:color w:val="44546A" w:themeColor="text2"/>
          <w:sz w:val="20"/>
          <w:szCs w:val="72"/>
          <w:lang w:val="sr-Cyrl-RS"/>
        </w:rPr>
        <w:t>чињеници да је досадашњи прилив</w:t>
      </w:r>
      <w:r w:rsidRPr="00A37BCE">
        <w:rPr>
          <w:rFonts w:cstheme="minorHAnsi"/>
          <w:bCs/>
          <w:color w:val="44546A" w:themeColor="text2"/>
          <w:sz w:val="20"/>
          <w:szCs w:val="72"/>
          <w:lang w:val="sr-Cyrl-RS"/>
        </w:rPr>
        <w:t xml:space="preserve"> СДИ био дивер</w:t>
      </w:r>
      <w:r w:rsidR="00BD46B9">
        <w:rPr>
          <w:rFonts w:cstheme="minorHAnsi"/>
          <w:bCs/>
          <w:color w:val="44546A" w:themeColor="text2"/>
          <w:sz w:val="20"/>
          <w:szCs w:val="72"/>
          <w:lang w:val="sr-Cyrl-RS"/>
        </w:rPr>
        <w:t>с</w:t>
      </w:r>
      <w:r w:rsidRPr="00A37BCE">
        <w:rPr>
          <w:rFonts w:cstheme="minorHAnsi"/>
          <w:bCs/>
          <w:color w:val="44546A" w:themeColor="text2"/>
          <w:sz w:val="20"/>
          <w:szCs w:val="72"/>
          <w:lang w:val="sr-Cyrl-RS"/>
        </w:rPr>
        <w:t>ификован и већим делом усмерен на делатности које производе разме</w:t>
      </w:r>
      <w:r w:rsidR="000D5A02" w:rsidRPr="00A37BCE">
        <w:rPr>
          <w:rFonts w:cstheme="minorHAnsi"/>
          <w:bCs/>
          <w:color w:val="44546A" w:themeColor="text2"/>
          <w:sz w:val="20"/>
          <w:szCs w:val="72"/>
          <w:lang w:val="sr-Cyrl-RS"/>
        </w:rPr>
        <w:t>њ</w:t>
      </w:r>
      <w:r w:rsidR="00972218" w:rsidRPr="00A37BCE">
        <w:rPr>
          <w:rFonts w:cstheme="minorHAnsi"/>
          <w:bCs/>
          <w:color w:val="44546A" w:themeColor="text2"/>
          <w:sz w:val="20"/>
          <w:szCs w:val="72"/>
          <w:lang w:val="sr-Cyrl-RS"/>
        </w:rPr>
        <w:t xml:space="preserve">ива добра. Такође, побољшању </w:t>
      </w:r>
      <w:r w:rsidRPr="00A37BCE">
        <w:rPr>
          <w:rFonts w:cstheme="minorHAnsi"/>
          <w:bCs/>
          <w:color w:val="44546A" w:themeColor="text2"/>
          <w:sz w:val="20"/>
          <w:szCs w:val="72"/>
          <w:lang w:val="sr-Cyrl-RS"/>
        </w:rPr>
        <w:t xml:space="preserve">дефицита текућег рачуна би требао да допринесе и све значајнији раст извоза </w:t>
      </w:r>
      <w:r w:rsidRPr="00A37BCE">
        <w:rPr>
          <w:rFonts w:cstheme="minorHAnsi"/>
          <w:bCs/>
          <w:color w:val="44546A" w:themeColor="text2"/>
          <w:sz w:val="20"/>
          <w:szCs w:val="72"/>
          <w:lang w:val="sr-Cyrl-RS"/>
        </w:rPr>
        <w:lastRenderedPageBreak/>
        <w:t xml:space="preserve">услуга. </w:t>
      </w:r>
      <w:r w:rsidR="00E74834">
        <w:rPr>
          <w:rFonts w:cstheme="minorHAnsi"/>
          <w:bCs/>
          <w:color w:val="44546A" w:themeColor="text2"/>
          <w:sz w:val="20"/>
          <w:szCs w:val="72"/>
          <w:lang w:val="sr-Cyrl-RS"/>
        </w:rPr>
        <w:t xml:space="preserve">Република </w:t>
      </w:r>
      <w:r w:rsidRPr="00A37BCE">
        <w:rPr>
          <w:rFonts w:cstheme="minorHAnsi"/>
          <w:bCs/>
          <w:color w:val="44546A" w:themeColor="text2"/>
          <w:sz w:val="20"/>
          <w:szCs w:val="72"/>
          <w:lang w:val="sr-Cyrl-RS"/>
        </w:rPr>
        <w:t>Србија је две године заредом светски лидер по броју отворених радних места кроз пројекте СДИ. У периоду 2019</w:t>
      </w:r>
      <w:r w:rsidR="002E4A8C" w:rsidRPr="00A37BCE">
        <w:rPr>
          <w:rFonts w:cstheme="minorHAnsi"/>
          <w:bCs/>
          <w:color w:val="44546A" w:themeColor="text2"/>
          <w:sz w:val="20"/>
          <w:szCs w:val="72"/>
          <w:lang w:val="sr-Cyrl-RS"/>
        </w:rPr>
        <w:t>–</w:t>
      </w:r>
      <w:r w:rsidRPr="00A37BCE">
        <w:rPr>
          <w:rFonts w:cstheme="minorHAnsi"/>
          <w:bCs/>
          <w:color w:val="44546A" w:themeColor="text2"/>
          <w:sz w:val="20"/>
          <w:szCs w:val="72"/>
          <w:lang w:val="sr-Cyrl-RS"/>
        </w:rPr>
        <w:t>2021. годин</w:t>
      </w:r>
      <w:r w:rsidR="00CA4461">
        <w:rPr>
          <w:rFonts w:cstheme="minorHAnsi"/>
          <w:bCs/>
          <w:color w:val="44546A" w:themeColor="text2"/>
          <w:sz w:val="20"/>
          <w:szCs w:val="72"/>
          <w:lang w:val="sr-Cyrl-RS"/>
        </w:rPr>
        <w:t>е</w:t>
      </w:r>
      <w:r w:rsidRPr="00A37BCE">
        <w:rPr>
          <w:rFonts w:cstheme="minorHAnsi"/>
          <w:bCs/>
          <w:color w:val="44546A" w:themeColor="text2"/>
          <w:sz w:val="20"/>
          <w:szCs w:val="72"/>
          <w:lang w:val="sr-Cyrl-RS"/>
        </w:rPr>
        <w:t xml:space="preserve"> очекује се наставак њиховог раста и просеч</w:t>
      </w:r>
      <w:r w:rsidR="00735A07" w:rsidRPr="00A37BCE">
        <w:rPr>
          <w:rFonts w:cstheme="minorHAnsi"/>
          <w:bCs/>
          <w:color w:val="44546A" w:themeColor="text2"/>
          <w:sz w:val="20"/>
          <w:szCs w:val="72"/>
          <w:lang w:val="sr-Cyrl-RS"/>
        </w:rPr>
        <w:t>ан годишњи прилив од 2,7 млрд ев</w:t>
      </w:r>
      <w:r w:rsidRPr="00A37BCE">
        <w:rPr>
          <w:rFonts w:cstheme="minorHAnsi"/>
          <w:bCs/>
          <w:color w:val="44546A" w:themeColor="text2"/>
          <w:sz w:val="20"/>
          <w:szCs w:val="72"/>
          <w:lang w:val="sr-Cyrl-RS"/>
        </w:rPr>
        <w:t xml:space="preserve">ра. Поред тога, СДИ које су до сада привучене пооштриће унутрашњу </w:t>
      </w:r>
      <w:r w:rsidRPr="00A37BCE">
        <w:rPr>
          <w:rFonts w:cstheme="minorHAnsi"/>
          <w:bCs/>
          <w:color w:val="1F3864" w:themeColor="accent1" w:themeShade="80"/>
          <w:sz w:val="20"/>
          <w:szCs w:val="72"/>
          <w:lang w:val="sr-Cyrl-RS"/>
        </w:rPr>
        <w:t>конкурентску</w:t>
      </w:r>
      <w:r w:rsidR="0062189A" w:rsidRPr="00A37BCE">
        <w:rPr>
          <w:rFonts w:cstheme="minorHAnsi"/>
          <w:bCs/>
          <w:color w:val="1F3864" w:themeColor="accent1" w:themeShade="80"/>
          <w:sz w:val="20"/>
          <w:szCs w:val="72"/>
          <w:lang w:val="sr-Cyrl-RS"/>
        </w:rPr>
        <w:t xml:space="preserve"> активност </w:t>
      </w:r>
      <w:r w:rsidRPr="00A37BCE">
        <w:rPr>
          <w:rFonts w:cstheme="minorHAnsi"/>
          <w:bCs/>
          <w:color w:val="44546A" w:themeColor="text2"/>
          <w:sz w:val="20"/>
          <w:szCs w:val="72"/>
          <w:lang w:val="sr-Cyrl-RS"/>
        </w:rPr>
        <w:t>и утицати на ефикасност домаћих произвођача, док би са друге стране требало да активирају нове канале продаје и отворе нове тржишне нише. Такође, конкретним мерама се уклањају баријере и ослобађају ресурси за убрзано инвестирање домаћих произвођача, стимулише се и храбри сваки вид домаће инвентивности и проактивности. Посматрано на страни понуде, услужни сектор и индустрија ће зад</w:t>
      </w:r>
      <w:r w:rsidR="0051621D" w:rsidRPr="00A37BCE">
        <w:rPr>
          <w:rFonts w:cstheme="minorHAnsi"/>
          <w:bCs/>
          <w:color w:val="44546A" w:themeColor="text2"/>
          <w:sz w:val="20"/>
          <w:szCs w:val="72"/>
          <w:lang w:val="sr-Cyrl-RS"/>
        </w:rPr>
        <w:t>р</w:t>
      </w:r>
      <w:r w:rsidRPr="00A37BCE">
        <w:rPr>
          <w:rFonts w:cstheme="minorHAnsi"/>
          <w:bCs/>
          <w:color w:val="44546A" w:themeColor="text2"/>
          <w:sz w:val="20"/>
          <w:szCs w:val="72"/>
          <w:lang w:val="sr-Cyrl-RS"/>
        </w:rPr>
        <w:t>жати улогу домин</w:t>
      </w:r>
      <w:r w:rsidR="00735A07" w:rsidRPr="00A37BCE">
        <w:rPr>
          <w:rFonts w:cstheme="minorHAnsi"/>
          <w:bCs/>
          <w:color w:val="44546A" w:themeColor="text2"/>
          <w:sz w:val="20"/>
          <w:szCs w:val="72"/>
          <w:lang w:val="sr-Cyrl-RS"/>
        </w:rPr>
        <w:t>ан</w:t>
      </w:r>
      <w:r w:rsidRPr="00A37BCE">
        <w:rPr>
          <w:rFonts w:cstheme="minorHAnsi"/>
          <w:bCs/>
          <w:color w:val="44546A" w:themeColor="text2"/>
          <w:sz w:val="20"/>
          <w:szCs w:val="72"/>
          <w:lang w:val="sr-Cyrl-RS"/>
        </w:rPr>
        <w:t xml:space="preserve">тних извора раста и повећавати креирану БДВ у просеку годишње за 3,8% и 4,9%, респективно. Позитиван допринос ће доћи </w:t>
      </w:r>
      <w:r w:rsidR="00972218" w:rsidRPr="00A37BCE">
        <w:rPr>
          <w:rFonts w:cstheme="minorHAnsi"/>
          <w:bCs/>
          <w:color w:val="44546A" w:themeColor="text2"/>
          <w:sz w:val="20"/>
          <w:szCs w:val="72"/>
          <w:lang w:val="sr-Cyrl-RS"/>
        </w:rPr>
        <w:t xml:space="preserve">и од очуваног динамичног раста </w:t>
      </w:r>
      <w:r w:rsidRPr="00A37BCE">
        <w:rPr>
          <w:rFonts w:cstheme="minorHAnsi"/>
          <w:bCs/>
          <w:color w:val="44546A" w:themeColor="text2"/>
          <w:sz w:val="20"/>
          <w:szCs w:val="72"/>
          <w:lang w:val="sr-Cyrl-RS"/>
        </w:rPr>
        <w:t>грађевинске активности који ће просечно годишње износити око 8%. Достизање европских стандарда и подизање конкурентности у пољопривреди, испуњењем услова за отварање Поглавља 11 и кроз коришћење ИПАРД II програма ЕУ, смањиће варијабилност производње овог сектора изазвану агрометеоролошким условима. Након пада у 2019. години, очекујемо скроман раст пољопривредне производње у 2020. и 2021. години.</w:t>
      </w:r>
    </w:p>
    <w:p w14:paraId="65D8BD08" w14:textId="4ED3D9BC" w:rsidR="001F72DE" w:rsidRPr="00A37BCE" w:rsidRDefault="001F72DE" w:rsidP="00D01AB2">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Влада, овим трогодишњим сценари</w:t>
      </w:r>
      <w:r w:rsidR="005A3CA5" w:rsidRPr="00A37BCE">
        <w:rPr>
          <w:rFonts w:cstheme="minorHAnsi"/>
          <w:bCs/>
          <w:color w:val="44546A" w:themeColor="text2"/>
          <w:sz w:val="20"/>
          <w:szCs w:val="72"/>
          <w:lang w:val="sr-Cyrl-RS"/>
        </w:rPr>
        <w:t>ј</w:t>
      </w:r>
      <w:r w:rsidRPr="00A37BCE">
        <w:rPr>
          <w:rFonts w:cstheme="minorHAnsi"/>
          <w:bCs/>
          <w:color w:val="44546A" w:themeColor="text2"/>
          <w:sz w:val="20"/>
          <w:szCs w:val="72"/>
          <w:lang w:val="sr-Cyrl-RS"/>
        </w:rPr>
        <w:t xml:space="preserve">ом, остаје посвећена очувању модела привредног раста који се заснива на инвестицијама и извозу, а који је подржан растом приватне потрошње на реалним и здравим изворима. Удео бруто инвестиција у основне фондове у БДП ће на крају 2021. године бити за око 3 </w:t>
      </w:r>
      <w:r w:rsidR="005D635E">
        <w:rPr>
          <w:rFonts w:cstheme="minorHAnsi"/>
          <w:bCs/>
          <w:color w:val="44546A" w:themeColor="text2"/>
          <w:sz w:val="20"/>
          <w:szCs w:val="72"/>
          <w:lang w:val="sr-Cyrl-RS"/>
        </w:rPr>
        <w:t>п. п.</w:t>
      </w:r>
      <w:r w:rsidRPr="00A37BCE">
        <w:rPr>
          <w:rFonts w:cstheme="minorHAnsi"/>
          <w:bCs/>
          <w:color w:val="44546A" w:themeColor="text2"/>
          <w:sz w:val="20"/>
          <w:szCs w:val="72"/>
          <w:lang w:val="sr-Cyrl-RS"/>
        </w:rPr>
        <w:t xml:space="preserve"> већи у односу на 2015. годину. У истој години, удео извоза роба и услуга износио је 45,3% БДП, док ће на крају периода обухваћеног овим сценари</w:t>
      </w:r>
      <w:r w:rsidR="005A3CA5" w:rsidRPr="00A37BCE">
        <w:rPr>
          <w:rFonts w:cstheme="minorHAnsi"/>
          <w:bCs/>
          <w:color w:val="44546A" w:themeColor="text2"/>
          <w:sz w:val="20"/>
          <w:szCs w:val="72"/>
          <w:lang w:val="sr-Cyrl-RS"/>
        </w:rPr>
        <w:t>ј</w:t>
      </w:r>
      <w:r w:rsidRPr="00A37BCE">
        <w:rPr>
          <w:rFonts w:cstheme="minorHAnsi"/>
          <w:bCs/>
          <w:color w:val="44546A" w:themeColor="text2"/>
          <w:sz w:val="20"/>
          <w:szCs w:val="72"/>
          <w:lang w:val="sr-Cyrl-RS"/>
        </w:rPr>
        <w:t xml:space="preserve">ом бити повећан на 57,7%. Државна потрошња ће задржати учешће од око 16% БДП, што је значајно испод европског просека који прелази 20%. Смањење учешћа дефицита роба и услуга у БДП, биће праћено и смањењем учешћа </w:t>
      </w:r>
      <w:r w:rsidRPr="00A37BCE">
        <w:rPr>
          <w:rFonts w:cstheme="minorHAnsi"/>
          <w:bCs/>
          <w:color w:val="44546A" w:themeColor="text2"/>
          <w:sz w:val="20"/>
          <w:szCs w:val="72"/>
          <w:lang w:val="sr-Cyrl-RS"/>
        </w:rPr>
        <w:lastRenderedPageBreak/>
        <w:t>дефицита текућег рачуна. Овим је обезбеђена одрживост спољног дуга, екстерна ликвидност и солвентност.</w:t>
      </w:r>
    </w:p>
    <w:p w14:paraId="2F6EE5D2" w14:textId="1EF0F035" w:rsidR="006163D6" w:rsidRPr="00A37BCE" w:rsidRDefault="001F72DE" w:rsidP="00D01AB2">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 xml:space="preserve">Доследност у очувању фискалне стабилности спречава генерисање неравнотежа и креирање неизвесности. Мере које се предузимају имају за циљ даље растерећење привреде. Сви реформски процеси подржани су интензивном изградњом транспортне и електронске инфраструктуре. Ефикасност реализације јавних пројеката је подигнута, а за средњорочни период је планирано </w:t>
      </w:r>
      <w:r w:rsidR="00FB348B" w:rsidRPr="00A37BCE">
        <w:rPr>
          <w:rFonts w:cstheme="minorHAnsi"/>
          <w:bCs/>
          <w:color w:val="44546A" w:themeColor="text2"/>
          <w:sz w:val="20"/>
          <w:szCs w:val="72"/>
          <w:lang w:val="sr-Cyrl-RS"/>
        </w:rPr>
        <w:t xml:space="preserve">значајно </w:t>
      </w:r>
      <w:r w:rsidRPr="00A37BCE">
        <w:rPr>
          <w:rFonts w:cstheme="minorHAnsi"/>
          <w:bCs/>
          <w:color w:val="44546A" w:themeColor="text2"/>
          <w:sz w:val="20"/>
          <w:szCs w:val="72"/>
          <w:lang w:val="sr-Cyrl-RS"/>
        </w:rPr>
        <w:t>повећање капиталних расхода. Дигитална трансформација и изградња дигиталног екосистема остаје стратешка орјентација Владе. Ефикаснији рад државне администрације, скраћивање процедура становништву и привреди са фокусом на дигитализацији образовања убрзаће конвергенцију наше привреде ка развијеним земљама. Како су ови циљеви тешко достижни без научно-истраживачког рада и иновативности, Влада</w:t>
      </w:r>
      <w:r w:rsidR="002D0E7B">
        <w:rPr>
          <w:rFonts w:cstheme="minorHAnsi"/>
          <w:bCs/>
          <w:color w:val="44546A" w:themeColor="text2"/>
          <w:sz w:val="20"/>
          <w:szCs w:val="72"/>
          <w:lang w:val="sr-Cyrl-RS"/>
        </w:rPr>
        <w:t xml:space="preserve"> је</w:t>
      </w:r>
      <w:r w:rsidR="00CD625C">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t>креирала систем подстицаја кроз „иновационе ваучере</w:t>
      </w:r>
      <w:r w:rsidR="00A63FD1" w:rsidRPr="00A37BCE">
        <w:rPr>
          <w:rFonts w:cstheme="minorHAnsi"/>
          <w:bCs/>
          <w:color w:val="44546A" w:themeColor="text2"/>
          <w:sz w:val="20"/>
          <w:szCs w:val="72"/>
          <w:lang w:val="sr-Cyrl-RS"/>
        </w:rPr>
        <w:t>ˮ</w:t>
      </w:r>
      <w:r w:rsidRPr="00A37BCE">
        <w:rPr>
          <w:rStyle w:val="FootnoteReference"/>
          <w:rFonts w:cstheme="minorHAnsi"/>
          <w:bCs/>
          <w:color w:val="44546A" w:themeColor="text2"/>
          <w:sz w:val="20"/>
          <w:szCs w:val="72"/>
          <w:lang w:val="sr-Cyrl-RS"/>
        </w:rPr>
        <w:footnoteReference w:id="3"/>
      </w:r>
      <w:r w:rsidRPr="00A37BCE">
        <w:rPr>
          <w:rFonts w:cstheme="minorHAnsi"/>
          <w:bCs/>
          <w:color w:val="44546A" w:themeColor="text2"/>
          <w:sz w:val="20"/>
          <w:szCs w:val="72"/>
          <w:lang w:val="sr-Cyrl-RS"/>
        </w:rPr>
        <w:t>, усмерен пре свега на се</w:t>
      </w:r>
      <w:r w:rsidR="008D436F">
        <w:rPr>
          <w:rFonts w:cstheme="minorHAnsi"/>
          <w:bCs/>
          <w:color w:val="44546A" w:themeColor="text2"/>
          <w:sz w:val="20"/>
          <w:szCs w:val="72"/>
          <w:lang w:val="sr-Cyrl-RS"/>
        </w:rPr>
        <w:t>ктор малих и средњих предузећа.</w:t>
      </w:r>
    </w:p>
    <w:p w14:paraId="1A9A5878" w14:textId="4BD5C97D" w:rsidR="00E31C39" w:rsidRPr="00A37BCE" w:rsidRDefault="00E31C39" w:rsidP="008D436F">
      <w:pPr>
        <w:spacing w:after="120"/>
        <w:jc w:val="center"/>
        <w:rPr>
          <w:rFonts w:cstheme="minorHAnsi"/>
          <w:b/>
          <w:color w:val="002060"/>
          <w:sz w:val="20"/>
          <w:lang w:val="sr-Cyrl-RS"/>
        </w:rPr>
      </w:pPr>
      <w:r w:rsidRPr="00A37BCE">
        <w:rPr>
          <w:rFonts w:cstheme="minorHAnsi"/>
          <w:b/>
          <w:color w:val="002060"/>
          <w:sz w:val="20"/>
          <w:lang w:val="sr-Cyrl-RS"/>
        </w:rPr>
        <w:t>Доприноси фактора производње потенцијалној стопи раста</w:t>
      </w:r>
      <w:r w:rsidR="00DC4BA2" w:rsidRPr="00A37BCE">
        <w:rPr>
          <w:rFonts w:cstheme="minorHAnsi"/>
          <w:b/>
          <w:color w:val="002060"/>
          <w:sz w:val="20"/>
          <w:lang w:val="sr-Cyrl-RS"/>
        </w:rPr>
        <w:t xml:space="preserve"> непољопривредног БДП</w:t>
      </w:r>
      <w:r w:rsidR="00E028C9" w:rsidRPr="00A37BCE">
        <w:rPr>
          <w:rFonts w:cstheme="minorHAnsi"/>
          <w:b/>
          <w:color w:val="002060"/>
          <w:sz w:val="20"/>
          <w:lang w:val="sr-Cyrl-RS"/>
        </w:rPr>
        <w:t xml:space="preserve">, </w:t>
      </w:r>
      <w:r w:rsidR="005D635E">
        <w:rPr>
          <w:rFonts w:cstheme="minorHAnsi"/>
          <w:b/>
          <w:color w:val="002060"/>
          <w:sz w:val="20"/>
          <w:lang w:val="sr-Cyrl-RS"/>
        </w:rPr>
        <w:t>п. п.</w:t>
      </w:r>
    </w:p>
    <w:p w14:paraId="1E73C5B4" w14:textId="30B4644B" w:rsidR="00162A08" w:rsidRPr="00A37BCE" w:rsidRDefault="00162A08" w:rsidP="008D436F">
      <w:pPr>
        <w:jc w:val="both"/>
        <w:rPr>
          <w:rFonts w:cstheme="minorHAnsi"/>
          <w:bCs/>
          <w:noProof/>
          <w:color w:val="44546A" w:themeColor="text2"/>
          <w:sz w:val="16"/>
          <w:szCs w:val="72"/>
          <w:lang w:val="sr-Cyrl-RS"/>
        </w:rPr>
      </w:pPr>
      <w:r w:rsidRPr="00A37BCE">
        <w:rPr>
          <w:rFonts w:cstheme="minorHAnsi"/>
          <w:bCs/>
          <w:noProof/>
          <w:color w:val="44546A" w:themeColor="text2"/>
          <w:sz w:val="16"/>
          <w:szCs w:val="72"/>
        </w:rPr>
        <w:drawing>
          <wp:inline distT="0" distB="0" distL="0" distR="0" wp14:anchorId="13784C84" wp14:editId="4FF9D884">
            <wp:extent cx="2743200" cy="214884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TFP фф-01.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43200" cy="2148840"/>
                    </a:xfrm>
                    <a:prstGeom prst="rect">
                      <a:avLst/>
                    </a:prstGeom>
                  </pic:spPr>
                </pic:pic>
              </a:graphicData>
            </a:graphic>
          </wp:inline>
        </w:drawing>
      </w:r>
    </w:p>
    <w:p w14:paraId="45FE7790" w14:textId="63DFDED0" w:rsidR="00DC4BA2" w:rsidRPr="00A37BCE" w:rsidRDefault="009162E2" w:rsidP="003050C6">
      <w:pPr>
        <w:jc w:val="both"/>
        <w:rPr>
          <w:rFonts w:cstheme="minorHAnsi"/>
          <w:bCs/>
          <w:color w:val="44546A" w:themeColor="text2"/>
          <w:sz w:val="16"/>
          <w:szCs w:val="72"/>
          <w:lang w:val="sr-Cyrl-RS"/>
        </w:rPr>
      </w:pPr>
      <w:r w:rsidRPr="00A37BCE">
        <w:rPr>
          <w:rFonts w:cstheme="minorHAnsi"/>
          <w:bCs/>
          <w:color w:val="44546A" w:themeColor="text2"/>
          <w:sz w:val="16"/>
          <w:szCs w:val="72"/>
          <w:lang w:val="sr-Cyrl-RS"/>
        </w:rPr>
        <w:t>Извор: Министарство финансија</w:t>
      </w:r>
    </w:p>
    <w:p w14:paraId="069B5F8A" w14:textId="302D3AAD" w:rsidR="004A66E3" w:rsidRPr="00A37BCE" w:rsidRDefault="00A67B04" w:rsidP="004A66E3">
      <w:pPr>
        <w:jc w:val="both"/>
        <w:rPr>
          <w:rFonts w:cstheme="minorHAnsi"/>
          <w:b/>
          <w:color w:val="2F5496" w:themeColor="accent1" w:themeShade="BF"/>
          <w:lang w:val="sr-Cyrl-RS"/>
        </w:rPr>
      </w:pPr>
      <w:r w:rsidRPr="00A37BCE">
        <w:rPr>
          <w:rFonts w:cstheme="minorHAnsi"/>
          <w:bCs/>
          <w:color w:val="1F3864" w:themeColor="accent1" w:themeShade="80"/>
          <w:sz w:val="20"/>
          <w:szCs w:val="72"/>
          <w:lang w:val="sr-Cyrl-RS"/>
        </w:rPr>
        <w:lastRenderedPageBreak/>
        <w:t>У средњорочном периоду очекује се убрзање раста потенцијалног БДП. Након раста од 3,</w:t>
      </w:r>
      <w:r w:rsidR="00FB348B" w:rsidRPr="00A37BCE">
        <w:rPr>
          <w:rFonts w:cstheme="minorHAnsi"/>
          <w:bCs/>
          <w:color w:val="1F3864" w:themeColor="accent1" w:themeShade="80"/>
          <w:sz w:val="20"/>
          <w:szCs w:val="72"/>
          <w:lang w:val="sr-Cyrl-RS"/>
        </w:rPr>
        <w:t>4</w:t>
      </w:r>
      <w:r w:rsidRPr="00A37BCE">
        <w:rPr>
          <w:rFonts w:cstheme="minorHAnsi"/>
          <w:bCs/>
          <w:color w:val="1F3864" w:themeColor="accent1" w:themeShade="80"/>
          <w:sz w:val="20"/>
          <w:szCs w:val="72"/>
          <w:lang w:val="sr-Cyrl-RS"/>
        </w:rPr>
        <w:t>% у 2018. години, потенцијални БДП ће се п</w:t>
      </w:r>
      <w:r w:rsidR="002A2849" w:rsidRPr="00A37BCE">
        <w:rPr>
          <w:rFonts w:cstheme="minorHAnsi"/>
          <w:bCs/>
          <w:color w:val="1F3864" w:themeColor="accent1" w:themeShade="80"/>
          <w:sz w:val="20"/>
          <w:szCs w:val="72"/>
          <w:lang w:val="sr-Cyrl-RS"/>
        </w:rPr>
        <w:t>росечно годишње повећавати за 4,1%</w:t>
      </w:r>
      <w:r w:rsidRPr="00A37BCE">
        <w:rPr>
          <w:rFonts w:cstheme="minorHAnsi"/>
          <w:bCs/>
          <w:color w:val="1F3864" w:themeColor="accent1" w:themeShade="80"/>
          <w:sz w:val="20"/>
          <w:szCs w:val="72"/>
          <w:lang w:val="sr-Cyrl-RS"/>
        </w:rPr>
        <w:t xml:space="preserve">. Овом динамиком раста производни јаз ће бити затворен </w:t>
      </w:r>
      <w:r w:rsidR="002A2849" w:rsidRPr="00A37BCE">
        <w:rPr>
          <w:rFonts w:cstheme="minorHAnsi"/>
          <w:bCs/>
          <w:color w:val="1F3864" w:themeColor="accent1" w:themeShade="80"/>
          <w:sz w:val="20"/>
          <w:szCs w:val="72"/>
          <w:lang w:val="sr-Cyrl-RS"/>
        </w:rPr>
        <w:t xml:space="preserve">почетком 2019. године. </w:t>
      </w:r>
      <w:r w:rsidRPr="00A37BCE">
        <w:rPr>
          <w:rFonts w:cstheme="minorHAnsi"/>
          <w:bCs/>
          <w:color w:val="1F3864" w:themeColor="accent1" w:themeShade="80"/>
          <w:sz w:val="20"/>
          <w:szCs w:val="72"/>
          <w:lang w:val="sr-Cyrl-RS"/>
        </w:rPr>
        <w:t>Раст потенцијалног БДП у овом периоду опредељен је појачаним приливом СДИ. Њихов утицај на продуктивност и ефикасност је двојак како кроз трансфер технологије тако и кроз трансфер знања. Такође, очекује се да ће овај тренд бити оснажен домаћим иновативним активностима. Поред тога, на раст потенцијалног БДП утицаће и повољна кретања на тржишту рада, а крајем средњорочног периода биће уочљив и позитиван утицај до сада предузетих реформи у образовању кроз смањење структурне незапослености. Дигитализација ће значајно</w:t>
      </w:r>
      <w:r w:rsidR="0062189A" w:rsidRPr="00A37BCE">
        <w:rPr>
          <w:rFonts w:cstheme="minorHAnsi"/>
          <w:bCs/>
          <w:color w:val="1F3864" w:themeColor="accent1" w:themeShade="80"/>
          <w:sz w:val="20"/>
          <w:szCs w:val="72"/>
          <w:lang w:val="sr-Cyrl-RS"/>
        </w:rPr>
        <w:t xml:space="preserve"> подржати </w:t>
      </w:r>
      <w:r w:rsidRPr="00A37BCE">
        <w:rPr>
          <w:rFonts w:cstheme="minorHAnsi"/>
          <w:bCs/>
          <w:color w:val="1F3864" w:themeColor="accent1" w:themeShade="80"/>
          <w:sz w:val="20"/>
          <w:szCs w:val="72"/>
          <w:lang w:val="sr-Cyrl-RS"/>
        </w:rPr>
        <w:t>убрзати ове процесе и додатно подићи ефикасност искоришћености расположивих капацитета.</w:t>
      </w:r>
    </w:p>
    <w:p w14:paraId="03018F3E" w14:textId="590742D2" w:rsidR="00F97457" w:rsidRPr="00A37BCE" w:rsidRDefault="001B4899" w:rsidP="004A66E3">
      <w:pPr>
        <w:jc w:val="both"/>
        <w:rPr>
          <w:rFonts w:cstheme="minorHAnsi"/>
          <w:b/>
          <w:color w:val="2F5496" w:themeColor="accent1" w:themeShade="BF"/>
          <w:lang w:val="sr-Cyrl-RS"/>
        </w:rPr>
      </w:pPr>
      <w:r w:rsidRPr="00A37BCE">
        <w:rPr>
          <w:rFonts w:cstheme="minorHAnsi"/>
          <w:b/>
          <w:color w:val="2F5496" w:themeColor="accent1" w:themeShade="BF"/>
          <w:lang w:val="sr-Cyrl-RS"/>
        </w:rPr>
        <w:t>Запосленост и зараде</w:t>
      </w:r>
    </w:p>
    <w:p w14:paraId="78E4B644" w14:textId="7D2B6E9E" w:rsidR="008221D2" w:rsidRPr="00A37BCE" w:rsidRDefault="008221D2" w:rsidP="008221D2">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Позитивна кретања на тржишту рада настав</w:t>
      </w:r>
      <w:r w:rsidR="00972218" w:rsidRPr="00A37BCE">
        <w:rPr>
          <w:rFonts w:cstheme="minorHAnsi"/>
          <w:bCs/>
          <w:color w:val="44546A" w:themeColor="text2"/>
          <w:sz w:val="20"/>
          <w:szCs w:val="72"/>
          <w:lang w:val="sr-Cyrl-RS"/>
        </w:rPr>
        <w:t xml:space="preserve">љена су и током 2018. године. </w:t>
      </w:r>
      <w:r w:rsidRPr="00A37BCE">
        <w:rPr>
          <w:rFonts w:cstheme="minorHAnsi"/>
          <w:bCs/>
          <w:color w:val="44546A" w:themeColor="text2"/>
          <w:sz w:val="20"/>
          <w:szCs w:val="72"/>
          <w:lang w:val="sr-Cyrl-RS"/>
        </w:rPr>
        <w:t>Убрзана привредна активност, интензивиран инвестициони циклус, новоотворени и проширени производни капацитети, као и мере активне политике запошљавања и самозапошљавања резултирају побољшањима која су регистрована и на основу административних извора и кроз Анкету о радној снази. У трећем кварталу 2018. године регистровани број запослених међугодишње је повећан за 3,3% и износио је преко 2,1 милион</w:t>
      </w:r>
      <w:r w:rsidR="005A3CA5" w:rsidRPr="00A37BCE">
        <w:rPr>
          <w:rFonts w:cstheme="minorHAnsi"/>
          <w:bCs/>
          <w:color w:val="44546A" w:themeColor="text2"/>
          <w:sz w:val="20"/>
          <w:szCs w:val="72"/>
          <w:lang w:val="sr-Cyrl-RS"/>
        </w:rPr>
        <w:t>а</w:t>
      </w:r>
      <w:r w:rsidRPr="00A37BCE">
        <w:rPr>
          <w:rFonts w:cstheme="minorHAnsi"/>
          <w:bCs/>
          <w:color w:val="44546A" w:themeColor="text2"/>
          <w:sz w:val="20"/>
          <w:szCs w:val="72"/>
          <w:lang w:val="sr-Cyrl-RS"/>
        </w:rPr>
        <w:t xml:space="preserve"> лица, што је 70 хиљада запослених више у односу на исти квартал претходне године.</w:t>
      </w:r>
      <w:r w:rsidR="00FB3615" w:rsidRPr="00A37BCE">
        <w:rPr>
          <w:rFonts w:cstheme="minorHAnsi"/>
          <w:bCs/>
          <w:color w:val="44546A" w:themeColor="text2"/>
          <w:sz w:val="20"/>
          <w:szCs w:val="72"/>
          <w:lang w:val="sr-Cyrl-RS"/>
        </w:rPr>
        <w:t xml:space="preserve"> Најзначајније повећање броја запослених лица регистрован</w:t>
      </w:r>
      <w:r w:rsidR="003D2059">
        <w:rPr>
          <w:rFonts w:cstheme="minorHAnsi"/>
          <w:bCs/>
          <w:color w:val="44546A" w:themeColor="text2"/>
          <w:sz w:val="20"/>
          <w:szCs w:val="72"/>
          <w:lang w:val="sr-Cyrl-RS"/>
        </w:rPr>
        <w:t>о</w:t>
      </w:r>
      <w:r w:rsidR="00FB3615" w:rsidRPr="00A37BCE">
        <w:rPr>
          <w:rFonts w:cstheme="minorHAnsi"/>
          <w:bCs/>
          <w:color w:val="44546A" w:themeColor="text2"/>
          <w:sz w:val="20"/>
          <w:szCs w:val="72"/>
          <w:lang w:val="sr-Cyrl-RS"/>
        </w:rPr>
        <w:t xml:space="preserve"> је у</w:t>
      </w:r>
      <w:r w:rsidRPr="00A37BCE">
        <w:rPr>
          <w:rFonts w:cstheme="minorHAnsi"/>
          <w:bCs/>
          <w:color w:val="44546A" w:themeColor="text2"/>
          <w:sz w:val="20"/>
          <w:szCs w:val="72"/>
          <w:lang w:val="sr-Cyrl-RS"/>
        </w:rPr>
        <w:t xml:space="preserve"> прерађив</w:t>
      </w:r>
      <w:r w:rsidR="00FB3615" w:rsidRPr="00A37BCE">
        <w:rPr>
          <w:rFonts w:cstheme="minorHAnsi"/>
          <w:bCs/>
          <w:color w:val="44546A" w:themeColor="text2"/>
          <w:sz w:val="20"/>
          <w:szCs w:val="72"/>
          <w:lang w:val="sr-Cyrl-RS"/>
        </w:rPr>
        <w:t xml:space="preserve">ачкој индустрији, а затим у </w:t>
      </w:r>
      <w:r w:rsidRPr="00A37BCE">
        <w:rPr>
          <w:rFonts w:cstheme="minorHAnsi"/>
          <w:bCs/>
          <w:color w:val="44546A" w:themeColor="text2"/>
          <w:sz w:val="20"/>
          <w:szCs w:val="72"/>
          <w:lang w:val="sr-Cyrl-RS"/>
        </w:rPr>
        <w:t>административним</w:t>
      </w:r>
      <w:r w:rsidR="00FB3615" w:rsidRPr="00A37BCE">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t>делатностима, грађевинарству, угоститељству и трговини. Истовремено, број запослених у јавном сектору смањен је за скоро седам хиљада лица, при чему су највећа смањења регистрована у јавним предузећима и админис</w:t>
      </w:r>
      <w:r w:rsidR="00972218" w:rsidRPr="00A37BCE">
        <w:rPr>
          <w:rFonts w:cstheme="minorHAnsi"/>
          <w:bCs/>
          <w:color w:val="44546A" w:themeColor="text2"/>
          <w:sz w:val="20"/>
          <w:szCs w:val="72"/>
          <w:lang w:val="sr-Cyrl-RS"/>
        </w:rPr>
        <w:t xml:space="preserve">трацији. Анкета о радној снази </w:t>
      </w:r>
      <w:r w:rsidRPr="00A37BCE">
        <w:rPr>
          <w:rFonts w:cstheme="minorHAnsi"/>
          <w:bCs/>
          <w:color w:val="44546A" w:themeColor="text2"/>
          <w:sz w:val="20"/>
          <w:szCs w:val="72"/>
          <w:lang w:val="sr-Cyrl-RS"/>
        </w:rPr>
        <w:t xml:space="preserve">показује међугодишње повећање броја запослених лица у првој половини 2018. године за око 26 хиљада. Стопа запослености у другом кварталу износи 48,6% и највећа је регистрована стопа запослености у периоду за који постоје </w:t>
      </w:r>
      <w:r w:rsidRPr="00A37BCE">
        <w:rPr>
          <w:rFonts w:cstheme="minorHAnsi"/>
          <w:bCs/>
          <w:color w:val="44546A" w:themeColor="text2"/>
          <w:sz w:val="20"/>
          <w:szCs w:val="72"/>
          <w:lang w:val="sr-Cyrl-RS"/>
        </w:rPr>
        <w:lastRenderedPageBreak/>
        <w:t>упоредиви подаци (2014</w:t>
      </w:r>
      <w:r w:rsidR="002E4A8C" w:rsidRPr="00A37BCE">
        <w:rPr>
          <w:rFonts w:cstheme="minorHAnsi"/>
          <w:bCs/>
          <w:color w:val="44546A" w:themeColor="text2"/>
          <w:sz w:val="20"/>
          <w:szCs w:val="72"/>
          <w:lang w:val="sr-Cyrl-RS"/>
        </w:rPr>
        <w:t>–</w:t>
      </w:r>
      <w:r w:rsidRPr="00A37BCE">
        <w:rPr>
          <w:rFonts w:cstheme="minorHAnsi"/>
          <w:bCs/>
          <w:color w:val="44546A" w:themeColor="text2"/>
          <w:sz w:val="20"/>
          <w:szCs w:val="72"/>
          <w:lang w:val="sr-Cyrl-RS"/>
        </w:rPr>
        <w:t>2018. година). Структура запослених се мења у корист броја формално запослених, што је резултат ефикаснијег деловања инспекцијских служб</w:t>
      </w:r>
      <w:r w:rsidR="00972218" w:rsidRPr="00A37BCE">
        <w:rPr>
          <w:rFonts w:cstheme="minorHAnsi"/>
          <w:bCs/>
          <w:color w:val="44546A" w:themeColor="text2"/>
          <w:sz w:val="20"/>
          <w:szCs w:val="72"/>
          <w:lang w:val="sr-Cyrl-RS"/>
        </w:rPr>
        <w:t xml:space="preserve">и на сузбијању сиве економије, </w:t>
      </w:r>
      <w:r w:rsidRPr="00A37BCE">
        <w:rPr>
          <w:rFonts w:cstheme="minorHAnsi"/>
          <w:bCs/>
          <w:color w:val="44546A" w:themeColor="text2"/>
          <w:sz w:val="20"/>
          <w:szCs w:val="72"/>
          <w:lang w:val="sr-Cyrl-RS"/>
        </w:rPr>
        <w:t>а огледа се и у већој наплати доприноса од оне која је била планирана израдом буџета за 2018. годину. Регистрована ј</w:t>
      </w:r>
      <w:r w:rsidR="00FB3615" w:rsidRPr="00A37BCE">
        <w:rPr>
          <w:rFonts w:cstheme="minorHAnsi"/>
          <w:bCs/>
          <w:color w:val="44546A" w:themeColor="text2"/>
          <w:sz w:val="20"/>
          <w:szCs w:val="72"/>
          <w:lang w:val="sr-Cyrl-RS"/>
        </w:rPr>
        <w:t>е стопа незапослености у другом кварталу 2018. године од 11,9%, што у поређењу са 2017. годином представља побољшање. Значајно је истаћи</w:t>
      </w:r>
      <w:r w:rsidR="00BC1484" w:rsidRPr="00A37BCE">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t>да су побољшања регистрована у сегменту незапослених у групи 15</w:t>
      </w:r>
      <w:r w:rsidR="0039057A" w:rsidRPr="00A37BCE">
        <w:rPr>
          <w:rFonts w:cstheme="minorHAnsi"/>
          <w:bCs/>
          <w:color w:val="44546A" w:themeColor="text2"/>
          <w:sz w:val="20"/>
          <w:szCs w:val="72"/>
          <w:lang w:val="sr-Cyrl-RS"/>
        </w:rPr>
        <w:t>–</w:t>
      </w:r>
      <w:r w:rsidRPr="00A37BCE">
        <w:rPr>
          <w:rFonts w:cstheme="minorHAnsi"/>
          <w:bCs/>
          <w:color w:val="44546A" w:themeColor="text2"/>
          <w:sz w:val="20"/>
          <w:szCs w:val="72"/>
          <w:lang w:val="sr-Cyrl-RS"/>
        </w:rPr>
        <w:t>24 године, где је број незапослених смањен за 5,1%</w:t>
      </w:r>
      <w:r w:rsidR="00FB3615" w:rsidRPr="00A37BCE">
        <w:rPr>
          <w:rFonts w:cstheme="minorHAnsi"/>
          <w:bCs/>
          <w:color w:val="44546A" w:themeColor="text2"/>
          <w:sz w:val="20"/>
          <w:szCs w:val="72"/>
          <w:lang w:val="sr-Cyrl-RS"/>
        </w:rPr>
        <w:t xml:space="preserve"> мг</w:t>
      </w:r>
      <w:r w:rsidRPr="00A37BCE">
        <w:rPr>
          <w:rFonts w:cstheme="minorHAnsi"/>
          <w:bCs/>
          <w:color w:val="44546A" w:themeColor="text2"/>
          <w:sz w:val="20"/>
          <w:szCs w:val="72"/>
          <w:lang w:val="sr-Cyrl-RS"/>
        </w:rPr>
        <w:t>, док је посматрано по полу број незапослених жена међугодишње мањи за скоро 1%. Према последњим доступним подацима на евиденцији Националне службе за запошљавање било је 11,1% мање незапослених лица него у истом месецу претходне године.</w:t>
      </w:r>
    </w:p>
    <w:p w14:paraId="02EE4399" w14:textId="0981A4DE" w:rsidR="00E31C39" w:rsidRPr="00A37BCE" w:rsidRDefault="00E31C39" w:rsidP="00E31C39">
      <w:pPr>
        <w:pStyle w:val="Caption"/>
        <w:keepNext/>
        <w:jc w:val="center"/>
        <w:rPr>
          <w:rFonts w:cstheme="minorHAnsi"/>
          <w:b/>
          <w:i w:val="0"/>
          <w:iCs w:val="0"/>
          <w:color w:val="002060"/>
          <w:sz w:val="20"/>
          <w:szCs w:val="22"/>
          <w:lang w:val="sr-Cyrl-RS"/>
        </w:rPr>
      </w:pPr>
      <w:r w:rsidRPr="00A37BCE">
        <w:rPr>
          <w:rFonts w:cstheme="minorHAnsi"/>
          <w:b/>
          <w:i w:val="0"/>
          <w:iCs w:val="0"/>
          <w:color w:val="002060"/>
          <w:sz w:val="20"/>
          <w:szCs w:val="22"/>
          <w:lang w:val="sr-Cyrl-RS"/>
        </w:rPr>
        <w:t>Кретање основних показатеља тржишта рада</w:t>
      </w:r>
    </w:p>
    <w:p w14:paraId="0BE12796" w14:textId="60F8D642" w:rsidR="00162A08" w:rsidRPr="00A37BCE" w:rsidRDefault="00CE7C14" w:rsidP="008221D2">
      <w:pPr>
        <w:jc w:val="both"/>
        <w:rPr>
          <w:rFonts w:cstheme="minorHAnsi"/>
          <w:bCs/>
          <w:noProof/>
          <w:color w:val="44546A" w:themeColor="text2"/>
          <w:sz w:val="20"/>
          <w:szCs w:val="72"/>
          <w:lang w:val="sr-Cyrl-RS"/>
        </w:rPr>
      </w:pPr>
      <w:r w:rsidRPr="00A37BCE">
        <w:rPr>
          <w:rFonts w:cstheme="minorHAnsi"/>
          <w:bCs/>
          <w:noProof/>
          <w:color w:val="44546A" w:themeColor="text2"/>
          <w:sz w:val="20"/>
          <w:szCs w:val="72"/>
        </w:rPr>
        <w:drawing>
          <wp:inline distT="0" distB="0" distL="0" distR="0" wp14:anchorId="4540796B" wp14:editId="424F8F85">
            <wp:extent cx="2743200" cy="1747520"/>
            <wp:effectExtent l="0" t="0" r="0" b="508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Zaposlenost-01.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743200" cy="1747520"/>
                    </a:xfrm>
                    <a:prstGeom prst="rect">
                      <a:avLst/>
                    </a:prstGeom>
                  </pic:spPr>
                </pic:pic>
              </a:graphicData>
            </a:graphic>
          </wp:inline>
        </w:drawing>
      </w:r>
    </w:p>
    <w:p w14:paraId="3363101C" w14:textId="6AF31E60" w:rsidR="00DA6AEB" w:rsidRPr="00A37BCE" w:rsidRDefault="00DA6AEB" w:rsidP="008221D2">
      <w:pPr>
        <w:jc w:val="both"/>
        <w:rPr>
          <w:rFonts w:cstheme="minorHAnsi"/>
          <w:bCs/>
          <w:color w:val="44546A" w:themeColor="text2"/>
          <w:sz w:val="20"/>
          <w:szCs w:val="72"/>
          <w:lang w:val="sr-Cyrl-RS"/>
        </w:rPr>
      </w:pPr>
      <w:r w:rsidRPr="00A37BCE">
        <w:rPr>
          <w:rFonts w:cstheme="minorHAnsi"/>
          <w:bCs/>
          <w:color w:val="44546A" w:themeColor="text2"/>
          <w:sz w:val="16"/>
          <w:szCs w:val="72"/>
          <w:lang w:val="sr-Cyrl-RS"/>
        </w:rPr>
        <w:t>Извор:</w:t>
      </w:r>
      <w:r w:rsidR="00735A07" w:rsidRPr="00A37BCE">
        <w:rPr>
          <w:rFonts w:cstheme="minorHAnsi"/>
          <w:bCs/>
          <w:color w:val="44546A" w:themeColor="text2"/>
          <w:sz w:val="16"/>
          <w:szCs w:val="72"/>
          <w:lang w:val="sr-Cyrl-RS"/>
        </w:rPr>
        <w:t xml:space="preserve"> </w:t>
      </w:r>
      <w:r w:rsidRPr="00A37BCE">
        <w:rPr>
          <w:rFonts w:cstheme="minorHAnsi"/>
          <w:bCs/>
          <w:color w:val="44546A" w:themeColor="text2"/>
          <w:sz w:val="16"/>
          <w:szCs w:val="72"/>
          <w:lang w:val="sr-Cyrl-RS"/>
        </w:rPr>
        <w:t>РЗС</w:t>
      </w:r>
    </w:p>
    <w:p w14:paraId="79314310" w14:textId="403CF035" w:rsidR="008221D2" w:rsidRPr="00A37BCE" w:rsidRDefault="008221D2" w:rsidP="008221D2">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У првих осам месеци оства</w:t>
      </w:r>
      <w:r w:rsidR="000378CD">
        <w:rPr>
          <w:rFonts w:cstheme="minorHAnsi"/>
          <w:bCs/>
          <w:color w:val="44546A" w:themeColor="text2"/>
          <w:sz w:val="20"/>
          <w:szCs w:val="72"/>
          <w:lang w:val="sr-Cyrl-RS"/>
        </w:rPr>
        <w:t>рен је раст нето зарада од 6,3%</w:t>
      </w:r>
      <w:r w:rsidRPr="00A37BCE">
        <w:rPr>
          <w:rFonts w:cstheme="minorHAnsi"/>
          <w:bCs/>
          <w:color w:val="44546A" w:themeColor="text2"/>
          <w:sz w:val="20"/>
          <w:szCs w:val="72"/>
          <w:lang w:val="sr-Cyrl-RS"/>
        </w:rPr>
        <w:t xml:space="preserve"> номинално, односно 4,3% реално. Повећање просечне нето зараде забележено је у свим регионима, с тим да је највеће било у Региону Војводине. Раст зарада у приватном сектору износио је 4,0% и био је подржан повећањем плата у јавном сектору кроз спроведене мере фискалне релаксације. Такође, допринос расту зарада у овом периоду даје и одлука </w:t>
      </w:r>
      <w:r w:rsidR="00A63FD1">
        <w:rPr>
          <w:rFonts w:cstheme="minorHAnsi"/>
          <w:bCs/>
          <w:color w:val="44546A" w:themeColor="text2"/>
          <w:sz w:val="20"/>
          <w:szCs w:val="72"/>
          <w:lang w:val="sr-Cyrl-RS"/>
        </w:rPr>
        <w:t>С</w:t>
      </w:r>
      <w:r w:rsidRPr="00A37BCE">
        <w:rPr>
          <w:rFonts w:cstheme="minorHAnsi"/>
          <w:bCs/>
          <w:color w:val="44546A" w:themeColor="text2"/>
          <w:sz w:val="20"/>
          <w:szCs w:val="72"/>
          <w:lang w:val="sr-Cyrl-RS"/>
        </w:rPr>
        <w:t>оци</w:t>
      </w:r>
      <w:r w:rsidR="002D0E7B">
        <w:rPr>
          <w:rFonts w:cstheme="minorHAnsi"/>
          <w:bCs/>
          <w:color w:val="44546A" w:themeColor="text2"/>
          <w:sz w:val="20"/>
          <w:szCs w:val="72"/>
          <w:lang w:val="sr-Cyrl-RS"/>
        </w:rPr>
        <w:t>јално</w:t>
      </w:r>
      <w:r w:rsidRPr="00A37BCE">
        <w:rPr>
          <w:rFonts w:cstheme="minorHAnsi"/>
          <w:bCs/>
          <w:color w:val="44546A" w:themeColor="text2"/>
          <w:sz w:val="20"/>
          <w:szCs w:val="72"/>
          <w:lang w:val="sr-Cyrl-RS"/>
        </w:rPr>
        <w:t>-економског савета, којом се минимална цена рада по радном часу са 130 динара, коли</w:t>
      </w:r>
      <w:r w:rsidR="00972218" w:rsidRPr="00A37BCE">
        <w:rPr>
          <w:rFonts w:cstheme="minorHAnsi"/>
          <w:bCs/>
          <w:color w:val="44546A" w:themeColor="text2"/>
          <w:sz w:val="20"/>
          <w:szCs w:val="72"/>
          <w:lang w:val="sr-Cyrl-RS"/>
        </w:rPr>
        <w:t xml:space="preserve">ко је износила у 2017. години, </w:t>
      </w:r>
      <w:r w:rsidRPr="00A37BCE">
        <w:rPr>
          <w:rFonts w:cstheme="minorHAnsi"/>
          <w:bCs/>
          <w:color w:val="44546A" w:themeColor="text2"/>
          <w:sz w:val="20"/>
          <w:szCs w:val="72"/>
          <w:lang w:val="sr-Cyrl-RS"/>
        </w:rPr>
        <w:t>повећа</w:t>
      </w:r>
      <w:r w:rsidR="002D0E7B">
        <w:rPr>
          <w:rFonts w:cstheme="minorHAnsi"/>
          <w:bCs/>
          <w:color w:val="44546A" w:themeColor="text2"/>
          <w:sz w:val="20"/>
          <w:szCs w:val="72"/>
          <w:lang w:val="sr-Cyrl-RS"/>
        </w:rPr>
        <w:t>л</w:t>
      </w:r>
      <w:r w:rsidR="00A63FD1">
        <w:rPr>
          <w:rFonts w:cstheme="minorHAnsi"/>
          <w:bCs/>
          <w:color w:val="44546A" w:themeColor="text2"/>
          <w:sz w:val="20"/>
          <w:szCs w:val="72"/>
          <w:lang w:val="sr-Cyrl-RS"/>
        </w:rPr>
        <w:t>а</w:t>
      </w:r>
      <w:r w:rsidRPr="00A37BCE">
        <w:rPr>
          <w:rFonts w:cstheme="minorHAnsi"/>
          <w:bCs/>
          <w:color w:val="44546A" w:themeColor="text2"/>
          <w:sz w:val="20"/>
          <w:szCs w:val="72"/>
          <w:lang w:val="sr-Cyrl-RS"/>
        </w:rPr>
        <w:t xml:space="preserve"> на 143 динара, почев од јануара 2018. године.</w:t>
      </w:r>
    </w:p>
    <w:p w14:paraId="163DEBA3" w14:textId="063F9106" w:rsidR="00F97457" w:rsidRPr="00A37BCE" w:rsidRDefault="008221D2" w:rsidP="008221D2">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lastRenderedPageBreak/>
        <w:t xml:space="preserve">У средњорочном периоду очекује </w:t>
      </w:r>
      <w:r w:rsidR="002F0472" w:rsidRPr="00A37BCE">
        <w:rPr>
          <w:rFonts w:cstheme="minorHAnsi"/>
          <w:bCs/>
          <w:color w:val="44546A" w:themeColor="text2"/>
          <w:sz w:val="20"/>
          <w:szCs w:val="72"/>
          <w:lang w:val="sr-Cyrl-RS"/>
        </w:rPr>
        <w:t xml:space="preserve">се </w:t>
      </w:r>
      <w:r w:rsidRPr="00A37BCE">
        <w:rPr>
          <w:rFonts w:cstheme="minorHAnsi"/>
          <w:bCs/>
          <w:color w:val="44546A" w:themeColor="text2"/>
          <w:sz w:val="20"/>
          <w:szCs w:val="72"/>
          <w:lang w:val="sr-Cyrl-RS"/>
        </w:rPr>
        <w:t>наставак повољних кретања на тржишту рада која ће се пре свега огледати у снажнијем расту просечних зарада и достизању једноцифрене стопе незапослености. Интензивираним радом инспекцијских служби, након унапређене радне легислативе и доне</w:t>
      </w:r>
      <w:r w:rsidR="00CE1358" w:rsidRPr="00A37BCE">
        <w:rPr>
          <w:rFonts w:cstheme="minorHAnsi"/>
          <w:bCs/>
          <w:color w:val="44546A" w:themeColor="text2"/>
          <w:sz w:val="20"/>
          <w:szCs w:val="72"/>
          <w:lang w:val="sr-Cyrl-RS"/>
        </w:rPr>
        <w:t>с</w:t>
      </w:r>
      <w:r w:rsidRPr="00A37BCE">
        <w:rPr>
          <w:rFonts w:cstheme="minorHAnsi"/>
          <w:bCs/>
          <w:color w:val="44546A" w:themeColor="text2"/>
          <w:sz w:val="20"/>
          <w:szCs w:val="72"/>
          <w:lang w:val="sr-Cyrl-RS"/>
        </w:rPr>
        <w:t>ених мера у правцу пореског растерећења рада, наставиће се смањење броја запослених у сивој зони и њихово превођење у конти</w:t>
      </w:r>
      <w:r w:rsidR="005A3CA5" w:rsidRPr="00A37BCE">
        <w:rPr>
          <w:rFonts w:cstheme="minorHAnsi"/>
          <w:bCs/>
          <w:color w:val="44546A" w:themeColor="text2"/>
          <w:sz w:val="20"/>
          <w:szCs w:val="72"/>
          <w:lang w:val="sr-Cyrl-RS"/>
        </w:rPr>
        <w:t>н</w:t>
      </w:r>
      <w:r w:rsidRPr="00A37BCE">
        <w:rPr>
          <w:rFonts w:cstheme="minorHAnsi"/>
          <w:bCs/>
          <w:color w:val="44546A" w:themeColor="text2"/>
          <w:sz w:val="20"/>
          <w:szCs w:val="72"/>
          <w:lang w:val="sr-Cyrl-RS"/>
        </w:rPr>
        <w:t>гент формално запослених. Овим ће услови рада, у погледу права и осигурања радника, бити унапређени, а позитиван ефекат ће се одразити и на приходе буџета. На крају средњорочног периода очекује се ефектуирање комплексних реформи образовног система и адекватан одговор на потребе привреде, док ће се активним мерама обука, преквалификација и под</w:t>
      </w:r>
      <w:r w:rsidR="005A3CA5" w:rsidRPr="00A37BCE">
        <w:rPr>
          <w:rFonts w:cstheme="minorHAnsi"/>
          <w:bCs/>
          <w:color w:val="44546A" w:themeColor="text2"/>
          <w:sz w:val="20"/>
          <w:szCs w:val="72"/>
          <w:lang w:val="sr-Cyrl-RS"/>
        </w:rPr>
        <w:t>р</w:t>
      </w:r>
      <w:r w:rsidRPr="00A37BCE">
        <w:rPr>
          <w:rFonts w:cstheme="minorHAnsi"/>
          <w:bCs/>
          <w:color w:val="44546A" w:themeColor="text2"/>
          <w:sz w:val="20"/>
          <w:szCs w:val="72"/>
          <w:lang w:val="sr-Cyrl-RS"/>
        </w:rPr>
        <w:t>шке социјалном предузетништву олакшати доступност радних места социјално рањивим категоријама друштва и тиме додатно обезбедити инклузивност привредног раста. У истом правцу деловаће и ново подизање минималне цене рада, која ће од</w:t>
      </w:r>
      <w:r w:rsidR="0065080C" w:rsidRPr="00A37BCE">
        <w:rPr>
          <w:rFonts w:cstheme="minorHAnsi"/>
          <w:bCs/>
          <w:color w:val="44546A" w:themeColor="text2"/>
          <w:sz w:val="20"/>
          <w:szCs w:val="72"/>
          <w:lang w:val="sr-Cyrl-RS"/>
        </w:rPr>
        <w:t xml:space="preserve"> јануара 2019. године уместо 143</w:t>
      </w:r>
      <w:r w:rsidRPr="00A37BCE">
        <w:rPr>
          <w:rFonts w:cstheme="minorHAnsi"/>
          <w:bCs/>
          <w:color w:val="44546A" w:themeColor="text2"/>
          <w:sz w:val="20"/>
          <w:szCs w:val="72"/>
          <w:lang w:val="sr-Cyrl-RS"/>
        </w:rPr>
        <w:t xml:space="preserve"> динара по радном часу износити 155</w:t>
      </w:r>
      <w:r w:rsidR="004243B9" w:rsidRPr="00A37BCE">
        <w:rPr>
          <w:rFonts w:cstheme="minorHAnsi"/>
          <w:bCs/>
          <w:color w:val="44546A" w:themeColor="text2"/>
          <w:sz w:val="20"/>
          <w:szCs w:val="72"/>
          <w:lang w:val="sr-Cyrl-RS"/>
        </w:rPr>
        <w:t>,3</w:t>
      </w:r>
      <w:r w:rsidRPr="00A37BCE">
        <w:rPr>
          <w:rFonts w:cstheme="minorHAnsi"/>
          <w:bCs/>
          <w:color w:val="44546A" w:themeColor="text2"/>
          <w:sz w:val="20"/>
          <w:szCs w:val="72"/>
          <w:lang w:val="sr-Cyrl-RS"/>
        </w:rPr>
        <w:t xml:space="preserve"> динара. Са друге стране, очекује се да ће раст реалних нето зарада у приватном сектору пратити раст продуктивности у привреди и бити бржи него у јавном сектору што ће резултирати смањењем јаза који између њих постоји.</w:t>
      </w:r>
    </w:p>
    <w:p w14:paraId="1CCD02E8" w14:textId="77777777" w:rsidR="00F97457" w:rsidRPr="00A37BCE" w:rsidRDefault="00F97457" w:rsidP="00F97457">
      <w:pPr>
        <w:rPr>
          <w:rFonts w:cstheme="minorHAnsi"/>
          <w:b/>
          <w:color w:val="2F5496" w:themeColor="accent1" w:themeShade="BF"/>
          <w:lang w:val="sr-Cyrl-RS"/>
        </w:rPr>
      </w:pPr>
      <w:r w:rsidRPr="00A37BCE">
        <w:rPr>
          <w:rFonts w:cstheme="minorHAnsi"/>
          <w:b/>
          <w:color w:val="2F5496" w:themeColor="accent1" w:themeShade="BF"/>
          <w:lang w:val="sr-Cyrl-RS"/>
        </w:rPr>
        <w:t>Монетарна кретања</w:t>
      </w:r>
    </w:p>
    <w:p w14:paraId="7FF550A0" w14:textId="5A59E842" w:rsidR="00F97457" w:rsidRPr="00A37BCE" w:rsidRDefault="00AC146A" w:rsidP="00F97457">
      <w:pPr>
        <w:jc w:val="both"/>
        <w:rPr>
          <w:rFonts w:cstheme="minorHAnsi"/>
          <w:bCs/>
          <w:color w:val="44546A" w:themeColor="text2"/>
          <w:sz w:val="20"/>
          <w:szCs w:val="72"/>
          <w:lang w:val="sr-Cyrl-RS"/>
        </w:rPr>
      </w:pPr>
      <w:r>
        <w:rPr>
          <w:rFonts w:cstheme="minorHAnsi"/>
          <w:bCs/>
          <w:color w:val="44546A" w:themeColor="text2"/>
          <w:sz w:val="20"/>
          <w:szCs w:val="72"/>
          <w:lang w:val="sr-Cyrl-RS"/>
        </w:rPr>
        <w:t>Имајући у виду очекивано кретање инфлације и њених фактора у наредном периоду, као и усидрена инфлациона очекивања, НБС је и током</w:t>
      </w:r>
      <w:r w:rsidR="00DB4B7A">
        <w:rPr>
          <w:rFonts w:cstheme="minorHAnsi"/>
          <w:bCs/>
          <w:color w:val="44546A" w:themeColor="text2"/>
          <w:sz w:val="20"/>
          <w:szCs w:val="72"/>
          <w:lang w:val="sr-Cyrl-RS"/>
        </w:rPr>
        <w:t xml:space="preserve"> 2018. године ублажавала монетарну политику, што је пружило подршку расту кредитне активности. </w:t>
      </w:r>
      <w:r w:rsidR="00F97457" w:rsidRPr="00A37BCE">
        <w:rPr>
          <w:rFonts w:cstheme="minorHAnsi"/>
          <w:bCs/>
          <w:color w:val="44546A" w:themeColor="text2"/>
          <w:sz w:val="20"/>
          <w:szCs w:val="72"/>
          <w:lang w:val="sr-Cyrl-RS"/>
        </w:rPr>
        <w:t xml:space="preserve">Референтна каматна стопа је снижена у марту и априлу за по 0,25 </w:t>
      </w:r>
      <w:r w:rsidR="005D635E">
        <w:rPr>
          <w:rFonts w:cstheme="minorHAnsi"/>
          <w:bCs/>
          <w:color w:val="44546A" w:themeColor="text2"/>
          <w:sz w:val="20"/>
          <w:szCs w:val="72"/>
          <w:lang w:val="sr-Cyrl-RS"/>
        </w:rPr>
        <w:t>п. п.</w:t>
      </w:r>
      <w:r w:rsidR="00F97457" w:rsidRPr="00A37BCE">
        <w:rPr>
          <w:rFonts w:cstheme="minorHAnsi"/>
          <w:bCs/>
          <w:color w:val="44546A" w:themeColor="text2"/>
          <w:sz w:val="20"/>
          <w:szCs w:val="72"/>
          <w:lang w:val="sr-Cyrl-RS"/>
        </w:rPr>
        <w:t xml:space="preserve"> и </w:t>
      </w:r>
      <w:r w:rsidR="0047251C" w:rsidRPr="00A37BCE">
        <w:rPr>
          <w:rFonts w:cstheme="minorHAnsi"/>
          <w:bCs/>
          <w:color w:val="44546A" w:themeColor="text2"/>
          <w:sz w:val="20"/>
          <w:szCs w:val="72"/>
          <w:lang w:val="sr-Cyrl-RS"/>
        </w:rPr>
        <w:t>тренутно</w:t>
      </w:r>
      <w:r w:rsidR="00F97457" w:rsidRPr="00A37BCE">
        <w:rPr>
          <w:rFonts w:cstheme="minorHAnsi"/>
          <w:bCs/>
          <w:color w:val="44546A" w:themeColor="text2"/>
          <w:sz w:val="20"/>
          <w:szCs w:val="72"/>
          <w:lang w:val="sr-Cyrl-RS"/>
        </w:rPr>
        <w:t xml:space="preserve"> се налази на историјском минимуму од 3,0%. Стопа девизне обавезне резерве је на нивоу с почетка 2016. године, када је последњи пут смањена и износи 20% за обавезу рочности до две године, односно 13% за обавезу рочности преко две године. У складу са стратегијом динаризације, актуелне стопе обавезне динарске резерве за рочност до две године</w:t>
      </w:r>
      <w:r w:rsidR="005965A5">
        <w:rPr>
          <w:rFonts w:cstheme="minorHAnsi"/>
          <w:bCs/>
          <w:color w:val="44546A" w:themeColor="text2"/>
          <w:sz w:val="20"/>
          <w:szCs w:val="72"/>
          <w:lang w:val="sr-Cyrl-RS"/>
        </w:rPr>
        <w:t xml:space="preserve"> и преко две године су ниже и износе 5,0% и 0,0%, респективно.</w:t>
      </w:r>
    </w:p>
    <w:p w14:paraId="0122FBDF" w14:textId="4FAB3CC4" w:rsidR="00F97457" w:rsidRPr="00A37BCE" w:rsidRDefault="00F97457" w:rsidP="00F97457">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lastRenderedPageBreak/>
        <w:t xml:space="preserve">И поред интензивних активности банака на решавању </w:t>
      </w:r>
      <w:r w:rsidR="00FB6B61">
        <w:rPr>
          <w:rFonts w:cstheme="minorHAnsi"/>
          <w:bCs/>
          <w:color w:val="44546A" w:themeColor="text2"/>
          <w:sz w:val="20"/>
          <w:szCs w:val="72"/>
          <w:lang w:val="sr-Cyrl-RS"/>
        </w:rPr>
        <w:t>проблематичних</w:t>
      </w:r>
      <w:r w:rsidRPr="00A37BCE">
        <w:rPr>
          <w:rFonts w:cstheme="minorHAnsi"/>
          <w:bCs/>
          <w:color w:val="44546A" w:themeColor="text2"/>
          <w:sz w:val="20"/>
          <w:szCs w:val="72"/>
          <w:lang w:val="sr-Cyrl-RS"/>
        </w:rPr>
        <w:t xml:space="preserve"> потраживања, према подацима НБС кредитна активност наставља да расте и током 2018. године. Убрзање кредитне активности подржано је привредним растом, побољшањима на тржишту рада и повољнијим условима задуживања. С једне стране блажа монетарна политика и јача међубанкарска конкуренција резултира ниским каматним стопама на динарске кредите, док са друге стране ниска премија ризика земље и ниске каматне стопе на тржишту новца у зони евра омогућавају низак ниво стопа на девизно индексиране кредите. У другом кварталу 2018. године регистрован је раст укупних кредита за 2,6% (без ефекта промене девизног курса). Кредити становништву већи су за 4,2%, а кредити привреди за 1,2%. Међугодишње посматрано, на крају другог квартала раст је износио 7,6%, при чему становништву за 11,1% а привреди за 5,5%. Након искључења ефеката отписа и продаје проблематичних кредита, међугодишњи раст је још израженији, па је укупних кредита на крају другог квартала више за 14,1%, од чега становништву за 14,3%, а привреди за 14,5%. Током другог квартала, привреди је одобрено нових кредита за 14,9% више у односу на претходни квартал, од којих се 52% односило на </w:t>
      </w:r>
      <w:r w:rsidRPr="00B8517C">
        <w:rPr>
          <w:rFonts w:cstheme="minorHAnsi"/>
          <w:bCs/>
          <w:color w:val="44546A" w:themeColor="text2"/>
          <w:spacing w:val="-2"/>
          <w:sz w:val="20"/>
          <w:szCs w:val="72"/>
          <w:lang w:val="sr-Cyrl-RS"/>
        </w:rPr>
        <w:t xml:space="preserve">кредите за обртна средства, а 26% на инвестиционе кредите. Истовремено, становништву је нових кредита одобрено за 15,8% више, са доминантним учешћем динарских готовинских кредита. Посматрано у </w:t>
      </w:r>
      <w:r w:rsidR="00B8517C" w:rsidRPr="00B8517C">
        <w:rPr>
          <w:rFonts w:cstheme="minorHAnsi"/>
          <w:bCs/>
          <w:color w:val="44546A" w:themeColor="text2"/>
          <w:spacing w:val="-2"/>
          <w:sz w:val="20"/>
          <w:szCs w:val="72"/>
          <w:lang w:val="sr-Cyrl-RS"/>
        </w:rPr>
        <w:t>међугодишњој</w:t>
      </w:r>
      <w:r w:rsidRPr="00A37BCE">
        <w:rPr>
          <w:rFonts w:cstheme="minorHAnsi"/>
          <w:bCs/>
          <w:color w:val="44546A" w:themeColor="text2"/>
          <w:sz w:val="20"/>
          <w:szCs w:val="72"/>
          <w:lang w:val="sr-Cyrl-RS"/>
        </w:rPr>
        <w:t xml:space="preserve"> динамици у августу су укупни домаћи кредити повећани за 6,0% мг, од тога становништву 11,0%, а прив</w:t>
      </w:r>
      <w:r w:rsidR="00972218" w:rsidRPr="00A37BCE">
        <w:rPr>
          <w:rFonts w:cstheme="minorHAnsi"/>
          <w:bCs/>
          <w:color w:val="44546A" w:themeColor="text2"/>
          <w:sz w:val="20"/>
          <w:szCs w:val="72"/>
          <w:lang w:val="sr-Cyrl-RS"/>
        </w:rPr>
        <w:t>реди 2,3%.</w:t>
      </w:r>
      <w:r w:rsidRPr="00A37BCE">
        <w:rPr>
          <w:rFonts w:cstheme="minorHAnsi"/>
          <w:bCs/>
          <w:color w:val="44546A" w:themeColor="text2"/>
          <w:sz w:val="20"/>
          <w:szCs w:val="72"/>
          <w:lang w:val="sr-Cyrl-RS"/>
        </w:rPr>
        <w:t xml:space="preserve"> И овде је значајан утицај отписа и продаје</w:t>
      </w:r>
      <w:r w:rsidR="006F09FD" w:rsidRPr="00A37BCE">
        <w:rPr>
          <w:rFonts w:cstheme="minorHAnsi"/>
          <w:bCs/>
          <w:color w:val="44546A" w:themeColor="text2"/>
          <w:sz w:val="20"/>
          <w:szCs w:val="72"/>
          <w:lang w:val="sr-Cyrl-RS"/>
        </w:rPr>
        <w:t xml:space="preserve"> НПЛ,</w:t>
      </w:r>
      <w:r w:rsidRPr="00A37BCE">
        <w:rPr>
          <w:rFonts w:cstheme="minorHAnsi"/>
          <w:bCs/>
          <w:color w:val="44546A" w:themeColor="text2"/>
          <w:sz w:val="20"/>
          <w:szCs w:val="72"/>
          <w:lang w:val="sr-Cyrl-RS"/>
        </w:rPr>
        <w:t xml:space="preserve"> па је након искључења овог ефекта раст укупних кредита већи за 13,0% мг, при чему кредита привреди за </w:t>
      </w:r>
      <w:r w:rsidR="00E643E2">
        <w:rPr>
          <w:rFonts w:cstheme="minorHAnsi"/>
          <w:bCs/>
          <w:color w:val="44546A" w:themeColor="text2"/>
          <w:sz w:val="20"/>
          <w:szCs w:val="72"/>
          <w:lang w:val="sr-Cyrl-RS"/>
        </w:rPr>
        <w:t>12,5%, а становништву за 14,1%. Иако се кредитна активност убрзава, учешће кредита у БДП се налази испод свог дугорочног тренда обрачунато у складу са методологијом</w:t>
      </w:r>
      <w:r w:rsidR="00E643E2" w:rsidRPr="00E643E2">
        <w:t xml:space="preserve"> </w:t>
      </w:r>
      <w:r w:rsidR="00E643E2" w:rsidRPr="00E643E2">
        <w:rPr>
          <w:rFonts w:cstheme="minorHAnsi"/>
          <w:bCs/>
          <w:color w:val="44546A" w:themeColor="text2"/>
          <w:sz w:val="20"/>
          <w:szCs w:val="72"/>
          <w:lang w:val="sr-Cyrl-RS"/>
        </w:rPr>
        <w:t>за утврђивање стопе контрацикличног заштитног слоја капитала</w:t>
      </w:r>
      <w:r w:rsidR="00E643E2">
        <w:rPr>
          <w:rFonts w:cstheme="minorHAnsi"/>
          <w:bCs/>
          <w:color w:val="44546A" w:themeColor="text2"/>
          <w:sz w:val="20"/>
          <w:szCs w:val="72"/>
          <w:lang w:val="sr-Cyrl-RS"/>
        </w:rPr>
        <w:t>, тако да не представља ризик по финансијску стабилност</w:t>
      </w:r>
      <w:r w:rsidRPr="00A37BCE">
        <w:rPr>
          <w:rFonts w:cstheme="minorHAnsi"/>
          <w:bCs/>
          <w:color w:val="44546A" w:themeColor="text2"/>
          <w:sz w:val="20"/>
          <w:szCs w:val="72"/>
          <w:lang w:val="sr-Cyrl-RS"/>
        </w:rPr>
        <w:t xml:space="preserve">. Стратегијом за смањење нивоа </w:t>
      </w:r>
      <w:r w:rsidR="00FB6B61" w:rsidRPr="00FB6B61">
        <w:rPr>
          <w:rFonts w:cstheme="minorHAnsi"/>
          <w:bCs/>
          <w:color w:val="44546A" w:themeColor="text2"/>
          <w:sz w:val="20"/>
          <w:szCs w:val="72"/>
          <w:lang w:val="sr-Cyrl-RS"/>
        </w:rPr>
        <w:t>проблематичних</w:t>
      </w:r>
      <w:r w:rsidRPr="00A37BCE">
        <w:rPr>
          <w:rFonts w:cstheme="minorHAnsi"/>
          <w:bCs/>
          <w:color w:val="44546A" w:themeColor="text2"/>
          <w:sz w:val="20"/>
          <w:szCs w:val="72"/>
          <w:lang w:val="sr-Cyrl-RS"/>
        </w:rPr>
        <w:t xml:space="preserve"> кредита, која је започета у другој половини 2015. године, учешће проблематичних кредита банкарск</w:t>
      </w:r>
      <w:r w:rsidR="00972218" w:rsidRPr="00A37BCE">
        <w:rPr>
          <w:rFonts w:cstheme="minorHAnsi"/>
          <w:bCs/>
          <w:color w:val="44546A" w:themeColor="text2"/>
          <w:sz w:val="20"/>
          <w:szCs w:val="72"/>
          <w:lang w:val="sr-Cyrl-RS"/>
        </w:rPr>
        <w:t xml:space="preserve">ог сектора у укупним кредитима </w:t>
      </w:r>
      <w:r w:rsidRPr="00A37BCE">
        <w:rPr>
          <w:rFonts w:cstheme="minorHAnsi"/>
          <w:bCs/>
          <w:color w:val="44546A" w:themeColor="text2"/>
          <w:sz w:val="20"/>
          <w:szCs w:val="72"/>
          <w:lang w:val="sr-Cyrl-RS"/>
        </w:rPr>
        <w:t xml:space="preserve">рапидно је смањено и на крају </w:t>
      </w:r>
      <w:r w:rsidRPr="00A37BCE">
        <w:rPr>
          <w:rFonts w:cstheme="minorHAnsi"/>
          <w:bCs/>
          <w:color w:val="44546A" w:themeColor="text2"/>
          <w:sz w:val="20"/>
          <w:szCs w:val="72"/>
          <w:lang w:val="sr-Cyrl-RS"/>
        </w:rPr>
        <w:lastRenderedPageBreak/>
        <w:t xml:space="preserve">августа 2018. године износило је 6,5%. Стање проблематичних кредита је </w:t>
      </w:r>
      <w:r w:rsidR="002976D7" w:rsidRPr="00A37BCE">
        <w:rPr>
          <w:rFonts w:cstheme="minorHAnsi"/>
          <w:bCs/>
          <w:color w:val="44546A" w:themeColor="text2"/>
          <w:sz w:val="20"/>
          <w:szCs w:val="72"/>
          <w:lang w:val="sr-Cyrl-RS"/>
        </w:rPr>
        <w:t xml:space="preserve">за </w:t>
      </w:r>
      <w:r w:rsidRPr="00A37BCE">
        <w:rPr>
          <w:rFonts w:cstheme="minorHAnsi"/>
          <w:bCs/>
          <w:color w:val="44546A" w:themeColor="text2"/>
          <w:sz w:val="20"/>
          <w:szCs w:val="72"/>
          <w:lang w:val="sr-Cyrl-RS"/>
        </w:rPr>
        <w:t>мање од три године снижено за око 60%, а њихово учешће у укупним кредитима спуштено испод пре</w:t>
      </w:r>
      <w:r w:rsidR="000D35C5">
        <w:rPr>
          <w:rFonts w:cstheme="minorHAnsi"/>
          <w:bCs/>
          <w:color w:val="44546A" w:themeColor="text2"/>
          <w:sz w:val="20"/>
          <w:szCs w:val="72"/>
          <w:lang w:val="sr-Cyrl-RS"/>
        </w:rPr>
        <w:t>д</w:t>
      </w:r>
      <w:r w:rsidRPr="00A37BCE">
        <w:rPr>
          <w:rFonts w:cstheme="minorHAnsi"/>
          <w:bCs/>
          <w:color w:val="44546A" w:themeColor="text2"/>
          <w:sz w:val="20"/>
          <w:szCs w:val="72"/>
          <w:lang w:val="sr-Cyrl-RS"/>
        </w:rPr>
        <w:t>кризног нивоа и код привреде и код становништва.</w:t>
      </w:r>
    </w:p>
    <w:p w14:paraId="0C2CA77E" w14:textId="078765B9" w:rsidR="00E31C39" w:rsidRPr="00A37BCE" w:rsidRDefault="00E4595A" w:rsidP="00E31C39">
      <w:pPr>
        <w:pStyle w:val="Caption"/>
        <w:keepNext/>
        <w:jc w:val="center"/>
        <w:rPr>
          <w:rFonts w:cstheme="minorHAnsi"/>
          <w:b/>
          <w:i w:val="0"/>
          <w:iCs w:val="0"/>
          <w:color w:val="002060"/>
          <w:sz w:val="20"/>
          <w:szCs w:val="22"/>
          <w:lang w:val="sr-Cyrl-RS"/>
        </w:rPr>
      </w:pPr>
      <w:r w:rsidRPr="00A37BCE">
        <w:rPr>
          <w:rFonts w:cstheme="minorHAnsi"/>
          <w:b/>
          <w:i w:val="0"/>
          <w:iCs w:val="0"/>
          <w:color w:val="002060"/>
          <w:sz w:val="20"/>
          <w:szCs w:val="22"/>
          <w:lang w:val="sr-Cyrl-RS"/>
        </w:rPr>
        <w:t>Проблематични кредити</w:t>
      </w:r>
      <w:r w:rsidR="0058317B" w:rsidRPr="00A37BCE">
        <w:rPr>
          <w:rFonts w:cstheme="minorHAnsi"/>
          <w:b/>
          <w:i w:val="0"/>
          <w:iCs w:val="0"/>
          <w:color w:val="002060"/>
          <w:sz w:val="20"/>
          <w:szCs w:val="22"/>
          <w:lang w:val="sr-Cyrl-RS"/>
        </w:rPr>
        <w:t>, млрд РСД</w:t>
      </w:r>
    </w:p>
    <w:p w14:paraId="11DA720F" w14:textId="0BA361CA" w:rsidR="00DA6AEB" w:rsidRPr="00A37BCE" w:rsidRDefault="00F97457" w:rsidP="00F97457">
      <w:pPr>
        <w:jc w:val="both"/>
        <w:rPr>
          <w:rFonts w:cstheme="minorHAnsi"/>
          <w:bCs/>
          <w:color w:val="44546A" w:themeColor="text2"/>
          <w:sz w:val="20"/>
          <w:szCs w:val="72"/>
          <w:lang w:val="sr-Cyrl-RS"/>
        </w:rPr>
      </w:pPr>
      <w:r w:rsidRPr="00A37BCE">
        <w:rPr>
          <w:rFonts w:cstheme="minorHAnsi"/>
          <w:bCs/>
          <w:noProof/>
          <w:color w:val="44546A" w:themeColor="text2"/>
          <w:sz w:val="20"/>
          <w:szCs w:val="72"/>
        </w:rPr>
        <w:drawing>
          <wp:inline distT="0" distB="0" distL="0" distR="0" wp14:anchorId="5FB8BBD6" wp14:editId="48D6EA73">
            <wp:extent cx="2743200" cy="18288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rediti-01.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743200" cy="1828800"/>
                    </a:xfrm>
                    <a:prstGeom prst="rect">
                      <a:avLst/>
                    </a:prstGeom>
                  </pic:spPr>
                </pic:pic>
              </a:graphicData>
            </a:graphic>
          </wp:inline>
        </w:drawing>
      </w:r>
      <w:r w:rsidR="00DA6AEB" w:rsidRPr="00A37BCE">
        <w:rPr>
          <w:rFonts w:cstheme="minorHAnsi"/>
          <w:bCs/>
          <w:color w:val="44546A" w:themeColor="text2"/>
          <w:sz w:val="16"/>
          <w:szCs w:val="72"/>
          <w:lang w:val="sr-Cyrl-RS"/>
        </w:rPr>
        <w:t>Извор: НБС</w:t>
      </w:r>
    </w:p>
    <w:p w14:paraId="34C81F39" w14:textId="5FDC0C9F" w:rsidR="00592092" w:rsidRPr="00A37BCE" w:rsidRDefault="00592092" w:rsidP="00592092">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Такође, анкета НБС о кредитној активности</w:t>
      </w:r>
      <w:r w:rsidR="00972218" w:rsidRPr="00A37BCE">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t xml:space="preserve">банака показује даље ублажавање кредитних стандарда и за привреду и за становништво у првој половини године, уз очекивање наставка оваквих кретања и у трећем кварталу. Регистрована кретања и очекивања базирана су на интензивираној економској активности, већој спремности банака на преузимање ризика, јачој конкуренцији и нижим трошковима извора за кредите. Важно је истаћи да су банке оцениле смањење проблематичних потраживања као сигнификантан фактор који ће деловати у смеру даљег </w:t>
      </w:r>
      <w:r w:rsidR="00A72FBB" w:rsidRPr="00A37BCE">
        <w:rPr>
          <w:rFonts w:cstheme="minorHAnsi"/>
          <w:bCs/>
          <w:color w:val="44546A" w:themeColor="text2"/>
          <w:sz w:val="20"/>
          <w:szCs w:val="72"/>
          <w:lang w:val="sr-Cyrl-RS"/>
        </w:rPr>
        <w:t>ублажавања кредитних стандарда.</w:t>
      </w:r>
    </w:p>
    <w:p w14:paraId="7C62A0B9" w14:textId="531F0180" w:rsidR="00592092" w:rsidRPr="00A37BCE" w:rsidRDefault="00592092" w:rsidP="00592092">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Апрецијаци</w:t>
      </w:r>
      <w:r w:rsidR="005A3CA5" w:rsidRPr="00A37BCE">
        <w:rPr>
          <w:rFonts w:cstheme="minorHAnsi"/>
          <w:bCs/>
          <w:color w:val="44546A" w:themeColor="text2"/>
          <w:sz w:val="20"/>
          <w:szCs w:val="72"/>
          <w:lang w:val="sr-Cyrl-RS"/>
        </w:rPr>
        <w:t>ј</w:t>
      </w:r>
      <w:r w:rsidRPr="00A37BCE">
        <w:rPr>
          <w:rFonts w:cstheme="minorHAnsi"/>
          <w:bCs/>
          <w:color w:val="44546A" w:themeColor="text2"/>
          <w:sz w:val="20"/>
          <w:szCs w:val="72"/>
          <w:lang w:val="sr-Cyrl-RS"/>
        </w:rPr>
        <w:t>ски притисци започети током 2017. године настављени су у 2018. години и од</w:t>
      </w:r>
      <w:r w:rsidR="005A3CA5" w:rsidRPr="00A37BCE">
        <w:rPr>
          <w:rFonts w:cstheme="minorHAnsi"/>
          <w:bCs/>
          <w:color w:val="44546A" w:themeColor="text2"/>
          <w:sz w:val="20"/>
          <w:szCs w:val="72"/>
          <w:lang w:val="sr-Cyrl-RS"/>
        </w:rPr>
        <w:t>ражавају повољнија платнобилансн</w:t>
      </w:r>
      <w:r w:rsidR="0047251C">
        <w:rPr>
          <w:rFonts w:cstheme="minorHAnsi"/>
          <w:bCs/>
          <w:color w:val="44546A" w:themeColor="text2"/>
          <w:sz w:val="20"/>
          <w:szCs w:val="72"/>
          <w:lang w:val="sr-Cyrl-RS"/>
        </w:rPr>
        <w:t>а кретања. Резултат су значај</w:t>
      </w:r>
      <w:r w:rsidRPr="00A37BCE">
        <w:rPr>
          <w:rFonts w:cstheme="minorHAnsi"/>
          <w:bCs/>
          <w:color w:val="44546A" w:themeColor="text2"/>
          <w:sz w:val="20"/>
          <w:szCs w:val="72"/>
          <w:lang w:val="sr-Cyrl-RS"/>
        </w:rPr>
        <w:t>ног раста извоза и високог прилива СДИ. Посматрано по факторима домаћег девизног тржишта, јачање динара пре свега је резултат високог откупа ефективног страног новца и раста</w:t>
      </w:r>
      <w:r w:rsidR="00CC3B2C">
        <w:rPr>
          <w:rFonts w:cstheme="minorHAnsi"/>
          <w:bCs/>
          <w:color w:val="44546A" w:themeColor="text2"/>
          <w:sz w:val="20"/>
          <w:szCs w:val="72"/>
          <w:lang w:val="sr-Cyrl-RS"/>
        </w:rPr>
        <w:t xml:space="preserve"> валутно индексираног кредитирања</w:t>
      </w:r>
      <w:r w:rsidRPr="00A37BCE">
        <w:rPr>
          <w:rFonts w:cstheme="minorHAnsi"/>
          <w:bCs/>
          <w:color w:val="44546A" w:themeColor="text2"/>
          <w:sz w:val="20"/>
          <w:szCs w:val="72"/>
          <w:lang w:val="sr-Cyrl-RS"/>
        </w:rPr>
        <w:t xml:space="preserve">, затим повећане заинтересованости страних инвеститора за улагање у државне динарске ХоВ, али и повећаних плаћања платним картицама нерезидената у </w:t>
      </w:r>
      <w:r w:rsidR="00E74834">
        <w:rPr>
          <w:rFonts w:cstheme="minorHAnsi"/>
          <w:bCs/>
          <w:color w:val="44546A" w:themeColor="text2"/>
          <w:sz w:val="20"/>
          <w:szCs w:val="72"/>
          <w:lang w:val="sr-Cyrl-RS"/>
        </w:rPr>
        <w:t xml:space="preserve">Републици </w:t>
      </w:r>
      <w:r w:rsidRPr="00A37BCE">
        <w:rPr>
          <w:rFonts w:cstheme="minorHAnsi"/>
          <w:bCs/>
          <w:color w:val="44546A" w:themeColor="text2"/>
          <w:sz w:val="20"/>
          <w:szCs w:val="72"/>
          <w:lang w:val="sr-Cyrl-RS"/>
        </w:rPr>
        <w:t>Србији. Посматрано од почетка године НБС је нето куповала девизе. Девизне резерве су</w:t>
      </w:r>
      <w:r w:rsidR="005A3CA5" w:rsidRPr="00A37BCE">
        <w:rPr>
          <w:rFonts w:cstheme="minorHAnsi"/>
          <w:bCs/>
          <w:color w:val="44546A" w:themeColor="text2"/>
          <w:sz w:val="20"/>
          <w:szCs w:val="72"/>
          <w:lang w:val="sr-Cyrl-RS"/>
        </w:rPr>
        <w:t xml:space="preserve"> на крају септембра износиле 11,</w:t>
      </w:r>
      <w:r w:rsidR="004243B9" w:rsidRPr="00A37BCE">
        <w:rPr>
          <w:rFonts w:cstheme="minorHAnsi"/>
          <w:bCs/>
          <w:color w:val="44546A" w:themeColor="text2"/>
          <w:sz w:val="20"/>
          <w:szCs w:val="72"/>
          <w:lang w:val="sr-Cyrl-RS"/>
        </w:rPr>
        <w:t>2 милијарде евра</w:t>
      </w:r>
      <w:r w:rsidR="00D82D2A">
        <w:rPr>
          <w:rFonts w:cstheme="minorHAnsi"/>
          <w:bCs/>
          <w:color w:val="44546A" w:themeColor="text2"/>
          <w:sz w:val="20"/>
          <w:szCs w:val="72"/>
          <w:lang w:val="sr-Cyrl-RS"/>
        </w:rPr>
        <w:t>.</w:t>
      </w:r>
    </w:p>
    <w:p w14:paraId="28087BDB" w14:textId="0983DCFA" w:rsidR="00592092" w:rsidRPr="00D82D2A" w:rsidRDefault="00592092" w:rsidP="00592092">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lastRenderedPageBreak/>
        <w:t xml:space="preserve">Девизним резервама на овом нивоу обезбеђује се покривеност новчане масе M1 од 191 одсто и око шест месеци увоза робе и услуга, што је готово двоструко више од стандарда којим се утврђује адекватан ниво покривености увоза робе и услуга девизним резервама. </w:t>
      </w:r>
      <w:r w:rsidR="00E4595A" w:rsidRPr="00A37BCE">
        <w:rPr>
          <w:rFonts w:cstheme="minorHAnsi"/>
          <w:bCs/>
          <w:color w:val="44546A" w:themeColor="text2"/>
          <w:sz w:val="20"/>
          <w:szCs w:val="72"/>
          <w:lang w:val="sr-Cyrl-RS"/>
        </w:rPr>
        <w:t>У септембру 2018. године, на међугодишњем нивоу динар је у просеку забележио номиналну и реалну апрецијацију (од по 0,</w:t>
      </w:r>
      <w:r w:rsidR="00BC1484" w:rsidRPr="00A37BCE">
        <w:rPr>
          <w:rFonts w:cstheme="minorHAnsi"/>
          <w:bCs/>
          <w:color w:val="44546A" w:themeColor="text2"/>
          <w:sz w:val="20"/>
          <w:szCs w:val="72"/>
          <w:lang w:val="sr-Cyrl-RS"/>
        </w:rPr>
        <w:t xml:space="preserve">9%) а од почетка године НБС је </w:t>
      </w:r>
      <w:r w:rsidR="00E4595A" w:rsidRPr="00A37BCE">
        <w:rPr>
          <w:rFonts w:cstheme="minorHAnsi"/>
          <w:bCs/>
          <w:color w:val="44546A" w:themeColor="text2"/>
          <w:sz w:val="20"/>
          <w:szCs w:val="72"/>
          <w:lang w:val="sr-Cyrl-RS"/>
        </w:rPr>
        <w:t>интервенисала нето куповином од 1,6 млрд евра како би краткорочне осцилације биле ублажене.</w:t>
      </w:r>
    </w:p>
    <w:p w14:paraId="321CA161" w14:textId="5ED6929D" w:rsidR="00E31C39" w:rsidRPr="00A37BCE" w:rsidRDefault="00E31C39" w:rsidP="00E31C39">
      <w:pPr>
        <w:pStyle w:val="Caption"/>
        <w:keepNext/>
        <w:jc w:val="center"/>
        <w:rPr>
          <w:rFonts w:cstheme="minorHAnsi"/>
          <w:b/>
          <w:i w:val="0"/>
          <w:iCs w:val="0"/>
          <w:color w:val="002060"/>
          <w:sz w:val="20"/>
          <w:szCs w:val="22"/>
          <w:lang w:val="sr-Cyrl-RS"/>
        </w:rPr>
      </w:pPr>
      <w:r w:rsidRPr="00A37BCE">
        <w:rPr>
          <w:rFonts w:cstheme="minorHAnsi"/>
          <w:b/>
          <w:i w:val="0"/>
          <w:iCs w:val="0"/>
          <w:color w:val="002060"/>
          <w:sz w:val="20"/>
          <w:szCs w:val="22"/>
          <w:lang w:val="sr-Cyrl-RS"/>
        </w:rPr>
        <w:t>Девизне резерве и девизна штедња</w:t>
      </w:r>
      <w:r w:rsidR="007C1DF7" w:rsidRPr="00A37BCE">
        <w:rPr>
          <w:rFonts w:cstheme="minorHAnsi"/>
          <w:b/>
          <w:i w:val="0"/>
          <w:iCs w:val="0"/>
          <w:color w:val="002060"/>
          <w:sz w:val="20"/>
          <w:szCs w:val="22"/>
          <w:lang w:val="sr-Cyrl-RS"/>
        </w:rPr>
        <w:t xml:space="preserve">, мил. </w:t>
      </w:r>
      <w:r w:rsidR="000D35C5">
        <w:rPr>
          <w:rFonts w:cstheme="minorHAnsi"/>
          <w:b/>
          <w:i w:val="0"/>
          <w:iCs w:val="0"/>
          <w:color w:val="002060"/>
          <w:sz w:val="20"/>
          <w:szCs w:val="22"/>
          <w:lang w:val="sr-Cyrl-RS"/>
        </w:rPr>
        <w:t>евра</w:t>
      </w:r>
    </w:p>
    <w:p w14:paraId="379877B8" w14:textId="4BC3428E" w:rsidR="00B11D45" w:rsidRPr="00A37BCE" w:rsidRDefault="00784D33" w:rsidP="00592092">
      <w:pPr>
        <w:jc w:val="both"/>
        <w:rPr>
          <w:rFonts w:cstheme="minorHAnsi"/>
          <w:bCs/>
          <w:color w:val="44546A" w:themeColor="text2"/>
          <w:sz w:val="20"/>
          <w:szCs w:val="72"/>
          <w:lang w:val="sr-Cyrl-RS"/>
        </w:rPr>
      </w:pPr>
      <w:r w:rsidRPr="00A37BCE">
        <w:rPr>
          <w:rFonts w:cstheme="minorHAnsi"/>
          <w:bCs/>
          <w:noProof/>
          <w:color w:val="44546A" w:themeColor="text2"/>
          <w:sz w:val="20"/>
          <w:szCs w:val="72"/>
        </w:rPr>
        <w:drawing>
          <wp:inline distT="0" distB="0" distL="0" distR="0" wp14:anchorId="4C94607C" wp14:editId="7316CE10">
            <wp:extent cx="2742690" cy="1569720"/>
            <wp:effectExtent l="0" t="0" r="63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evizne rezerve i štednja-01.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749686" cy="1573724"/>
                    </a:xfrm>
                    <a:prstGeom prst="rect">
                      <a:avLst/>
                    </a:prstGeom>
                  </pic:spPr>
                </pic:pic>
              </a:graphicData>
            </a:graphic>
          </wp:inline>
        </w:drawing>
      </w:r>
      <w:r w:rsidR="00DA6AEB" w:rsidRPr="00A37BCE">
        <w:rPr>
          <w:rFonts w:cstheme="minorHAnsi"/>
          <w:bCs/>
          <w:color w:val="44546A" w:themeColor="text2"/>
          <w:sz w:val="16"/>
          <w:szCs w:val="72"/>
          <w:lang w:val="sr-Cyrl-RS"/>
        </w:rPr>
        <w:t>Извор: НБС</w:t>
      </w:r>
    </w:p>
    <w:p w14:paraId="65993AC4" w14:textId="59BEF3F2" w:rsidR="00E31C39" w:rsidRPr="00A37BCE" w:rsidRDefault="00E31C39" w:rsidP="00E31C39">
      <w:pPr>
        <w:pStyle w:val="Caption"/>
        <w:keepNext/>
        <w:jc w:val="center"/>
        <w:rPr>
          <w:rFonts w:cstheme="minorHAnsi"/>
          <w:b/>
          <w:i w:val="0"/>
          <w:iCs w:val="0"/>
          <w:color w:val="002060"/>
          <w:sz w:val="20"/>
          <w:szCs w:val="22"/>
          <w:lang w:val="sr-Cyrl-RS"/>
        </w:rPr>
      </w:pPr>
      <w:r w:rsidRPr="00A37BCE">
        <w:rPr>
          <w:rFonts w:cstheme="minorHAnsi"/>
          <w:b/>
          <w:i w:val="0"/>
          <w:iCs w:val="0"/>
          <w:color w:val="002060"/>
          <w:sz w:val="20"/>
          <w:szCs w:val="22"/>
          <w:lang w:val="sr-Cyrl-RS"/>
        </w:rPr>
        <w:t>Девизни курс и интервенције НБС на девизном тржишту</w:t>
      </w:r>
    </w:p>
    <w:p w14:paraId="5B2CBE83" w14:textId="2A6A956D" w:rsidR="00DA6AEB" w:rsidRPr="00A37BCE" w:rsidRDefault="00784D33" w:rsidP="00592092">
      <w:pPr>
        <w:jc w:val="both"/>
        <w:rPr>
          <w:rFonts w:cstheme="minorHAnsi"/>
          <w:bCs/>
          <w:color w:val="44546A" w:themeColor="text2"/>
          <w:sz w:val="20"/>
          <w:szCs w:val="72"/>
          <w:lang w:val="sr-Cyrl-RS"/>
        </w:rPr>
      </w:pPr>
      <w:r w:rsidRPr="00A37BCE">
        <w:rPr>
          <w:rFonts w:cstheme="minorHAnsi"/>
          <w:bCs/>
          <w:noProof/>
          <w:color w:val="44546A" w:themeColor="text2"/>
          <w:sz w:val="20"/>
          <w:szCs w:val="72"/>
        </w:rPr>
        <w:drawing>
          <wp:inline distT="0" distB="0" distL="0" distR="0" wp14:anchorId="5612B531" wp14:editId="2047BE8F">
            <wp:extent cx="2742280" cy="1569720"/>
            <wp:effectExtent l="0" t="0" r="127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ntervencije-01.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753602" cy="1576201"/>
                    </a:xfrm>
                    <a:prstGeom prst="rect">
                      <a:avLst/>
                    </a:prstGeom>
                  </pic:spPr>
                </pic:pic>
              </a:graphicData>
            </a:graphic>
          </wp:inline>
        </w:drawing>
      </w:r>
      <w:r w:rsidR="00DA6AEB" w:rsidRPr="00A37BCE">
        <w:rPr>
          <w:rFonts w:cstheme="minorHAnsi"/>
          <w:bCs/>
          <w:color w:val="44546A" w:themeColor="text2"/>
          <w:sz w:val="16"/>
          <w:szCs w:val="72"/>
          <w:lang w:val="sr-Cyrl-RS"/>
        </w:rPr>
        <w:t>Извор: НБС</w:t>
      </w:r>
    </w:p>
    <w:p w14:paraId="6EB98163" w14:textId="019C3935" w:rsidR="0037637C" w:rsidRPr="00A37BCE" w:rsidRDefault="0037637C" w:rsidP="0037637C">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 xml:space="preserve">Достигнута фискална и монетарна стабилност, уз пуну </w:t>
      </w:r>
      <w:r w:rsidR="0047251C" w:rsidRPr="00A37BCE">
        <w:rPr>
          <w:rFonts w:cstheme="minorHAnsi"/>
          <w:bCs/>
          <w:color w:val="44546A" w:themeColor="text2"/>
          <w:sz w:val="20"/>
          <w:szCs w:val="72"/>
          <w:lang w:val="sr-Cyrl-RS"/>
        </w:rPr>
        <w:t>координацију</w:t>
      </w:r>
      <w:r w:rsidRPr="00A37BCE">
        <w:rPr>
          <w:rFonts w:cstheme="minorHAnsi"/>
          <w:bCs/>
          <w:color w:val="44546A" w:themeColor="text2"/>
          <w:sz w:val="20"/>
          <w:szCs w:val="72"/>
          <w:lang w:val="sr-Cyrl-RS"/>
        </w:rPr>
        <w:t xml:space="preserve"> мера фискалних и монетарних власти, подстиче даљи процес динаризације. У последњих неколико година, динаризација пласмана становништву имала је изражен тренд раста – са 35,1% у 2012. години на 53,1% у августу 2018. Динаризација депозита привреде и становништва износи 30,9%, што је за 11,5 </w:t>
      </w:r>
      <w:r w:rsidR="005D635E">
        <w:rPr>
          <w:rFonts w:cstheme="minorHAnsi"/>
          <w:bCs/>
          <w:color w:val="44546A" w:themeColor="text2"/>
          <w:sz w:val="20"/>
          <w:szCs w:val="72"/>
          <w:lang w:val="sr-Cyrl-RS"/>
        </w:rPr>
        <w:t>п. п.</w:t>
      </w:r>
      <w:r w:rsidR="006F09FD" w:rsidRPr="00A37BCE">
        <w:rPr>
          <w:rFonts w:cstheme="minorHAnsi"/>
          <w:bCs/>
          <w:color w:val="44546A" w:themeColor="text2"/>
          <w:sz w:val="20"/>
          <w:szCs w:val="72"/>
          <w:lang w:val="sr-Cyrl-RS"/>
        </w:rPr>
        <w:t xml:space="preserve"> више у односу на крај 2012. И</w:t>
      </w:r>
      <w:r w:rsidRPr="00A37BCE">
        <w:rPr>
          <w:rFonts w:cstheme="minorHAnsi"/>
          <w:bCs/>
          <w:color w:val="44546A" w:themeColor="text2"/>
          <w:sz w:val="20"/>
          <w:szCs w:val="72"/>
          <w:lang w:val="sr-Cyrl-RS"/>
        </w:rPr>
        <w:t xml:space="preserve">стовремено, динаризација пласмана сектору привреде и становништва износи 32,5% и виша је за 4,5 </w:t>
      </w:r>
      <w:r w:rsidR="005D635E">
        <w:rPr>
          <w:rFonts w:cstheme="minorHAnsi"/>
          <w:bCs/>
          <w:color w:val="44546A" w:themeColor="text2"/>
          <w:sz w:val="20"/>
          <w:szCs w:val="72"/>
          <w:lang w:val="sr-Cyrl-RS"/>
        </w:rPr>
        <w:t>п. п.</w:t>
      </w:r>
      <w:r w:rsidRPr="00A37BCE">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lastRenderedPageBreak/>
        <w:t>Штедња становништва у септембру 2018. године</w:t>
      </w:r>
      <w:r w:rsidR="0015290B" w:rsidRPr="00A37BCE">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t>бележи свој историјски максимум и износи 1.177 милијарди динара, уз константно повећање учешћа динарске у струк</w:t>
      </w:r>
      <w:r w:rsidR="00A72FBB" w:rsidRPr="00A37BCE">
        <w:rPr>
          <w:rFonts w:cstheme="minorHAnsi"/>
          <w:bCs/>
          <w:color w:val="44546A" w:themeColor="text2"/>
          <w:sz w:val="20"/>
          <w:szCs w:val="72"/>
          <w:lang w:val="sr-Cyrl-RS"/>
        </w:rPr>
        <w:t>тури укупне штедње.</w:t>
      </w:r>
    </w:p>
    <w:p w14:paraId="05DAC6CC" w14:textId="56D96119" w:rsidR="00D642C4" w:rsidRPr="00A37BCE" w:rsidRDefault="0037637C" w:rsidP="00A33807">
      <w:pPr>
        <w:jc w:val="both"/>
        <w:rPr>
          <w:rFonts w:cstheme="minorHAnsi"/>
          <w:iCs/>
          <w:color w:val="002060"/>
          <w:sz w:val="20"/>
          <w:lang w:val="sr-Cyrl-RS"/>
        </w:rPr>
      </w:pPr>
      <w:r w:rsidRPr="00A37BCE">
        <w:rPr>
          <w:rFonts w:cstheme="minorHAnsi"/>
          <w:bCs/>
          <w:color w:val="44546A" w:themeColor="text2"/>
          <w:sz w:val="20"/>
          <w:szCs w:val="72"/>
          <w:lang w:val="sr-Cyrl-RS"/>
        </w:rPr>
        <w:t>Инф</w:t>
      </w:r>
      <w:r w:rsidR="00CD148A" w:rsidRPr="00A37BCE">
        <w:rPr>
          <w:rFonts w:cstheme="minorHAnsi"/>
          <w:bCs/>
          <w:color w:val="44546A" w:themeColor="text2"/>
          <w:sz w:val="20"/>
          <w:szCs w:val="72"/>
          <w:lang w:val="sr-Cyrl-RS"/>
        </w:rPr>
        <w:t xml:space="preserve">латорни притисци </w:t>
      </w:r>
      <w:r w:rsidRPr="00A37BCE">
        <w:rPr>
          <w:rFonts w:cstheme="minorHAnsi"/>
          <w:bCs/>
          <w:color w:val="44546A" w:themeColor="text2"/>
          <w:sz w:val="20"/>
          <w:szCs w:val="72"/>
          <w:lang w:val="sr-Cyrl-RS"/>
        </w:rPr>
        <w:t>о</w:t>
      </w:r>
      <w:r w:rsidR="00CD148A" w:rsidRPr="00A37BCE">
        <w:rPr>
          <w:rFonts w:cstheme="minorHAnsi"/>
          <w:bCs/>
          <w:color w:val="44546A" w:themeColor="text2"/>
          <w:sz w:val="20"/>
          <w:szCs w:val="72"/>
          <w:lang w:val="sr-Cyrl-RS"/>
        </w:rPr>
        <w:t>стају ниски током 2018. године.</w:t>
      </w:r>
      <w:r w:rsidR="00CD148A" w:rsidRPr="00A37BCE">
        <w:rPr>
          <w:rFonts w:cstheme="minorHAnsi"/>
          <w:bCs/>
          <w:sz w:val="20"/>
          <w:szCs w:val="72"/>
          <w:lang w:val="sr-Cyrl-RS"/>
        </w:rPr>
        <w:t xml:space="preserve"> </w:t>
      </w:r>
      <w:r w:rsidRPr="00A37BCE">
        <w:rPr>
          <w:rFonts w:cstheme="minorHAnsi"/>
          <w:bCs/>
          <w:color w:val="44546A" w:themeColor="text2"/>
          <w:sz w:val="20"/>
          <w:szCs w:val="72"/>
          <w:lang w:val="sr-Cyrl-RS"/>
        </w:rPr>
        <w:t>Почетком године међугодишња инфлација је била успорена и кретала се око доње границе дефинисаног циља. Успоравање је било последица</w:t>
      </w:r>
      <w:r w:rsidR="00A008E1">
        <w:rPr>
          <w:rFonts w:cstheme="minorHAnsi"/>
          <w:bCs/>
          <w:color w:val="44546A" w:themeColor="text2"/>
          <w:sz w:val="20"/>
          <w:szCs w:val="72"/>
          <w:lang w:val="sr-Cyrl-RS"/>
        </w:rPr>
        <w:t xml:space="preserve"> ефекта високе базе</w:t>
      </w:r>
      <w:r w:rsidR="009A4AA4">
        <w:rPr>
          <w:rFonts w:cstheme="minorHAnsi"/>
          <w:bCs/>
          <w:color w:val="44546A" w:themeColor="text2"/>
          <w:sz w:val="20"/>
          <w:szCs w:val="72"/>
          <w:lang w:val="sr-Cyrl-RS"/>
        </w:rPr>
        <w:t>, односно</w:t>
      </w:r>
      <w:r w:rsidRPr="00A37BCE">
        <w:rPr>
          <w:rFonts w:cstheme="minorHAnsi"/>
          <w:bCs/>
          <w:color w:val="44546A" w:themeColor="text2"/>
          <w:sz w:val="20"/>
          <w:szCs w:val="72"/>
          <w:lang w:val="sr-Cyrl-RS"/>
        </w:rPr>
        <w:t xml:space="preserve"> једнократних поскупљења воћа и поврћа, нафтних деривата, прерађене хране и услуга мобилне телефоније почетком 2017. године. Додатни дезинфлаторни притисак у овом периоду долази од ниске инфлације у међународном окружењу, што је било подржано ефектима јачања динара у претходном периоду. Након минимума који је регистрован у априлу, међугодишња инфлација се од маја враћа у границе циља. У периоду другог квартала раст потрошачких цена је био опредељен растом цена поврћа, вишим ценама нафтних деривата, као и сезонским поскупљењем туристичких пакет-аранжмана. Међугодишња инфлација и у септембру наставља да се креће у границама дефинисаног циља НБС (3±1,5%) и износила је 2,1%. Тенденција приближавања централној вредности</w:t>
      </w:r>
      <w:r w:rsidR="00DA02AB">
        <w:rPr>
          <w:rFonts w:cstheme="minorHAnsi"/>
          <w:bCs/>
          <w:color w:val="44546A" w:themeColor="text2"/>
          <w:sz w:val="20"/>
          <w:szCs w:val="72"/>
          <w:lang w:val="sr-Cyrl-RS"/>
        </w:rPr>
        <w:t xml:space="preserve"> резултат је повећања </w:t>
      </w:r>
      <w:r w:rsidRPr="00A37BCE">
        <w:rPr>
          <w:rFonts w:cstheme="minorHAnsi"/>
          <w:bCs/>
          <w:color w:val="44546A" w:themeColor="text2"/>
          <w:sz w:val="20"/>
          <w:szCs w:val="72"/>
          <w:lang w:val="sr-Cyrl-RS"/>
        </w:rPr>
        <w:t>цена поврћа, нафтних деривата, дувана, дрва за огрев и туристичких</w:t>
      </w:r>
      <w:r w:rsidR="00DA02AB">
        <w:rPr>
          <w:rFonts w:cstheme="minorHAnsi"/>
          <w:bCs/>
          <w:color w:val="44546A" w:themeColor="text2"/>
          <w:sz w:val="20"/>
          <w:szCs w:val="72"/>
          <w:lang w:val="sr-Cyrl-RS"/>
        </w:rPr>
        <w:t xml:space="preserve"> пакет </w:t>
      </w:r>
      <w:r w:rsidRPr="00A37BCE">
        <w:rPr>
          <w:rFonts w:cstheme="minorHAnsi"/>
          <w:bCs/>
          <w:color w:val="44546A" w:themeColor="text2"/>
          <w:sz w:val="20"/>
          <w:szCs w:val="72"/>
          <w:lang w:val="sr-Cyrl-RS"/>
        </w:rPr>
        <w:t xml:space="preserve">аранжмана. </w:t>
      </w:r>
      <w:r w:rsidR="00DA02AB">
        <w:rPr>
          <w:rFonts w:cstheme="minorHAnsi"/>
          <w:bCs/>
          <w:color w:val="44546A" w:themeColor="text2"/>
          <w:sz w:val="20"/>
          <w:szCs w:val="72"/>
          <w:lang w:val="sr-Cyrl-RS"/>
        </w:rPr>
        <w:t>Од почетка године базна инфлација се креће око нивоа од 1%, а у септембру је регистрован ниво базне инфлације од 1,1%, што је такође потврда ниских инфлаторних притисака.</w:t>
      </w:r>
    </w:p>
    <w:p w14:paraId="1053AC69" w14:textId="3D3D4979" w:rsidR="00E31C39" w:rsidRPr="00A37BCE" w:rsidRDefault="00E31C39" w:rsidP="00E31C39">
      <w:pPr>
        <w:pStyle w:val="Caption"/>
        <w:keepNext/>
        <w:jc w:val="center"/>
        <w:rPr>
          <w:rFonts w:cstheme="minorHAnsi"/>
          <w:b/>
          <w:i w:val="0"/>
          <w:iCs w:val="0"/>
          <w:color w:val="002060"/>
          <w:sz w:val="20"/>
          <w:szCs w:val="22"/>
          <w:lang w:val="sr-Cyrl-RS"/>
        </w:rPr>
      </w:pPr>
      <w:r w:rsidRPr="00A37BCE">
        <w:rPr>
          <w:rFonts w:cstheme="minorHAnsi"/>
          <w:b/>
          <w:i w:val="0"/>
          <w:iCs w:val="0"/>
          <w:color w:val="002060"/>
          <w:sz w:val="20"/>
          <w:szCs w:val="22"/>
          <w:lang w:val="sr-Cyrl-RS"/>
        </w:rPr>
        <w:t xml:space="preserve">Инфлација и </w:t>
      </w:r>
      <w:r w:rsidR="0047251C" w:rsidRPr="00A37BCE">
        <w:rPr>
          <w:rFonts w:cstheme="minorHAnsi"/>
          <w:b/>
          <w:i w:val="0"/>
          <w:iCs w:val="0"/>
          <w:color w:val="002060"/>
          <w:sz w:val="20"/>
          <w:szCs w:val="22"/>
          <w:lang w:val="sr-Cyrl-RS"/>
        </w:rPr>
        <w:t>референтна</w:t>
      </w:r>
      <w:r w:rsidRPr="00A37BCE">
        <w:rPr>
          <w:rFonts w:cstheme="minorHAnsi"/>
          <w:b/>
          <w:i w:val="0"/>
          <w:iCs w:val="0"/>
          <w:color w:val="002060"/>
          <w:sz w:val="20"/>
          <w:szCs w:val="22"/>
          <w:lang w:val="sr-Cyrl-RS"/>
        </w:rPr>
        <w:t xml:space="preserve"> каматна стопа</w:t>
      </w:r>
    </w:p>
    <w:p w14:paraId="58E83E4A" w14:textId="7FCF2172" w:rsidR="0037637C" w:rsidRPr="00A37BCE" w:rsidRDefault="0037637C" w:rsidP="0037637C">
      <w:pPr>
        <w:jc w:val="both"/>
        <w:rPr>
          <w:rFonts w:cstheme="minorHAnsi"/>
          <w:bCs/>
          <w:color w:val="44546A" w:themeColor="text2"/>
          <w:sz w:val="20"/>
          <w:szCs w:val="72"/>
          <w:lang w:val="sr-Cyrl-RS"/>
        </w:rPr>
      </w:pPr>
      <w:r w:rsidRPr="00A37BCE">
        <w:rPr>
          <w:rFonts w:cstheme="minorHAnsi"/>
          <w:bCs/>
          <w:noProof/>
          <w:color w:val="44546A" w:themeColor="text2"/>
          <w:sz w:val="20"/>
          <w:szCs w:val="72"/>
        </w:rPr>
        <w:drawing>
          <wp:inline distT="0" distB="0" distL="0" distR="0" wp14:anchorId="47E2E5DF" wp14:editId="46C553FE">
            <wp:extent cx="2743200" cy="1802765"/>
            <wp:effectExtent l="0" t="0" r="0" b="698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Referentna-01.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743200" cy="1802765"/>
                    </a:xfrm>
                    <a:prstGeom prst="rect">
                      <a:avLst/>
                    </a:prstGeom>
                  </pic:spPr>
                </pic:pic>
              </a:graphicData>
            </a:graphic>
          </wp:inline>
        </w:drawing>
      </w:r>
    </w:p>
    <w:p w14:paraId="48430009" w14:textId="59E25646" w:rsidR="00C76EEB" w:rsidRPr="00A37BCE" w:rsidRDefault="00C76EEB" w:rsidP="0037637C">
      <w:pPr>
        <w:jc w:val="both"/>
        <w:rPr>
          <w:rFonts w:cstheme="minorHAnsi"/>
          <w:bCs/>
          <w:color w:val="44546A" w:themeColor="text2"/>
          <w:sz w:val="16"/>
          <w:szCs w:val="72"/>
          <w:lang w:val="sr-Cyrl-RS"/>
        </w:rPr>
      </w:pPr>
      <w:r w:rsidRPr="00A37BCE">
        <w:rPr>
          <w:rFonts w:cstheme="minorHAnsi"/>
          <w:bCs/>
          <w:color w:val="44546A" w:themeColor="text2"/>
          <w:sz w:val="16"/>
          <w:szCs w:val="72"/>
          <w:lang w:val="sr-Cyrl-RS"/>
        </w:rPr>
        <w:t>Извор: НБС</w:t>
      </w:r>
    </w:p>
    <w:p w14:paraId="2C03FA6F" w14:textId="2FC44567" w:rsidR="0037637C" w:rsidRPr="00A37BCE" w:rsidRDefault="0037637C" w:rsidP="0037637C">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lastRenderedPageBreak/>
        <w:t>Према пројекцији НБС</w:t>
      </w:r>
      <w:r w:rsidR="00465FE6">
        <w:rPr>
          <w:rFonts w:cstheme="minorHAnsi"/>
          <w:bCs/>
          <w:color w:val="44546A" w:themeColor="text2"/>
          <w:sz w:val="20"/>
          <w:szCs w:val="72"/>
          <w:lang w:val="sr-Cyrl-RS"/>
        </w:rPr>
        <w:t>,</w:t>
      </w:r>
      <w:r w:rsidRPr="00A37BCE">
        <w:rPr>
          <w:rFonts w:cstheme="minorHAnsi"/>
          <w:bCs/>
          <w:color w:val="44546A" w:themeColor="text2"/>
          <w:sz w:val="20"/>
          <w:szCs w:val="72"/>
          <w:lang w:val="sr-Cyrl-RS"/>
        </w:rPr>
        <w:t xml:space="preserve"> инфлација ће до краја 2018. године остати у границама</w:t>
      </w:r>
      <w:r w:rsidR="00465FE6">
        <w:rPr>
          <w:rFonts w:cstheme="minorHAnsi"/>
          <w:bCs/>
          <w:color w:val="44546A" w:themeColor="text2"/>
          <w:sz w:val="20"/>
          <w:szCs w:val="72"/>
          <w:lang w:val="sr-Cyrl-RS"/>
        </w:rPr>
        <w:t xml:space="preserve"> дозвољеног одступања од </w:t>
      </w:r>
      <w:r w:rsidRPr="00A37BCE">
        <w:rPr>
          <w:rFonts w:cstheme="minorHAnsi"/>
          <w:bCs/>
          <w:color w:val="44546A" w:themeColor="text2"/>
          <w:sz w:val="20"/>
          <w:szCs w:val="72"/>
          <w:lang w:val="sr-Cyrl-RS"/>
        </w:rPr>
        <w:t>циља. Оваква кретања биће настављена и у средњорочном периоду. До краја 2019. године извесно је кретање испод централне вредности циља, са приб</w:t>
      </w:r>
      <w:r w:rsidR="00972218" w:rsidRPr="00A37BCE">
        <w:rPr>
          <w:rFonts w:cstheme="minorHAnsi"/>
          <w:bCs/>
          <w:color w:val="44546A" w:themeColor="text2"/>
          <w:sz w:val="20"/>
          <w:szCs w:val="72"/>
          <w:lang w:val="sr-Cyrl-RS"/>
        </w:rPr>
        <w:t xml:space="preserve">лижавањем централној вредности </w:t>
      </w:r>
      <w:r w:rsidRPr="00A37BCE">
        <w:rPr>
          <w:rFonts w:cstheme="minorHAnsi"/>
          <w:bCs/>
          <w:color w:val="44546A" w:themeColor="text2"/>
          <w:sz w:val="20"/>
          <w:szCs w:val="72"/>
          <w:lang w:val="sr-Cyrl-RS"/>
        </w:rPr>
        <w:t>почетк</w:t>
      </w:r>
      <w:r w:rsidR="00767491">
        <w:rPr>
          <w:rFonts w:cstheme="minorHAnsi"/>
          <w:bCs/>
          <w:color w:val="44546A" w:themeColor="text2"/>
          <w:sz w:val="20"/>
          <w:szCs w:val="72"/>
          <w:lang w:val="sr-Cyrl-RS"/>
        </w:rPr>
        <w:t>ом</w:t>
      </w:r>
      <w:r w:rsidRPr="00A37BCE">
        <w:rPr>
          <w:rFonts w:cstheme="minorHAnsi"/>
          <w:bCs/>
          <w:color w:val="44546A" w:themeColor="text2"/>
          <w:sz w:val="20"/>
          <w:szCs w:val="72"/>
          <w:lang w:val="sr-Cyrl-RS"/>
        </w:rPr>
        <w:t xml:space="preserve"> године услед ефекта ниске референтне базе. Кретање инфлације у средњем року највећим делом ће бити детерминис</w:t>
      </w:r>
      <w:r w:rsidR="00735A07" w:rsidRPr="00A37BCE">
        <w:rPr>
          <w:rFonts w:cstheme="minorHAnsi"/>
          <w:bCs/>
          <w:color w:val="44546A" w:themeColor="text2"/>
          <w:sz w:val="20"/>
          <w:szCs w:val="72"/>
          <w:lang w:val="sr-Cyrl-RS"/>
        </w:rPr>
        <w:t>а</w:t>
      </w:r>
      <w:r w:rsidRPr="00A37BCE">
        <w:rPr>
          <w:rFonts w:cstheme="minorHAnsi"/>
          <w:bCs/>
          <w:color w:val="44546A" w:themeColor="text2"/>
          <w:sz w:val="20"/>
          <w:szCs w:val="72"/>
          <w:lang w:val="sr-Cyrl-RS"/>
        </w:rPr>
        <w:t>но растом агрегатне тражње и постепеним слабљењем дезинфлаторних притисака по основу апрецијације динара у претходном периоду. Раст домаће тражње у средњем року биће настављен по неколико основа. Са једне стране ће на раст рас</w:t>
      </w:r>
      <w:r w:rsidR="00735A07" w:rsidRPr="00A37BCE">
        <w:rPr>
          <w:rFonts w:cstheme="minorHAnsi"/>
          <w:bCs/>
          <w:color w:val="44546A" w:themeColor="text2"/>
          <w:sz w:val="20"/>
          <w:szCs w:val="72"/>
          <w:lang w:val="sr-Cyrl-RS"/>
        </w:rPr>
        <w:t>п</w:t>
      </w:r>
      <w:r w:rsidRPr="00A37BCE">
        <w:rPr>
          <w:rFonts w:cstheme="minorHAnsi"/>
          <w:bCs/>
          <w:color w:val="44546A" w:themeColor="text2"/>
          <w:sz w:val="20"/>
          <w:szCs w:val="72"/>
          <w:lang w:val="sr-Cyrl-RS"/>
        </w:rPr>
        <w:t>оложивог дохотка деловати побољшања на тржишту рада, раст пензија и плата у јавном сектору, док ће са друге стране ниже каматне стопе резултирати повољнијим условима задуживања. Почетком 2019. године очекује се постепени раст трошкова сировина у производњи хране, који ће бити детерминисан растом цена примарних пољопривредних производа на светском тржишту. Услед значајног раста цена групе воћа и поврћа током ове године, у наредној години је могућ и негативан допринос инфлацији ове компоненте, док ће према пројекцији, цена нафте на светском тржишту дати допринос који се креће око нуле. Непрехрамбена инфлација се и даље налази на ниском нивоу, а током следеће године се очекује њен умерен раст. Неизвесност у погледу остварења пројекције највећим делом је опредељена кретањима на међународним тржиштима. Ризик остварења пројекције који долази са робног тржишта пре свега је везан за волатилност крет</w:t>
      </w:r>
      <w:r w:rsidR="00767491">
        <w:rPr>
          <w:rFonts w:cstheme="minorHAnsi"/>
          <w:bCs/>
          <w:color w:val="44546A" w:themeColor="text2"/>
          <w:sz w:val="20"/>
          <w:szCs w:val="72"/>
          <w:lang w:val="sr-Cyrl-RS"/>
        </w:rPr>
        <w:t>а</w:t>
      </w:r>
      <w:r w:rsidRPr="00A37BCE">
        <w:rPr>
          <w:rFonts w:cstheme="minorHAnsi"/>
          <w:bCs/>
          <w:color w:val="44546A" w:themeColor="text2"/>
          <w:sz w:val="20"/>
          <w:szCs w:val="72"/>
          <w:lang w:val="sr-Cyrl-RS"/>
        </w:rPr>
        <w:t>ња цене нафте услед трговинских и политичких тензија. Такође, ризик носе и цене примарних пољопривредних пр</w:t>
      </w:r>
      <w:r w:rsidR="00BB590E" w:rsidRPr="00A37BCE">
        <w:rPr>
          <w:rFonts w:cstheme="minorHAnsi"/>
          <w:bCs/>
          <w:color w:val="44546A" w:themeColor="text2"/>
          <w:sz w:val="20"/>
          <w:szCs w:val="72"/>
          <w:lang w:val="sr-Cyrl-RS"/>
        </w:rPr>
        <w:t>о</w:t>
      </w:r>
      <w:r w:rsidRPr="00A37BCE">
        <w:rPr>
          <w:rFonts w:cstheme="minorHAnsi"/>
          <w:bCs/>
          <w:color w:val="44546A" w:themeColor="text2"/>
          <w:sz w:val="20"/>
          <w:szCs w:val="72"/>
          <w:lang w:val="sr-Cyrl-RS"/>
        </w:rPr>
        <w:t>извода, првенствено пшенице, услед лоших агрометеоролошких услова којим су погођени главни произвођачи. Ризици на финансијском тржишту опредељени су карактером монетарних политика ФЕД и ЕЦБ, односно могућношћу споријег темпа нормализације њихови</w:t>
      </w:r>
      <w:r w:rsidR="00A72FBB" w:rsidRPr="00A37BCE">
        <w:rPr>
          <w:rFonts w:cstheme="minorHAnsi"/>
          <w:bCs/>
          <w:color w:val="44546A" w:themeColor="text2"/>
          <w:sz w:val="20"/>
          <w:szCs w:val="72"/>
          <w:lang w:val="sr-Cyrl-RS"/>
        </w:rPr>
        <w:t>х политика.</w:t>
      </w:r>
    </w:p>
    <w:p w14:paraId="6D70363A" w14:textId="77777777" w:rsidR="003050C6" w:rsidRDefault="0037637C" w:rsidP="0037637C">
      <w:pPr>
        <w:jc w:val="both"/>
        <w:rPr>
          <w:rFonts w:cstheme="minorHAnsi"/>
          <w:bCs/>
          <w:color w:val="44546A" w:themeColor="text2"/>
          <w:sz w:val="20"/>
          <w:szCs w:val="72"/>
          <w:lang w:val="sr-Cyrl-RS"/>
        </w:rPr>
        <w:sectPr w:rsidR="003050C6" w:rsidSect="00010C73">
          <w:type w:val="continuous"/>
          <w:pgSz w:w="12240" w:h="15840"/>
          <w:pgMar w:top="1440" w:right="1440" w:bottom="1440" w:left="1440" w:header="720" w:footer="720" w:gutter="0"/>
          <w:cols w:num="2" w:space="720"/>
          <w:titlePg/>
          <w:docGrid w:linePitch="360"/>
          <w15:footnoteColumns w:val="1"/>
        </w:sectPr>
      </w:pPr>
      <w:r w:rsidRPr="00A37BCE">
        <w:rPr>
          <w:rFonts w:cstheme="minorHAnsi"/>
          <w:bCs/>
          <w:color w:val="44546A" w:themeColor="text2"/>
          <w:sz w:val="20"/>
          <w:szCs w:val="72"/>
          <w:lang w:val="sr-Cyrl-RS"/>
        </w:rPr>
        <w:t xml:space="preserve">Инфлациона очекивања су усидрена, што указује на одрживост ценовне стабилности у средњем року. Према септембарској анкети о инфлационим </w:t>
      </w:r>
    </w:p>
    <w:p w14:paraId="427AA5DE" w14:textId="7EB0AFFC" w:rsidR="0037637C" w:rsidRPr="00A37BCE" w:rsidRDefault="0037637C" w:rsidP="0037637C">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lastRenderedPageBreak/>
        <w:t>очекивањима</w:t>
      </w:r>
      <w:r w:rsidRPr="00A37BCE">
        <w:rPr>
          <w:rStyle w:val="FootnoteReference"/>
          <w:rFonts w:cstheme="minorHAnsi"/>
          <w:bCs/>
          <w:color w:val="44546A" w:themeColor="text2"/>
          <w:sz w:val="20"/>
          <w:szCs w:val="72"/>
          <w:lang w:val="sr-Cyrl-RS"/>
        </w:rPr>
        <w:footnoteReference w:id="4"/>
      </w:r>
      <w:r w:rsidRPr="00A37BCE">
        <w:rPr>
          <w:rFonts w:cstheme="minorHAnsi"/>
          <w:bCs/>
          <w:color w:val="44546A" w:themeColor="text2"/>
          <w:sz w:val="20"/>
          <w:szCs w:val="72"/>
          <w:lang w:val="sr-Cyrl-RS"/>
        </w:rPr>
        <w:t>, финансијски сектор антиципира инфлацију за наредних годину дана на нивоу централне вредности дефинисаног циља од 3,0%, а да ће у септембру 2020. године износити 3,2%. Привредници очекују инфлацију од 2,6% и у кратком и у средњем року.</w:t>
      </w:r>
    </w:p>
    <w:p w14:paraId="7884EE21" w14:textId="2059B3CA" w:rsidR="00E31C39" w:rsidRPr="00A37BCE" w:rsidRDefault="00E31C39" w:rsidP="00E31C39">
      <w:pPr>
        <w:pStyle w:val="Caption"/>
        <w:keepNext/>
        <w:jc w:val="center"/>
        <w:rPr>
          <w:rFonts w:cstheme="minorHAnsi"/>
          <w:b/>
          <w:i w:val="0"/>
          <w:iCs w:val="0"/>
          <w:color w:val="002060"/>
          <w:sz w:val="20"/>
          <w:szCs w:val="22"/>
          <w:lang w:val="sr-Cyrl-RS"/>
        </w:rPr>
      </w:pPr>
      <w:r w:rsidRPr="00A37BCE">
        <w:rPr>
          <w:rFonts w:cstheme="minorHAnsi"/>
          <w:b/>
          <w:i w:val="0"/>
          <w:iCs w:val="0"/>
          <w:color w:val="002060"/>
          <w:sz w:val="20"/>
          <w:szCs w:val="22"/>
          <w:lang w:val="sr-Cyrl-RS"/>
        </w:rPr>
        <w:t>Пројекција инфлације</w:t>
      </w:r>
      <w:r w:rsidR="00E028C9" w:rsidRPr="00A37BCE">
        <w:rPr>
          <w:rFonts w:cstheme="minorHAnsi"/>
          <w:b/>
          <w:i w:val="0"/>
          <w:iCs w:val="0"/>
          <w:color w:val="002060"/>
          <w:sz w:val="20"/>
          <w:szCs w:val="22"/>
          <w:lang w:val="sr-Cyrl-RS"/>
        </w:rPr>
        <w:t>, %</w:t>
      </w:r>
    </w:p>
    <w:p w14:paraId="4D747892" w14:textId="537D787B" w:rsidR="001604B9" w:rsidRPr="00A37BCE" w:rsidRDefault="00AE1420" w:rsidP="001604B9">
      <w:pPr>
        <w:jc w:val="both"/>
        <w:rPr>
          <w:rFonts w:cstheme="minorHAnsi"/>
          <w:noProof/>
          <w:sz w:val="16"/>
          <w:szCs w:val="16"/>
          <w:lang w:val="sr-Cyrl-RS"/>
        </w:rPr>
      </w:pPr>
      <w:r w:rsidRPr="00A37BCE">
        <w:rPr>
          <w:rFonts w:cstheme="minorHAnsi"/>
          <w:noProof/>
          <w:sz w:val="16"/>
          <w:szCs w:val="16"/>
        </w:rPr>
        <w:drawing>
          <wp:inline distT="0" distB="0" distL="0" distR="0" wp14:anchorId="58DC5263" wp14:editId="65AB1683">
            <wp:extent cx="2743200" cy="1323833"/>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nflacija-01.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2756537" cy="1330269"/>
                    </a:xfrm>
                    <a:prstGeom prst="rect">
                      <a:avLst/>
                    </a:prstGeom>
                  </pic:spPr>
                </pic:pic>
              </a:graphicData>
            </a:graphic>
          </wp:inline>
        </w:drawing>
      </w:r>
      <w:r w:rsidR="001604B9" w:rsidRPr="00A37BCE">
        <w:rPr>
          <w:rFonts w:cstheme="minorHAnsi"/>
          <w:bCs/>
          <w:color w:val="44546A" w:themeColor="text2"/>
          <w:sz w:val="16"/>
          <w:szCs w:val="72"/>
          <w:lang w:val="sr-Cyrl-RS"/>
        </w:rPr>
        <w:t>Извор: НБС</w:t>
      </w:r>
    </w:p>
    <w:p w14:paraId="7559D505" w14:textId="0597DC8D" w:rsidR="00523867" w:rsidRPr="00A37BCE" w:rsidRDefault="00523867" w:rsidP="00523867">
      <w:pPr>
        <w:jc w:val="both"/>
        <w:rPr>
          <w:rFonts w:cstheme="minorHAnsi"/>
          <w:b/>
          <w:color w:val="2F5496" w:themeColor="accent1" w:themeShade="BF"/>
          <w:lang w:val="sr-Cyrl-RS"/>
        </w:rPr>
      </w:pPr>
      <w:r w:rsidRPr="00A37BCE">
        <w:rPr>
          <w:rFonts w:cstheme="minorHAnsi"/>
          <w:b/>
          <w:color w:val="2F5496" w:themeColor="accent1" w:themeShade="BF"/>
          <w:lang w:val="sr-Cyrl-RS"/>
        </w:rPr>
        <w:t>Екстерни сектор</w:t>
      </w:r>
    </w:p>
    <w:p w14:paraId="5C92BE86" w14:textId="6CC49C55" w:rsidR="005E5FBA" w:rsidRPr="00A37BCE" w:rsidRDefault="005E5FBA" w:rsidP="005E5FBA">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Током 2017. године извоз бележи динамичан међугодишњи раст од 8,2%. Успоравајући ефекат лоше пољопривредне године компензован је убрзањем раста извоза прерађивачке индустрије. Увозна активност убрзана је услед повећане тражње за енергентима и инвестиционим добрима, што је у складу са забележеним интензивирањем инвестиционог циклуса. У истом правцу деловао је и раст цена нафте на светском тржишту започет средином године, подржан н</w:t>
      </w:r>
      <w:r w:rsidR="00A72FBB" w:rsidRPr="00A37BCE">
        <w:rPr>
          <w:rFonts w:cstheme="minorHAnsi"/>
          <w:bCs/>
          <w:color w:val="44546A" w:themeColor="text2"/>
          <w:sz w:val="20"/>
          <w:szCs w:val="72"/>
          <w:lang w:val="sr-Cyrl-RS"/>
        </w:rPr>
        <w:t>ешто блажим растом цена метала.</w:t>
      </w:r>
    </w:p>
    <w:p w14:paraId="5A33101D" w14:textId="7746FDC5" w:rsidR="00523867" w:rsidRPr="00A37BCE" w:rsidRDefault="005E5FBA" w:rsidP="005E5FBA">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Раст обима спољнотрговинске размене настављен је и током 2018. године и у првих девет месеци je међугодишње посматрано већи за 2,</w:t>
      </w:r>
      <w:r w:rsidR="00860124" w:rsidRPr="00A37BCE">
        <w:rPr>
          <w:rFonts w:cstheme="minorHAnsi"/>
          <w:bCs/>
          <w:color w:val="44546A" w:themeColor="text2"/>
          <w:sz w:val="20"/>
          <w:szCs w:val="72"/>
          <w:lang w:val="sr-Cyrl-RS"/>
        </w:rPr>
        <w:t>7 млрд евра. У периоду јануар–</w:t>
      </w:r>
      <w:r w:rsidRPr="00A37BCE">
        <w:rPr>
          <w:rFonts w:cstheme="minorHAnsi"/>
          <w:bCs/>
          <w:color w:val="44546A" w:themeColor="text2"/>
          <w:sz w:val="20"/>
          <w:szCs w:val="72"/>
          <w:lang w:val="sr-Cyrl-RS"/>
        </w:rPr>
        <w:t>септембар извезено је робе (ф.о.б) за 12,1 млрд евра, а увезено робе (ц.и.ф) за 15,9 млрд евра, што је повећање од 7,7% мг</w:t>
      </w:r>
      <w:r w:rsidR="002D7C40">
        <w:rPr>
          <w:rFonts w:cstheme="minorHAnsi"/>
          <w:bCs/>
          <w:color w:val="44546A" w:themeColor="text2"/>
          <w:sz w:val="20"/>
          <w:szCs w:val="72"/>
          <w:lang w:val="sr-Cyrl-RS"/>
        </w:rPr>
        <w:t>.</w:t>
      </w:r>
      <w:r w:rsidRPr="00A37BCE">
        <w:rPr>
          <w:rFonts w:cstheme="minorHAnsi"/>
          <w:bCs/>
          <w:color w:val="44546A" w:themeColor="text2"/>
          <w:sz w:val="20"/>
          <w:szCs w:val="72"/>
          <w:lang w:val="sr-Cyrl-RS"/>
        </w:rPr>
        <w:t xml:space="preserve"> и 12,8% мг, респективно. Оваквом динамиком извозно-увозних активности спољнотрговински дефицит је повећан. Међутим, будући да је то повећање највећим делом опредељено већим потребама привреде за репроматеријалом и инвестиционим добрима, очекује се убрзање </w:t>
      </w:r>
      <w:r w:rsidRPr="00A37BCE">
        <w:rPr>
          <w:rFonts w:cstheme="minorHAnsi"/>
          <w:bCs/>
          <w:color w:val="44546A" w:themeColor="text2"/>
          <w:sz w:val="20"/>
          <w:szCs w:val="72"/>
          <w:lang w:val="sr-Cyrl-RS"/>
        </w:rPr>
        <w:lastRenderedPageBreak/>
        <w:t xml:space="preserve">извоза у наредном периоду што ће резултирати постепеним смањењем дефицита. Раст извоза робе у овом периоду вођен је извозом основних метала и производа од гуме и пластике. Такође, значајан допринос расту извоза дала је аутомобилска, нафтна и машинска индустрија. Ових пет делатности опредељује око две трећине раста извоза у овом периоду и још једна је потврда значаја СДИ за нашу привреду. Расту увоза највише доприносе интермедијарни и капитални производи, односно посматрано по стандардној међународној трговинској класификацији раст увоза је опредељен појачаним потребама за нафтом, електричним, погонским и индустријским машинама и гвожђем и челиком. Спољнотрговински дефицит у првих девет месеци међугодишње је повећан за 935,6 мил. евра. На раст дефицита с једне стране је утицао интензивирани раст увоза нафте и машина где је дефицит повећан за 400,8 милиона евра, док је с друге стране расту дефицита допринело успоравање извоза пољопривредних производа и електричне опреме. Најзначајнији суфицит у овом периоду бележи прехрамбена индустрија, производња производа од гуме и пластике, производња моторних возила и производња намештаја. Покривеност робног увоза извозом изражена у еврима у првих девет месеци износила је 76%. Најважнији спољнотрговински партнери у периоду јануар–септембар 2018. године биле су земље ЕУ, на које се односило 67,1% укупног извоза и 61,1% укупног увоза. Највећи део укупног извоза (44,1%) у том периоду био је усмерен на тржиште пет земаља: Италија, Немачка, БиХ, Румунија и Руска Федерација. Увоз из Немачке, Италије, Кине, Руске Федерације и Мађарске чинио је такође 44,1% укупног увоза. Суфицит је остварен у размени са БиХ, Црном Гором, Македонијом, Румунијом, Бугарском, Словачком, Хрватском, Италијом, Великом Британијом, Шведском и Словенијом и износио је готово </w:t>
      </w:r>
      <w:r w:rsidR="00000738">
        <w:rPr>
          <w:rFonts w:cstheme="minorHAnsi"/>
          <w:bCs/>
          <w:color w:val="44546A" w:themeColor="text2"/>
          <w:sz w:val="20"/>
          <w:szCs w:val="72"/>
          <w:lang w:val="sr-Cyrl-RS"/>
        </w:rPr>
        <w:t>две</w:t>
      </w:r>
      <w:r w:rsidRPr="00A37BCE">
        <w:rPr>
          <w:rFonts w:cstheme="minorHAnsi"/>
          <w:bCs/>
          <w:color w:val="44546A" w:themeColor="text2"/>
          <w:sz w:val="20"/>
          <w:szCs w:val="72"/>
          <w:lang w:val="sr-Cyrl-RS"/>
        </w:rPr>
        <w:t xml:space="preserve"> млрд евра. Посматрано са становишта доприноса БДП нето извоз ће у 2018. години имати благо </w:t>
      </w:r>
      <w:r w:rsidRPr="00A37BCE">
        <w:rPr>
          <w:rFonts w:cstheme="minorHAnsi"/>
          <w:bCs/>
          <w:color w:val="44546A" w:themeColor="text2"/>
          <w:sz w:val="20"/>
          <w:szCs w:val="72"/>
          <w:lang w:val="sr-Cyrl-RS"/>
        </w:rPr>
        <w:lastRenderedPageBreak/>
        <w:t>негативан допринос, међутим, погледом на изворе интензивирања увоза и његову структуру за очекивати је побољшање спољнотрговинске размене већ током наредне године.</w:t>
      </w:r>
    </w:p>
    <w:p w14:paraId="774A9264" w14:textId="6AA8FA5D" w:rsidR="00E31C39" w:rsidRPr="00A37BCE" w:rsidRDefault="00E31C39" w:rsidP="00E31C39">
      <w:pPr>
        <w:pStyle w:val="Caption"/>
        <w:keepNext/>
        <w:jc w:val="center"/>
        <w:rPr>
          <w:rFonts w:cstheme="minorHAnsi"/>
          <w:b/>
          <w:i w:val="0"/>
          <w:iCs w:val="0"/>
          <w:color w:val="002060"/>
          <w:sz w:val="20"/>
          <w:szCs w:val="22"/>
          <w:lang w:val="sr-Cyrl-RS"/>
        </w:rPr>
      </w:pPr>
      <w:r w:rsidRPr="00A37BCE">
        <w:rPr>
          <w:rFonts w:cstheme="minorHAnsi"/>
          <w:b/>
          <w:i w:val="0"/>
          <w:iCs w:val="0"/>
          <w:color w:val="002060"/>
          <w:sz w:val="20"/>
          <w:szCs w:val="22"/>
          <w:lang w:val="sr-Cyrl-RS"/>
        </w:rPr>
        <w:t>Робна размена</w:t>
      </w:r>
      <w:r w:rsidR="00E028C9" w:rsidRPr="00A37BCE">
        <w:rPr>
          <w:rFonts w:cstheme="minorHAnsi"/>
          <w:b/>
          <w:i w:val="0"/>
          <w:iCs w:val="0"/>
          <w:color w:val="002060"/>
          <w:sz w:val="20"/>
          <w:szCs w:val="22"/>
          <w:lang w:val="sr-Cyrl-RS"/>
        </w:rPr>
        <w:t>, мил</w:t>
      </w:r>
      <w:r w:rsidR="00731D79" w:rsidRPr="00A37BCE">
        <w:rPr>
          <w:rFonts w:cstheme="minorHAnsi"/>
          <w:b/>
          <w:i w:val="0"/>
          <w:iCs w:val="0"/>
          <w:color w:val="002060"/>
          <w:sz w:val="20"/>
          <w:szCs w:val="22"/>
          <w:lang w:val="sr-Cyrl-RS"/>
        </w:rPr>
        <w:t>.</w:t>
      </w:r>
      <w:r w:rsidR="00E028C9" w:rsidRPr="00A37BCE">
        <w:rPr>
          <w:rFonts w:cstheme="minorHAnsi"/>
          <w:b/>
          <w:i w:val="0"/>
          <w:iCs w:val="0"/>
          <w:color w:val="002060"/>
          <w:sz w:val="20"/>
          <w:szCs w:val="22"/>
          <w:lang w:val="sr-Cyrl-RS"/>
        </w:rPr>
        <w:t xml:space="preserve"> </w:t>
      </w:r>
      <w:r w:rsidR="00000738">
        <w:rPr>
          <w:rFonts w:cstheme="minorHAnsi"/>
          <w:b/>
          <w:i w:val="0"/>
          <w:iCs w:val="0"/>
          <w:color w:val="002060"/>
          <w:sz w:val="20"/>
          <w:szCs w:val="22"/>
          <w:lang w:val="sr-Cyrl-RS"/>
        </w:rPr>
        <w:t>евра</w:t>
      </w:r>
    </w:p>
    <w:p w14:paraId="3BF77D65" w14:textId="5D16D658" w:rsidR="00030428" w:rsidRPr="00A37BCE" w:rsidRDefault="00F128EE" w:rsidP="00523867">
      <w:pPr>
        <w:jc w:val="both"/>
        <w:rPr>
          <w:rFonts w:cstheme="minorHAnsi"/>
          <w:noProof/>
          <w:sz w:val="16"/>
          <w:szCs w:val="16"/>
          <w:lang w:val="sr-Cyrl-RS"/>
        </w:rPr>
      </w:pPr>
      <w:r w:rsidRPr="00A37BCE">
        <w:rPr>
          <w:rFonts w:cstheme="minorHAnsi"/>
          <w:noProof/>
          <w:sz w:val="16"/>
          <w:szCs w:val="16"/>
        </w:rPr>
        <w:drawing>
          <wp:inline distT="0" distB="0" distL="0" distR="0" wp14:anchorId="48D9882C" wp14:editId="0680B98C">
            <wp:extent cx="2743200" cy="189484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Uvoz, izvoz, deficit kvartali-01.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743200" cy="1894840"/>
                    </a:xfrm>
                    <a:prstGeom prst="rect">
                      <a:avLst/>
                    </a:prstGeom>
                  </pic:spPr>
                </pic:pic>
              </a:graphicData>
            </a:graphic>
          </wp:inline>
        </w:drawing>
      </w:r>
      <w:r w:rsidR="00030428" w:rsidRPr="00A37BCE">
        <w:rPr>
          <w:rFonts w:cstheme="minorHAnsi"/>
          <w:bCs/>
          <w:color w:val="44546A" w:themeColor="text2"/>
          <w:sz w:val="16"/>
          <w:szCs w:val="72"/>
          <w:lang w:val="sr-Cyrl-RS"/>
        </w:rPr>
        <w:t>Извор: РЗС</w:t>
      </w:r>
    </w:p>
    <w:p w14:paraId="2A1671FF" w14:textId="6CBB875C" w:rsidR="005E5FBA" w:rsidRPr="00A37BCE" w:rsidRDefault="005E5FBA" w:rsidP="005E5FBA">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Према подацима НБС, учешће дефицита текућег рачуна платног биланса у првој</w:t>
      </w:r>
      <w:r w:rsidR="00486C6D" w:rsidRPr="00A37BCE">
        <w:rPr>
          <w:rFonts w:cstheme="minorHAnsi"/>
          <w:bCs/>
          <w:color w:val="44546A" w:themeColor="text2"/>
          <w:sz w:val="20"/>
          <w:szCs w:val="72"/>
          <w:lang w:val="sr-Cyrl-RS"/>
        </w:rPr>
        <w:t xml:space="preserve"> половини 2018. године у БДП </w:t>
      </w:r>
      <w:r w:rsidRPr="00A37BCE">
        <w:rPr>
          <w:rFonts w:cstheme="minorHAnsi"/>
          <w:bCs/>
          <w:color w:val="44546A" w:themeColor="text2"/>
          <w:sz w:val="20"/>
          <w:szCs w:val="72"/>
          <w:lang w:val="sr-Cyrl-RS"/>
        </w:rPr>
        <w:t>благо</w:t>
      </w:r>
      <w:r w:rsidR="00486C6D" w:rsidRPr="00A37BCE">
        <w:rPr>
          <w:rFonts w:cstheme="minorHAnsi"/>
          <w:bCs/>
          <w:color w:val="44546A" w:themeColor="text2"/>
          <w:sz w:val="20"/>
          <w:szCs w:val="72"/>
          <w:lang w:val="sr-Cyrl-RS"/>
        </w:rPr>
        <w:t xml:space="preserve"> је ниже</w:t>
      </w:r>
      <w:r w:rsidRPr="00A37BCE">
        <w:rPr>
          <w:rFonts w:cstheme="minorHAnsi"/>
          <w:bCs/>
          <w:color w:val="44546A" w:themeColor="text2"/>
          <w:sz w:val="20"/>
          <w:szCs w:val="72"/>
          <w:lang w:val="sr-Cyrl-RS"/>
        </w:rPr>
        <w:t xml:space="preserve"> у односу на претходну годину. Повећање дефицита у трговини робом компензовано је растом суфицита у размени услуга и секундарног дохотка, као и нижим дефицитом примарног дохотка. Посматрано у месечној динамици, у периоду јануар</w:t>
      </w:r>
      <w:r w:rsidR="002E4A8C" w:rsidRPr="00A37BCE">
        <w:rPr>
          <w:rFonts w:cstheme="minorHAnsi"/>
          <w:bCs/>
          <w:color w:val="44546A" w:themeColor="text2"/>
          <w:sz w:val="20"/>
          <w:szCs w:val="72"/>
          <w:lang w:val="sr-Cyrl-RS"/>
        </w:rPr>
        <w:t>–</w:t>
      </w:r>
      <w:r w:rsidRPr="00A37BCE">
        <w:rPr>
          <w:rFonts w:cstheme="minorHAnsi"/>
          <w:bCs/>
          <w:color w:val="44546A" w:themeColor="text2"/>
          <w:sz w:val="20"/>
          <w:szCs w:val="72"/>
          <w:lang w:val="sr-Cyrl-RS"/>
        </w:rPr>
        <w:t>август 2018. дефицит текућег рачуна је међугодишње већи за 6,9%. Овакав резултат је највећим делом последица нешто динамичнијег кретања увоза</w:t>
      </w:r>
      <w:r w:rsidR="00486C6D" w:rsidRPr="00A37BCE">
        <w:rPr>
          <w:rFonts w:cstheme="minorHAnsi"/>
          <w:bCs/>
          <w:color w:val="44546A" w:themeColor="text2"/>
          <w:sz w:val="20"/>
          <w:szCs w:val="72"/>
          <w:lang w:val="sr-Cyrl-RS"/>
        </w:rPr>
        <w:t xml:space="preserve"> роба и услуга</w:t>
      </w:r>
      <w:r w:rsidRPr="00A37BCE">
        <w:rPr>
          <w:rFonts w:cstheme="minorHAnsi"/>
          <w:bCs/>
          <w:color w:val="44546A" w:themeColor="text2"/>
          <w:sz w:val="20"/>
          <w:szCs w:val="72"/>
          <w:lang w:val="sr-Cyrl-RS"/>
        </w:rPr>
        <w:t xml:space="preserve"> од извоза, кој</w:t>
      </w:r>
      <w:r w:rsidR="00972218" w:rsidRPr="00A37BCE">
        <w:rPr>
          <w:rFonts w:cstheme="minorHAnsi"/>
          <w:bCs/>
          <w:color w:val="44546A" w:themeColor="text2"/>
          <w:sz w:val="20"/>
          <w:szCs w:val="72"/>
          <w:lang w:val="sr-Cyrl-RS"/>
        </w:rPr>
        <w:t>и су забележили раст од 13,6% и</w:t>
      </w:r>
      <w:r w:rsidRPr="00A37BCE">
        <w:rPr>
          <w:rFonts w:cstheme="minorHAnsi"/>
          <w:bCs/>
          <w:color w:val="44546A" w:themeColor="text2"/>
          <w:sz w:val="20"/>
          <w:szCs w:val="72"/>
          <w:lang w:val="sr-Cyrl-RS"/>
        </w:rPr>
        <w:t xml:space="preserve"> 10,5%, респективно. Дефицит текућег рачуна износио је 1.302,9 мил. евра и повећан је за 84,6 мил. евра у поређењу са истим периодом претходне године. Рачун роба бележи повећ</w:t>
      </w:r>
      <w:r w:rsidR="00777619" w:rsidRPr="00A37BCE">
        <w:rPr>
          <w:rFonts w:cstheme="minorHAnsi"/>
          <w:bCs/>
          <w:color w:val="44546A" w:themeColor="text2"/>
          <w:sz w:val="20"/>
          <w:szCs w:val="72"/>
          <w:lang w:val="sr-Cyrl-RS"/>
        </w:rPr>
        <w:t>а</w:t>
      </w:r>
      <w:r w:rsidRPr="00A37BCE">
        <w:rPr>
          <w:rFonts w:cstheme="minorHAnsi"/>
          <w:bCs/>
          <w:color w:val="44546A" w:themeColor="text2"/>
          <w:sz w:val="20"/>
          <w:szCs w:val="72"/>
          <w:lang w:val="sr-Cyrl-RS"/>
        </w:rPr>
        <w:t>ње дефицита за 29,9%, док рачун услуга бележи раст суфицита за 14,8%. Истовремено, прилив СДИ стабилно расте и обезбеђује више него потпуну покривеност дефицита текућег рачуна. Такође, дисперзијом</w:t>
      </w:r>
      <w:r w:rsidR="00273E35" w:rsidRPr="00A37BCE">
        <w:rPr>
          <w:rFonts w:cstheme="minorHAnsi"/>
          <w:bCs/>
          <w:color w:val="44546A" w:themeColor="text2"/>
          <w:sz w:val="20"/>
          <w:szCs w:val="72"/>
          <w:lang w:val="sr-Cyrl-RS"/>
        </w:rPr>
        <w:t xml:space="preserve"> СДИ обезбеђена је пожељна </w:t>
      </w:r>
      <w:r w:rsidRPr="00A37BCE">
        <w:rPr>
          <w:rFonts w:cstheme="minorHAnsi"/>
          <w:bCs/>
          <w:color w:val="44546A" w:themeColor="text2"/>
          <w:sz w:val="20"/>
          <w:szCs w:val="72"/>
          <w:lang w:val="sr-Cyrl-RS"/>
        </w:rPr>
        <w:t>распрострањеност по секторима који продукују размењива добра. Нето прилив СДИ у првих осам месеци износио је 1,7 млрд ев</w:t>
      </w:r>
      <w:r w:rsidR="00972218" w:rsidRPr="00A37BCE">
        <w:rPr>
          <w:rFonts w:cstheme="minorHAnsi"/>
          <w:bCs/>
          <w:color w:val="44546A" w:themeColor="text2"/>
          <w:sz w:val="20"/>
          <w:szCs w:val="72"/>
          <w:lang w:val="sr-Cyrl-RS"/>
        </w:rPr>
        <w:t xml:space="preserve">ра и међугодишње је повећан за </w:t>
      </w:r>
      <w:r w:rsidRPr="00A37BCE">
        <w:rPr>
          <w:rFonts w:cstheme="minorHAnsi"/>
          <w:bCs/>
          <w:color w:val="44546A" w:themeColor="text2"/>
          <w:sz w:val="20"/>
          <w:szCs w:val="72"/>
          <w:lang w:val="sr-Cyrl-RS"/>
        </w:rPr>
        <w:t>3,1%. Према структури СДИ за прву половину године, највећи прилив СДИ бележи прерађивачка индустрија и привлачи 449,2 мил. евра, што је преко 30% укупног износа нето СДИ у првих шест месеци. Значајни</w:t>
      </w:r>
      <w:r w:rsidR="00490411" w:rsidRPr="00A37BCE">
        <w:rPr>
          <w:rFonts w:cstheme="minorHAnsi"/>
          <w:bCs/>
          <w:color w:val="44546A" w:themeColor="text2"/>
          <w:sz w:val="20"/>
          <w:szCs w:val="72"/>
          <w:lang w:val="sr-Cyrl-RS"/>
        </w:rPr>
        <w:t xml:space="preserve"> приливи бележе се </w:t>
      </w:r>
      <w:r w:rsidRPr="00A37BCE">
        <w:rPr>
          <w:rFonts w:cstheme="minorHAnsi"/>
          <w:bCs/>
          <w:color w:val="44546A" w:themeColor="text2"/>
          <w:sz w:val="20"/>
          <w:szCs w:val="72"/>
          <w:lang w:val="sr-Cyrl-RS"/>
        </w:rPr>
        <w:t xml:space="preserve">и у финансијском сектору, трговини на велико и </w:t>
      </w:r>
      <w:r w:rsidRPr="00A37BCE">
        <w:rPr>
          <w:rFonts w:cstheme="minorHAnsi"/>
          <w:bCs/>
          <w:color w:val="44546A" w:themeColor="text2"/>
          <w:sz w:val="20"/>
          <w:szCs w:val="72"/>
          <w:lang w:val="sr-Cyrl-RS"/>
        </w:rPr>
        <w:lastRenderedPageBreak/>
        <w:t>мало и грађевинарству. Посматрано према географском пореклу, из ЕУ је у овом периоду стигло око 75% укупних инвестиција, а гледано по државама најзначајније су из Луксембурга, Холандије, Немачке, Велике Британије и Аустрије. У периоду јануар</w:t>
      </w:r>
      <w:r w:rsidR="002E4A8C" w:rsidRPr="00A37BCE">
        <w:rPr>
          <w:rFonts w:cstheme="minorHAnsi"/>
          <w:bCs/>
          <w:color w:val="44546A" w:themeColor="text2"/>
          <w:sz w:val="20"/>
          <w:szCs w:val="72"/>
          <w:lang w:val="sr-Cyrl-RS"/>
        </w:rPr>
        <w:t>–</w:t>
      </w:r>
      <w:r w:rsidRPr="00A37BCE">
        <w:rPr>
          <w:rFonts w:cstheme="minorHAnsi"/>
          <w:bCs/>
          <w:color w:val="44546A" w:themeColor="text2"/>
          <w:sz w:val="20"/>
          <w:szCs w:val="72"/>
          <w:lang w:val="sr-Cyrl-RS"/>
        </w:rPr>
        <w:t>август је остварен и прилив по основу портфолио инв</w:t>
      </w:r>
      <w:r w:rsidR="00777619" w:rsidRPr="00A37BCE">
        <w:rPr>
          <w:rFonts w:cstheme="minorHAnsi"/>
          <w:bCs/>
          <w:color w:val="44546A" w:themeColor="text2"/>
          <w:sz w:val="20"/>
          <w:szCs w:val="72"/>
          <w:lang w:val="sr-Cyrl-RS"/>
        </w:rPr>
        <w:t>е</w:t>
      </w:r>
      <w:r w:rsidRPr="00A37BCE">
        <w:rPr>
          <w:rFonts w:cstheme="minorHAnsi"/>
          <w:bCs/>
          <w:color w:val="44546A" w:themeColor="text2"/>
          <w:sz w:val="20"/>
          <w:szCs w:val="72"/>
          <w:lang w:val="sr-Cyrl-RS"/>
        </w:rPr>
        <w:t xml:space="preserve">стиција и износио је 150,1 мил. евра, док је у истом периоду прошле године био забележен одлив у </w:t>
      </w:r>
      <w:r w:rsidR="00777619" w:rsidRPr="00A37BCE">
        <w:rPr>
          <w:rFonts w:cstheme="minorHAnsi"/>
          <w:bCs/>
          <w:color w:val="44546A" w:themeColor="text2"/>
          <w:sz w:val="20"/>
          <w:szCs w:val="72"/>
          <w:lang w:val="sr-Cyrl-RS"/>
        </w:rPr>
        <w:t>износу од 162,8 мил. евра. Овак</w:t>
      </w:r>
      <w:r w:rsidRPr="00A37BCE">
        <w:rPr>
          <w:rFonts w:cstheme="minorHAnsi"/>
          <w:bCs/>
          <w:color w:val="44546A" w:themeColor="text2"/>
          <w:sz w:val="20"/>
          <w:szCs w:val="72"/>
          <w:lang w:val="sr-Cyrl-RS"/>
        </w:rPr>
        <w:t>ва кретања на финансијском рачуну доприносе наставку апрецијацијских притисака на девизном тржишту, па је НБС у овом периоду нето куповала девизе. По основу финансијских кредита, резиденти су се у првих осам месеци 2018. године нето задужили према иностранству за 631,3 мил. евра. Држава се по истом основу задужила за 90,7 мил. евра. НБС је по основу доспелих обавеза извршила плаћања у износу од 7,9 мил. евра. Привредна друштва су се нето за</w:t>
      </w:r>
      <w:r w:rsidR="006A6230" w:rsidRPr="00A37BCE">
        <w:rPr>
          <w:rFonts w:cstheme="minorHAnsi"/>
          <w:bCs/>
          <w:color w:val="44546A" w:themeColor="text2"/>
          <w:sz w:val="20"/>
          <w:szCs w:val="72"/>
          <w:lang w:val="sr-Cyrl-RS"/>
        </w:rPr>
        <w:t>дужила према иностранству (236</w:t>
      </w:r>
      <w:r w:rsidRPr="00A37BCE">
        <w:rPr>
          <w:rFonts w:cstheme="minorHAnsi"/>
          <w:bCs/>
          <w:color w:val="44546A" w:themeColor="text2"/>
          <w:sz w:val="20"/>
          <w:szCs w:val="72"/>
          <w:lang w:val="sr-Cyrl-RS"/>
        </w:rPr>
        <w:t xml:space="preserve"> мил. евра), док су се банке нето задужиле у износу од 300 мил. евра.</w:t>
      </w:r>
    </w:p>
    <w:p w14:paraId="3A200F17" w14:textId="702AE3D0" w:rsidR="005E5FBA" w:rsidRPr="00A37BCE" w:rsidRDefault="005E5FBA" w:rsidP="005E5FBA">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Очекује се да укупан дефицит текућег рачуна у 2018. години износи око 2,2 млрд евра и да ће задржати прошлогодишње учешће у БДП од 5,2%, уз потпуну покривеност СДИ. У последњем кварталу се очекују позитивни ефекти родне пољопривредне године на извоз, што ће бити подржано побољшаним односима размене. Такође, очекује се наставак убрзања прилива СДИ, које би у нето износу требало да достигну износ од 2,6 млрд што је 6,2% БД</w:t>
      </w:r>
      <w:r w:rsidR="00A72FBB" w:rsidRPr="00A37BCE">
        <w:rPr>
          <w:rFonts w:cstheme="minorHAnsi"/>
          <w:bCs/>
          <w:color w:val="44546A" w:themeColor="text2"/>
          <w:sz w:val="20"/>
          <w:szCs w:val="72"/>
          <w:lang w:val="sr-Cyrl-RS"/>
        </w:rPr>
        <w:t>П.</w:t>
      </w:r>
    </w:p>
    <w:p w14:paraId="06DE1AC0" w14:textId="79827536" w:rsidR="00E31C39" w:rsidRPr="00A37BCE" w:rsidRDefault="005E5FBA" w:rsidP="005E5FBA">
      <w:pPr>
        <w:jc w:val="both"/>
        <w:rPr>
          <w:rFonts w:cstheme="minorHAnsi"/>
          <w:lang w:val="sr-Cyrl-RS"/>
        </w:rPr>
      </w:pPr>
      <w:r w:rsidRPr="00A37BCE">
        <w:rPr>
          <w:rFonts w:cstheme="minorHAnsi"/>
          <w:bCs/>
          <w:color w:val="44546A" w:themeColor="text2"/>
          <w:sz w:val="20"/>
          <w:szCs w:val="72"/>
          <w:lang w:val="sr-Cyrl-RS"/>
        </w:rPr>
        <w:t>Средњорочним макроекономским оквиром за период 2019</w:t>
      </w:r>
      <w:r w:rsidR="00E75F0B" w:rsidRPr="00A37BCE">
        <w:rPr>
          <w:rFonts w:cstheme="minorHAnsi"/>
          <w:bCs/>
          <w:color w:val="44546A" w:themeColor="text2"/>
          <w:sz w:val="20"/>
          <w:szCs w:val="72"/>
          <w:lang w:val="sr-Cyrl-RS"/>
        </w:rPr>
        <w:t>–</w:t>
      </w:r>
      <w:r w:rsidRPr="00A37BCE">
        <w:rPr>
          <w:rFonts w:cstheme="minorHAnsi"/>
          <w:bCs/>
          <w:color w:val="44546A" w:themeColor="text2"/>
          <w:sz w:val="20"/>
          <w:szCs w:val="72"/>
          <w:lang w:val="sr-Cyrl-RS"/>
        </w:rPr>
        <w:t>2021. година предвиђено је побољшање спољнотрговинских токова које се заснива на модернизацији и ширењу производних капацитета у делатностима размењивих добара, јачању конкурентности на међународном тржишту и освајањем нових тржишних ниша. Очекује се да ће досадашњи интензивирани инвестициони циклус имати утицај на извозну активност и учинити је динамичнијом од увозне</w:t>
      </w:r>
      <w:r w:rsidR="00490411" w:rsidRPr="00A37BCE">
        <w:rPr>
          <w:rFonts w:cstheme="minorHAnsi"/>
          <w:bCs/>
          <w:color w:val="44546A" w:themeColor="text2"/>
          <w:sz w:val="20"/>
          <w:szCs w:val="72"/>
          <w:lang w:val="sr-Cyrl-RS"/>
        </w:rPr>
        <w:t>,</w:t>
      </w:r>
      <w:r w:rsidRPr="00A37BCE">
        <w:rPr>
          <w:rFonts w:cstheme="minorHAnsi"/>
          <w:bCs/>
          <w:color w:val="44546A" w:themeColor="text2"/>
          <w:sz w:val="20"/>
          <w:szCs w:val="72"/>
          <w:lang w:val="sr-Cyrl-RS"/>
        </w:rPr>
        <w:t xml:space="preserve"> компензујући смањење спољне тражње услед споријег пројектованог раста еврозоне. Раст извоза по просечној стопи</w:t>
      </w:r>
      <w:r w:rsidR="00BB590E" w:rsidRPr="00A37BCE">
        <w:rPr>
          <w:rFonts w:cstheme="minorHAnsi"/>
          <w:bCs/>
          <w:color w:val="44546A" w:themeColor="text2"/>
          <w:sz w:val="20"/>
          <w:szCs w:val="72"/>
          <w:lang w:val="sr-Cyrl-RS"/>
        </w:rPr>
        <w:t xml:space="preserve"> од 11,0% и увоза за 9,3% смањ</w:t>
      </w:r>
      <w:r w:rsidRPr="00A37BCE">
        <w:rPr>
          <w:rFonts w:cstheme="minorHAnsi"/>
          <w:bCs/>
          <w:color w:val="44546A" w:themeColor="text2"/>
          <w:sz w:val="20"/>
          <w:szCs w:val="72"/>
          <w:lang w:val="sr-Cyrl-RS"/>
        </w:rPr>
        <w:t xml:space="preserve">иће спољнотрговински дефицит роба и услуга на 9,6% са овогодишњих 11,3%. Последично, ово ће значајно утицати на смањење дефицита текућег рачуна платног биланса који би </w:t>
      </w:r>
      <w:r w:rsidRPr="00A37BCE">
        <w:rPr>
          <w:rFonts w:cstheme="minorHAnsi"/>
          <w:bCs/>
          <w:color w:val="44546A" w:themeColor="text2"/>
          <w:sz w:val="20"/>
          <w:szCs w:val="72"/>
          <w:lang w:val="sr-Cyrl-RS"/>
        </w:rPr>
        <w:lastRenderedPageBreak/>
        <w:t>на крају пројекцијског периода требао да износи 4,2% БДП. Предвиђа се наставак повољних кретања на рачуну услуга и раст суфицита у трогодишњем периоду од око 30%. Очекује се да ће прилив по основу текућих трансфера износити у просеку 8,1% БДП годишње, при чему ће приходи од дознака задржати улогу доминантне компоненте. Нето ефекат текућих трансфера и нето факторских плаћања у наредном трогодишњем периоду биће позитиван и прогнозира се да ће износити око 1,4 млрд евра, просечно годишње, што ће бити довољно да покрије скоро трећину дефицита спољнотрговинског биланса роба и услуга. На основу пројектованог кретања спољнотрговинске размене, текућих трансфера и нето факторских прихода изведене су пројекције салда биланса текућих плаћања. Биланс текућих плаћања биће негативан и износиће у периоду 2019–2021. године у просеку 2,2 млрд евра. При томе, у структури финансијског рачуна доминираће удео СДИ са учешћем у БДП од 5,5% просечно годишње. Овај прилив ће уједно бити главни извор финансирања дефицита текућег рачуна. Побољшање пословног амбијента и раст СДИ, као и њихова даља ди</w:t>
      </w:r>
      <w:r w:rsidR="000D5A02" w:rsidRPr="00A37BCE">
        <w:rPr>
          <w:rFonts w:cstheme="minorHAnsi"/>
          <w:bCs/>
          <w:color w:val="44546A" w:themeColor="text2"/>
          <w:sz w:val="20"/>
          <w:szCs w:val="72"/>
          <w:lang w:val="sr-Cyrl-RS"/>
        </w:rPr>
        <w:t>версификација ка сектору размењ</w:t>
      </w:r>
      <w:r w:rsidRPr="00A37BCE">
        <w:rPr>
          <w:rFonts w:cstheme="minorHAnsi"/>
          <w:bCs/>
          <w:color w:val="44546A" w:themeColor="text2"/>
          <w:sz w:val="20"/>
          <w:szCs w:val="72"/>
          <w:lang w:val="sr-Cyrl-RS"/>
        </w:rPr>
        <w:t>ивих добара допринеће даљем</w:t>
      </w:r>
      <w:r w:rsidR="004E3C3C" w:rsidRPr="00A37BCE">
        <w:rPr>
          <w:rFonts w:cstheme="minorHAnsi"/>
          <w:bCs/>
          <w:color w:val="44546A" w:themeColor="text2"/>
          <w:sz w:val="20"/>
          <w:szCs w:val="72"/>
          <w:lang w:val="sr-Cyrl-RS"/>
        </w:rPr>
        <w:t xml:space="preserve"> расту извоза и </w:t>
      </w:r>
      <w:r w:rsidR="00011F40" w:rsidRPr="00A37BCE">
        <w:rPr>
          <w:rFonts w:cstheme="minorHAnsi"/>
          <w:bCs/>
          <w:color w:val="44546A" w:themeColor="text2"/>
          <w:sz w:val="20"/>
          <w:szCs w:val="72"/>
          <w:lang w:val="sr-Cyrl-RS"/>
        </w:rPr>
        <w:t>јачању спољне</w:t>
      </w:r>
      <w:r w:rsidR="007D6F8E" w:rsidRPr="00A37BCE">
        <w:rPr>
          <w:rFonts w:cstheme="minorHAnsi"/>
          <w:bCs/>
          <w:color w:val="44546A" w:themeColor="text2"/>
          <w:sz w:val="20"/>
          <w:szCs w:val="72"/>
          <w:lang w:val="sr-Cyrl-RS"/>
        </w:rPr>
        <w:t xml:space="preserve"> и унутрашње макроекономске</w:t>
      </w:r>
      <w:r w:rsidR="00011F40" w:rsidRPr="00A37BCE">
        <w:rPr>
          <w:rFonts w:cstheme="minorHAnsi"/>
          <w:bCs/>
          <w:color w:val="44546A" w:themeColor="text2"/>
          <w:sz w:val="20"/>
          <w:szCs w:val="72"/>
          <w:lang w:val="sr-Cyrl-RS"/>
        </w:rPr>
        <w:t xml:space="preserve"> равнотеже.</w:t>
      </w:r>
    </w:p>
    <w:p w14:paraId="11B4DECA" w14:textId="1A26E07C" w:rsidR="00E31C39" w:rsidRPr="00A37BCE" w:rsidRDefault="001773CD" w:rsidP="00E31C39">
      <w:pPr>
        <w:pStyle w:val="Caption"/>
        <w:keepNext/>
        <w:jc w:val="center"/>
        <w:rPr>
          <w:rFonts w:cstheme="minorHAnsi"/>
          <w:b/>
          <w:i w:val="0"/>
          <w:iCs w:val="0"/>
          <w:color w:val="002060"/>
          <w:sz w:val="20"/>
          <w:szCs w:val="22"/>
          <w:lang w:val="sr-Cyrl-RS"/>
        </w:rPr>
      </w:pPr>
      <w:r w:rsidRPr="00A37BCE">
        <w:rPr>
          <w:rFonts w:cstheme="minorHAnsi"/>
          <w:b/>
          <w:i w:val="0"/>
          <w:iCs w:val="0"/>
          <w:color w:val="002060"/>
          <w:sz w:val="20"/>
          <w:szCs w:val="22"/>
          <w:lang w:val="sr-Cyrl-RS"/>
        </w:rPr>
        <w:lastRenderedPageBreak/>
        <w:t>Дефицит</w:t>
      </w:r>
      <w:r w:rsidR="00E31C39" w:rsidRPr="00A37BCE">
        <w:rPr>
          <w:rFonts w:cstheme="minorHAnsi"/>
          <w:b/>
          <w:i w:val="0"/>
          <w:iCs w:val="0"/>
          <w:color w:val="002060"/>
          <w:sz w:val="20"/>
          <w:szCs w:val="22"/>
          <w:lang w:val="sr-Cyrl-RS"/>
        </w:rPr>
        <w:t xml:space="preserve"> текућег рачуна и СДИ</w:t>
      </w:r>
      <w:r w:rsidR="00361F64" w:rsidRPr="00A37BCE">
        <w:rPr>
          <w:rFonts w:cstheme="minorHAnsi"/>
          <w:b/>
          <w:i w:val="0"/>
          <w:iCs w:val="0"/>
          <w:color w:val="002060"/>
          <w:sz w:val="20"/>
          <w:szCs w:val="22"/>
          <w:lang w:val="sr-Cyrl-RS"/>
        </w:rPr>
        <w:t>, %</w:t>
      </w:r>
      <w:r w:rsidR="00D642C4" w:rsidRPr="00A37BCE">
        <w:rPr>
          <w:rFonts w:cstheme="minorHAnsi"/>
          <w:b/>
          <w:i w:val="0"/>
          <w:iCs w:val="0"/>
          <w:color w:val="002060"/>
          <w:sz w:val="20"/>
          <w:szCs w:val="22"/>
          <w:lang w:val="sr-Cyrl-RS"/>
        </w:rPr>
        <w:t xml:space="preserve"> </w:t>
      </w:r>
      <w:r w:rsidR="00361F64" w:rsidRPr="00A37BCE">
        <w:rPr>
          <w:rFonts w:cstheme="minorHAnsi"/>
          <w:b/>
          <w:i w:val="0"/>
          <w:iCs w:val="0"/>
          <w:color w:val="002060"/>
          <w:sz w:val="20"/>
          <w:szCs w:val="22"/>
          <w:lang w:val="sr-Cyrl-RS"/>
        </w:rPr>
        <w:t>БДП</w:t>
      </w:r>
    </w:p>
    <w:p w14:paraId="54B4E531" w14:textId="4B9CF8A7" w:rsidR="009365E3" w:rsidRPr="00A37BCE" w:rsidRDefault="009365E3" w:rsidP="005E5FBA">
      <w:pPr>
        <w:jc w:val="both"/>
        <w:rPr>
          <w:rFonts w:cstheme="minorHAnsi"/>
          <w:bCs/>
          <w:color w:val="44546A" w:themeColor="text2"/>
          <w:sz w:val="20"/>
          <w:szCs w:val="72"/>
          <w:lang w:val="sr-Cyrl-RS"/>
        </w:rPr>
      </w:pPr>
      <w:r w:rsidRPr="00A37BCE">
        <w:rPr>
          <w:rFonts w:cstheme="minorHAnsi"/>
          <w:noProof/>
          <w:sz w:val="16"/>
          <w:szCs w:val="16"/>
        </w:rPr>
        <w:drawing>
          <wp:inline distT="0" distB="0" distL="0" distR="0" wp14:anchorId="1054EF4D" wp14:editId="60832DC5">
            <wp:extent cx="2743200" cy="213360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Deficit tekućeg računa i SDI-01.p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743200" cy="2133600"/>
                    </a:xfrm>
                    <a:prstGeom prst="rect">
                      <a:avLst/>
                    </a:prstGeom>
                  </pic:spPr>
                </pic:pic>
              </a:graphicData>
            </a:graphic>
          </wp:inline>
        </w:drawing>
      </w:r>
      <w:r w:rsidR="00777619" w:rsidRPr="00A37BCE">
        <w:rPr>
          <w:rFonts w:cstheme="minorHAnsi"/>
          <w:bCs/>
          <w:color w:val="44546A" w:themeColor="text2"/>
          <w:sz w:val="16"/>
          <w:szCs w:val="72"/>
          <w:lang w:val="sr-Cyrl-RS"/>
        </w:rPr>
        <w:t>Извор: НБС и Министар</w:t>
      </w:r>
      <w:r w:rsidRPr="00A37BCE">
        <w:rPr>
          <w:rFonts w:cstheme="minorHAnsi"/>
          <w:bCs/>
          <w:color w:val="44546A" w:themeColor="text2"/>
          <w:sz w:val="16"/>
          <w:szCs w:val="72"/>
          <w:lang w:val="sr-Cyrl-RS"/>
        </w:rPr>
        <w:t>с</w:t>
      </w:r>
      <w:r w:rsidR="00777619" w:rsidRPr="00A37BCE">
        <w:rPr>
          <w:rFonts w:cstheme="minorHAnsi"/>
          <w:bCs/>
          <w:color w:val="44546A" w:themeColor="text2"/>
          <w:sz w:val="16"/>
          <w:szCs w:val="72"/>
          <w:lang w:val="sr-Cyrl-RS"/>
        </w:rPr>
        <w:t>т</w:t>
      </w:r>
      <w:r w:rsidRPr="00A37BCE">
        <w:rPr>
          <w:rFonts w:cstheme="minorHAnsi"/>
          <w:bCs/>
          <w:color w:val="44546A" w:themeColor="text2"/>
          <w:sz w:val="16"/>
          <w:szCs w:val="72"/>
          <w:lang w:val="sr-Cyrl-RS"/>
        </w:rPr>
        <w:t>во финансија</w:t>
      </w:r>
    </w:p>
    <w:p w14:paraId="65F0624F" w14:textId="5BC1D6E4" w:rsidR="00E26389" w:rsidRPr="00A37BCE" w:rsidRDefault="005E5FBA" w:rsidP="00E26389">
      <w:pPr>
        <w:jc w:val="both"/>
        <w:rPr>
          <w:rFonts w:cstheme="minorHAnsi"/>
          <w:bCs/>
          <w:color w:val="44546A" w:themeColor="text2"/>
          <w:sz w:val="20"/>
          <w:szCs w:val="72"/>
          <w:lang w:val="sr-Cyrl-RS"/>
        </w:rPr>
        <w:sectPr w:rsidR="00E26389" w:rsidRPr="00A37BCE" w:rsidSect="00506397">
          <w:type w:val="continuous"/>
          <w:pgSz w:w="12240" w:h="15840"/>
          <w:pgMar w:top="1440" w:right="1440" w:bottom="1440" w:left="1440" w:header="720" w:footer="720" w:gutter="0"/>
          <w:cols w:num="2" w:space="720"/>
          <w:docGrid w:linePitch="360"/>
          <w15:footnoteColumns w:val="1"/>
        </w:sectPr>
      </w:pPr>
      <w:r w:rsidRPr="00A37BCE">
        <w:rPr>
          <w:rFonts w:cstheme="minorHAnsi"/>
          <w:bCs/>
          <w:color w:val="44546A" w:themeColor="text2"/>
          <w:sz w:val="20"/>
          <w:szCs w:val="72"/>
          <w:lang w:val="sr-Cyrl-RS"/>
        </w:rPr>
        <w:t>Показатељи екстерне позиције</w:t>
      </w:r>
      <w:r w:rsidR="00E74834">
        <w:rPr>
          <w:rFonts w:cstheme="minorHAnsi"/>
          <w:bCs/>
          <w:color w:val="44546A" w:themeColor="text2"/>
          <w:sz w:val="20"/>
          <w:szCs w:val="72"/>
          <w:lang w:val="sr-Cyrl-RS"/>
        </w:rPr>
        <w:t xml:space="preserve"> </w:t>
      </w:r>
      <w:bookmarkStart w:id="5" w:name="_Hlk530131210"/>
      <w:r w:rsidR="00E74834">
        <w:rPr>
          <w:rFonts w:cstheme="minorHAnsi"/>
          <w:bCs/>
          <w:color w:val="44546A" w:themeColor="text2"/>
          <w:sz w:val="20"/>
          <w:szCs w:val="72"/>
          <w:lang w:val="sr-Cyrl-RS"/>
        </w:rPr>
        <w:t>Републике</w:t>
      </w:r>
      <w:bookmarkEnd w:id="5"/>
      <w:r w:rsidRPr="00A37BCE">
        <w:rPr>
          <w:rFonts w:cstheme="minorHAnsi"/>
          <w:bCs/>
          <w:color w:val="44546A" w:themeColor="text2"/>
          <w:sz w:val="20"/>
          <w:szCs w:val="72"/>
          <w:lang w:val="sr-Cyrl-RS"/>
        </w:rPr>
        <w:t xml:space="preserve"> Србије бележе наставак побољшања, чиме се повећава резистентност српске привреде на финансијске шокове из међународног окружењ</w:t>
      </w:r>
      <w:r w:rsidR="00FC1C01" w:rsidRPr="00A37BCE">
        <w:rPr>
          <w:rFonts w:cstheme="minorHAnsi"/>
          <w:bCs/>
          <w:color w:val="44546A" w:themeColor="text2"/>
          <w:sz w:val="20"/>
          <w:szCs w:val="72"/>
          <w:lang w:val="sr-Cyrl-RS"/>
        </w:rPr>
        <w:t xml:space="preserve">а. Настављено је побољшање </w:t>
      </w:r>
      <w:r w:rsidRPr="00A37BCE">
        <w:rPr>
          <w:rFonts w:cstheme="minorHAnsi"/>
          <w:bCs/>
          <w:color w:val="44546A" w:themeColor="text2"/>
          <w:sz w:val="20"/>
          <w:szCs w:val="72"/>
          <w:lang w:val="sr-Cyrl-RS"/>
        </w:rPr>
        <w:t>и</w:t>
      </w:r>
      <w:r w:rsidR="00FC1C01" w:rsidRPr="00A37BCE">
        <w:rPr>
          <w:rFonts w:cstheme="minorHAnsi"/>
          <w:bCs/>
          <w:color w:val="44546A" w:themeColor="text2"/>
          <w:sz w:val="20"/>
          <w:szCs w:val="72"/>
          <w:lang w:val="sr-Cyrl-RS"/>
        </w:rPr>
        <w:t>ндикатора екстерне солвентности. Учешће спољног дуга у извозу</w:t>
      </w:r>
      <w:r w:rsidR="007D2189" w:rsidRPr="00A37BCE">
        <w:rPr>
          <w:rFonts w:cstheme="minorHAnsi"/>
          <w:bCs/>
          <w:color w:val="44546A" w:themeColor="text2"/>
          <w:sz w:val="20"/>
          <w:szCs w:val="72"/>
          <w:lang w:val="sr-Cyrl-RS"/>
        </w:rPr>
        <w:t xml:space="preserve"> роба и услуга, </w:t>
      </w:r>
      <w:r w:rsidR="00FC1C01" w:rsidRPr="00A37BCE">
        <w:rPr>
          <w:rFonts w:cstheme="minorHAnsi"/>
          <w:bCs/>
          <w:color w:val="44546A" w:themeColor="text2"/>
          <w:sz w:val="20"/>
          <w:szCs w:val="72"/>
          <w:lang w:val="sr-Cyrl-RS"/>
        </w:rPr>
        <w:t>у првој половини 2018. године</w:t>
      </w:r>
      <w:r w:rsidR="007D2189" w:rsidRPr="00A37BCE">
        <w:rPr>
          <w:rFonts w:cstheme="minorHAnsi"/>
          <w:bCs/>
          <w:color w:val="44546A" w:themeColor="text2"/>
          <w:sz w:val="20"/>
          <w:szCs w:val="72"/>
          <w:lang w:val="sr-Cyrl-RS"/>
        </w:rPr>
        <w:t>,</w:t>
      </w:r>
      <w:r w:rsidR="00FC1C01" w:rsidRPr="00A37BCE">
        <w:rPr>
          <w:rFonts w:cstheme="minorHAnsi"/>
          <w:bCs/>
          <w:color w:val="44546A" w:themeColor="text2"/>
          <w:sz w:val="20"/>
          <w:szCs w:val="72"/>
          <w:lang w:val="sr-Cyrl-RS"/>
        </w:rPr>
        <w:t xml:space="preserve"> н</w:t>
      </w:r>
      <w:r w:rsidR="007D2189" w:rsidRPr="00A37BCE">
        <w:rPr>
          <w:rFonts w:cstheme="minorHAnsi"/>
          <w:bCs/>
          <w:color w:val="44546A" w:themeColor="text2"/>
          <w:sz w:val="20"/>
          <w:szCs w:val="72"/>
          <w:lang w:val="sr-Cyrl-RS"/>
        </w:rPr>
        <w:t xml:space="preserve">иже је у односу на 2017. </w:t>
      </w:r>
      <w:r w:rsidR="007E1AAF" w:rsidRPr="00A37BCE">
        <w:rPr>
          <w:rFonts w:cstheme="minorHAnsi"/>
          <w:bCs/>
          <w:color w:val="44546A" w:themeColor="text2"/>
          <w:sz w:val="20"/>
          <w:szCs w:val="72"/>
          <w:lang w:val="sr-Cyrl-RS"/>
        </w:rPr>
        <w:t xml:space="preserve">годину и износи 129,2%, што је </w:t>
      </w:r>
      <w:r w:rsidR="007D2189" w:rsidRPr="00A37BCE">
        <w:rPr>
          <w:rFonts w:cstheme="minorHAnsi"/>
          <w:bCs/>
          <w:color w:val="44546A" w:themeColor="text2"/>
          <w:sz w:val="20"/>
          <w:szCs w:val="72"/>
          <w:lang w:val="sr-Cyrl-RS"/>
        </w:rPr>
        <w:t>значајно испод критеријума Светске банке од 220% и гарант је од</w:t>
      </w:r>
      <w:r w:rsidR="00AB67D0" w:rsidRPr="00A37BCE">
        <w:rPr>
          <w:rFonts w:cstheme="minorHAnsi"/>
          <w:bCs/>
          <w:color w:val="44546A" w:themeColor="text2"/>
          <w:sz w:val="20"/>
          <w:szCs w:val="72"/>
          <w:lang w:val="sr-Cyrl-RS"/>
        </w:rPr>
        <w:t>р</w:t>
      </w:r>
      <w:r w:rsidR="007D2189" w:rsidRPr="00A37BCE">
        <w:rPr>
          <w:rFonts w:cstheme="minorHAnsi"/>
          <w:bCs/>
          <w:color w:val="44546A" w:themeColor="text2"/>
          <w:sz w:val="20"/>
          <w:szCs w:val="72"/>
          <w:lang w:val="sr-Cyrl-RS"/>
        </w:rPr>
        <w:t xml:space="preserve">живости сервисирања. </w:t>
      </w:r>
      <w:r w:rsidRPr="00A37BCE">
        <w:rPr>
          <w:rFonts w:cstheme="minorHAnsi"/>
          <w:bCs/>
          <w:color w:val="44546A" w:themeColor="text2"/>
          <w:sz w:val="20"/>
          <w:szCs w:val="72"/>
          <w:lang w:val="sr-Cyrl-RS"/>
        </w:rPr>
        <w:t>Очекује се да ће укупан спољни дуг бележити силазни тренд највећим делом због стабилизације и смањења јавног</w:t>
      </w:r>
      <w:r w:rsidR="00671CEB" w:rsidRPr="00A37BCE">
        <w:rPr>
          <w:rFonts w:cstheme="minorHAnsi"/>
          <w:bCs/>
          <w:color w:val="44546A" w:themeColor="text2"/>
          <w:sz w:val="20"/>
          <w:szCs w:val="72"/>
          <w:lang w:val="sr-Cyrl-RS"/>
        </w:rPr>
        <w:t xml:space="preserve"> дуга.</w:t>
      </w:r>
    </w:p>
    <w:p w14:paraId="7F2FC6C4" w14:textId="3A5B6D15" w:rsidR="00222C42" w:rsidRPr="00A37BCE" w:rsidRDefault="00222C42" w:rsidP="00222C42">
      <w:pPr>
        <w:pStyle w:val="Caption"/>
        <w:keepNext/>
        <w:rPr>
          <w:rFonts w:cstheme="minorHAnsi"/>
          <w:b/>
          <w:i w:val="0"/>
          <w:iCs w:val="0"/>
          <w:color w:val="002060"/>
          <w:sz w:val="20"/>
          <w:szCs w:val="22"/>
          <w:lang w:val="sr-Cyrl-RS"/>
        </w:rPr>
      </w:pPr>
      <w:r w:rsidRPr="00A37BCE">
        <w:rPr>
          <w:rFonts w:cstheme="minorHAnsi"/>
          <w:b/>
          <w:i w:val="0"/>
          <w:iCs w:val="0"/>
          <w:color w:val="002060"/>
          <w:sz w:val="20"/>
          <w:szCs w:val="22"/>
          <w:lang w:val="sr-Cyrl-RS"/>
        </w:rPr>
        <w:lastRenderedPageBreak/>
        <w:t xml:space="preserve">                 </w:t>
      </w:r>
      <w:r w:rsidR="008F7E2A" w:rsidRPr="00A37BCE">
        <w:rPr>
          <w:rFonts w:cstheme="minorHAnsi"/>
          <w:b/>
          <w:i w:val="0"/>
          <w:iCs w:val="0"/>
          <w:color w:val="002060"/>
          <w:sz w:val="20"/>
          <w:szCs w:val="22"/>
          <w:lang w:val="sr-Cyrl-RS"/>
        </w:rPr>
        <w:t xml:space="preserve">Структура текућег рачуна, % БДП                                       </w:t>
      </w:r>
      <w:r w:rsidR="001D6BAB" w:rsidRPr="00A37BCE">
        <w:rPr>
          <w:rFonts w:cstheme="minorHAnsi"/>
          <w:b/>
          <w:i w:val="0"/>
          <w:iCs w:val="0"/>
          <w:color w:val="002060"/>
          <w:sz w:val="20"/>
          <w:szCs w:val="22"/>
          <w:lang w:val="sr-Cyrl-RS"/>
        </w:rPr>
        <w:t>Структура финансијског рачуна, % БДП</w:t>
      </w:r>
      <w:r w:rsidRPr="00A37BCE">
        <w:rPr>
          <w:rFonts w:cstheme="minorHAnsi"/>
          <w:b/>
          <w:i w:val="0"/>
          <w:iCs w:val="0"/>
          <w:color w:val="002060"/>
          <w:sz w:val="20"/>
          <w:szCs w:val="22"/>
          <w:lang w:val="sr-Cyrl-RS"/>
        </w:rPr>
        <w:t xml:space="preserve">             </w:t>
      </w:r>
      <w:r w:rsidR="001D6BAB" w:rsidRPr="00A37BCE">
        <w:rPr>
          <w:rFonts w:cstheme="minorHAnsi"/>
          <w:b/>
          <w:i w:val="0"/>
          <w:iCs w:val="0"/>
          <w:color w:val="002060"/>
          <w:sz w:val="20"/>
          <w:szCs w:val="22"/>
          <w:lang w:val="sr-Cyrl-RS"/>
        </w:rPr>
        <w:t xml:space="preserve">    </w:t>
      </w:r>
      <w:r w:rsidRPr="00A37BCE">
        <w:rPr>
          <w:rFonts w:cstheme="minorHAnsi"/>
          <w:b/>
          <w:i w:val="0"/>
          <w:iCs w:val="0"/>
          <w:color w:val="002060"/>
          <w:sz w:val="20"/>
          <w:szCs w:val="22"/>
          <w:lang w:val="sr-Cyrl-RS"/>
        </w:rPr>
        <w:t xml:space="preserve">             </w:t>
      </w:r>
    </w:p>
    <w:p w14:paraId="40C2DA1A" w14:textId="44E1A9B9" w:rsidR="00F128EE" w:rsidRPr="00EF4D52" w:rsidRDefault="00E631AF">
      <w:pPr>
        <w:rPr>
          <w:rFonts w:cstheme="minorHAnsi"/>
          <w:lang w:val="sr-Cyrl-RS"/>
        </w:rPr>
        <w:sectPr w:rsidR="00F128EE" w:rsidRPr="00EF4D52" w:rsidSect="00E26389">
          <w:type w:val="continuous"/>
          <w:pgSz w:w="12240" w:h="15840"/>
          <w:pgMar w:top="1440" w:right="1440" w:bottom="1440" w:left="1440" w:header="720" w:footer="720" w:gutter="0"/>
          <w:cols w:space="720"/>
          <w:docGrid w:linePitch="360"/>
        </w:sectPr>
      </w:pPr>
      <w:r w:rsidRPr="00A37BCE">
        <w:rPr>
          <w:rFonts w:cstheme="minorHAnsi"/>
          <w:noProof/>
        </w:rPr>
        <w:drawing>
          <wp:inline distT="0" distB="0" distL="0" distR="0" wp14:anchorId="4B283527" wp14:editId="663F93DD">
            <wp:extent cx="5943600" cy="1915160"/>
            <wp:effectExtent l="0" t="0" r="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in+Tek račun-01.pn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943600" cy="1915160"/>
                    </a:xfrm>
                    <a:prstGeom prst="rect">
                      <a:avLst/>
                    </a:prstGeom>
                  </pic:spPr>
                </pic:pic>
              </a:graphicData>
            </a:graphic>
          </wp:inline>
        </w:drawing>
      </w:r>
      <w:r w:rsidR="00777619" w:rsidRPr="00A37BCE">
        <w:rPr>
          <w:rFonts w:cstheme="minorHAnsi"/>
          <w:bCs/>
          <w:color w:val="44546A" w:themeColor="text2"/>
          <w:sz w:val="16"/>
          <w:szCs w:val="72"/>
          <w:lang w:val="sr-Cyrl-RS"/>
        </w:rPr>
        <w:t>Извор: Министарс</w:t>
      </w:r>
      <w:r w:rsidR="009365E3" w:rsidRPr="00A37BCE">
        <w:rPr>
          <w:rFonts w:cstheme="minorHAnsi"/>
          <w:bCs/>
          <w:color w:val="44546A" w:themeColor="text2"/>
          <w:sz w:val="16"/>
          <w:szCs w:val="72"/>
          <w:lang w:val="sr-Cyrl-RS"/>
        </w:rPr>
        <w:t>тво финансија, НБС, РЗС</w:t>
      </w:r>
    </w:p>
    <w:p w14:paraId="01C4BF17" w14:textId="6218A135" w:rsidR="00163ABC" w:rsidRPr="00A37BCE" w:rsidRDefault="00163ABC" w:rsidP="00163ABC">
      <w:pPr>
        <w:pStyle w:val="Heading2"/>
        <w:jc w:val="center"/>
        <w:rPr>
          <w:rFonts w:asciiTheme="minorHAnsi" w:hAnsiTheme="minorHAnsi" w:cstheme="minorHAnsi"/>
          <w:b/>
          <w:sz w:val="22"/>
          <w:lang w:val="sr-Cyrl-RS"/>
        </w:rPr>
        <w:sectPr w:rsidR="00163ABC" w:rsidRPr="00A37BCE" w:rsidSect="00163ABC">
          <w:type w:val="continuous"/>
          <w:pgSz w:w="12240" w:h="15840"/>
          <w:pgMar w:top="1440" w:right="1440" w:bottom="1440" w:left="1440" w:header="720" w:footer="720" w:gutter="0"/>
          <w:cols w:space="720"/>
          <w:docGrid w:linePitch="360"/>
        </w:sectPr>
      </w:pPr>
      <w:bookmarkStart w:id="6" w:name="_Toc530041995"/>
      <w:r w:rsidRPr="00A37BCE">
        <w:rPr>
          <w:rFonts w:asciiTheme="minorHAnsi" w:hAnsiTheme="minorHAnsi" w:cstheme="minorHAnsi"/>
          <w:b/>
          <w:sz w:val="24"/>
          <w:lang w:val="sr-Cyrl-RS"/>
        </w:rPr>
        <w:lastRenderedPageBreak/>
        <w:t>4. Ризици остваривања макроекономских пројекција за Републику Србију</w:t>
      </w:r>
      <w:bookmarkEnd w:id="6"/>
      <w:r w:rsidRPr="00A37BCE">
        <w:rPr>
          <w:rFonts w:asciiTheme="minorHAnsi" w:hAnsiTheme="minorHAnsi" w:cstheme="minorHAnsi"/>
          <w:b/>
          <w:sz w:val="22"/>
          <w:lang w:val="sr-Cyrl-RS"/>
        </w:rPr>
        <w:br/>
      </w:r>
    </w:p>
    <w:p w14:paraId="0B4171C4" w14:textId="6E469DC8" w:rsidR="00163ABC" w:rsidRPr="00A37BCE" w:rsidRDefault="00163ABC" w:rsidP="00163ABC">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lastRenderedPageBreak/>
        <w:t xml:space="preserve">Током процеса креирања средњорочног макроекономског оквира идентификовано је </w:t>
      </w:r>
      <w:r w:rsidRPr="00A37BCE">
        <w:rPr>
          <w:rFonts w:cstheme="minorHAnsi"/>
          <w:bCs/>
          <w:color w:val="44546A" w:themeColor="text2"/>
          <w:sz w:val="20"/>
          <w:szCs w:val="72"/>
          <w:lang w:val="sr-Cyrl-RS"/>
        </w:rPr>
        <w:lastRenderedPageBreak/>
        <w:t>некол</w:t>
      </w:r>
      <w:r w:rsidR="00777619" w:rsidRPr="00A37BCE">
        <w:rPr>
          <w:rFonts w:cstheme="minorHAnsi"/>
          <w:bCs/>
          <w:color w:val="44546A" w:themeColor="text2"/>
          <w:sz w:val="20"/>
          <w:szCs w:val="72"/>
          <w:lang w:val="sr-Cyrl-RS"/>
        </w:rPr>
        <w:t>и</w:t>
      </w:r>
      <w:r w:rsidRPr="00A37BCE">
        <w:rPr>
          <w:rFonts w:cstheme="minorHAnsi"/>
          <w:bCs/>
          <w:color w:val="44546A" w:themeColor="text2"/>
          <w:sz w:val="20"/>
          <w:szCs w:val="72"/>
          <w:lang w:val="sr-Cyrl-RS"/>
        </w:rPr>
        <w:t xml:space="preserve">ко ризика по остваривање пројектованих стопа привредног раста. </w:t>
      </w:r>
      <w:r w:rsidR="0058317B" w:rsidRPr="00A37BCE">
        <w:rPr>
          <w:rFonts w:cstheme="minorHAnsi"/>
          <w:bCs/>
          <w:color w:val="44546A" w:themeColor="text2"/>
          <w:sz w:val="20"/>
          <w:szCs w:val="72"/>
          <w:lang w:val="sr-Cyrl-RS"/>
        </w:rPr>
        <w:t xml:space="preserve">Посматрано по изворима </w:t>
      </w:r>
      <w:r w:rsidR="0058317B" w:rsidRPr="00A37BCE">
        <w:rPr>
          <w:rFonts w:cstheme="minorHAnsi"/>
          <w:bCs/>
          <w:color w:val="44546A" w:themeColor="text2"/>
          <w:sz w:val="20"/>
          <w:szCs w:val="72"/>
          <w:lang w:val="sr-Cyrl-RS"/>
        </w:rPr>
        <w:lastRenderedPageBreak/>
        <w:t>деле се на ендогене и егзогене, док се</w:t>
      </w:r>
      <w:r w:rsidRPr="00A37BCE">
        <w:rPr>
          <w:rFonts w:cstheme="minorHAnsi"/>
          <w:bCs/>
          <w:color w:val="44546A" w:themeColor="text2"/>
          <w:sz w:val="20"/>
          <w:szCs w:val="72"/>
          <w:lang w:val="sr-Cyrl-RS"/>
        </w:rPr>
        <w:t xml:space="preserve"> посматрано по</w:t>
      </w:r>
      <w:r w:rsidR="0058317B" w:rsidRPr="00A37BCE">
        <w:rPr>
          <w:rFonts w:cstheme="minorHAnsi"/>
          <w:bCs/>
          <w:color w:val="44546A" w:themeColor="text2"/>
          <w:sz w:val="20"/>
          <w:szCs w:val="72"/>
          <w:lang w:val="sr-Cyrl-RS"/>
        </w:rPr>
        <w:t xml:space="preserve"> утицају сврставају</w:t>
      </w:r>
      <w:r w:rsidRPr="00A37BCE">
        <w:rPr>
          <w:rFonts w:cstheme="minorHAnsi"/>
          <w:bCs/>
          <w:color w:val="44546A" w:themeColor="text2"/>
          <w:sz w:val="20"/>
          <w:szCs w:val="72"/>
          <w:lang w:val="sr-Cyrl-RS"/>
        </w:rPr>
        <w:t xml:space="preserve"> у асиметричне наниже, асиметричне на</w:t>
      </w:r>
      <w:r w:rsidR="00A72FBB" w:rsidRPr="00A37BCE">
        <w:rPr>
          <w:rFonts w:cstheme="minorHAnsi"/>
          <w:bCs/>
          <w:color w:val="44546A" w:themeColor="text2"/>
          <w:sz w:val="20"/>
          <w:szCs w:val="72"/>
          <w:lang w:val="sr-Cyrl-RS"/>
        </w:rPr>
        <w:t>више и симетричне.</w:t>
      </w:r>
    </w:p>
    <w:p w14:paraId="5683D9DC" w14:textId="1CD78232" w:rsidR="00451DCA" w:rsidRPr="00D82D2A" w:rsidRDefault="00163ABC" w:rsidP="00451DCA">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Егзогени ризици детерминис</w:t>
      </w:r>
      <w:r w:rsidR="00AB67D0" w:rsidRPr="00A37BCE">
        <w:rPr>
          <w:rFonts w:cstheme="minorHAnsi"/>
          <w:bCs/>
          <w:color w:val="44546A" w:themeColor="text2"/>
          <w:sz w:val="20"/>
          <w:szCs w:val="72"/>
          <w:lang w:val="sr-Cyrl-RS"/>
        </w:rPr>
        <w:t>а</w:t>
      </w:r>
      <w:r w:rsidRPr="00A37BCE">
        <w:rPr>
          <w:rFonts w:cstheme="minorHAnsi"/>
          <w:bCs/>
          <w:color w:val="44546A" w:themeColor="text2"/>
          <w:sz w:val="20"/>
          <w:szCs w:val="72"/>
          <w:lang w:val="sr-Cyrl-RS"/>
        </w:rPr>
        <w:t xml:space="preserve">ни су кретањима на међународном робном и финансијском тржишту. Ови ризици највећим делом имају изворе у све израженијим трговинским тензијама, те с тим у вези протекционистичким мерама и колебљивостима које генеришу неизвесности. Што се тиче робног тржишта, цене примарних производа могу имати двојак утицај на привредни раст </w:t>
      </w:r>
      <w:r w:rsidR="00E74834">
        <w:rPr>
          <w:rFonts w:cstheme="minorHAnsi"/>
          <w:bCs/>
          <w:color w:val="44546A" w:themeColor="text2"/>
          <w:sz w:val="20"/>
          <w:szCs w:val="72"/>
          <w:lang w:val="sr-Cyrl-RS"/>
        </w:rPr>
        <w:t>Републике</w:t>
      </w:r>
      <w:r w:rsidR="00E74834" w:rsidRPr="00A37BCE">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t>Србије. Кретање цене нафте изнад пројектованог негативно би се одразило на трошкове производње али и променило структуру потрошње домаћинстава у корист увозних добара</w:t>
      </w:r>
      <w:r w:rsidR="000623F6" w:rsidRPr="00A37BCE">
        <w:rPr>
          <w:rFonts w:cstheme="minorHAnsi"/>
          <w:bCs/>
          <w:color w:val="44546A" w:themeColor="text2"/>
          <w:sz w:val="20"/>
          <w:szCs w:val="72"/>
          <w:lang w:val="sr-Cyrl-RS"/>
        </w:rPr>
        <w:t>,</w:t>
      </w:r>
      <w:r w:rsidRPr="00A37BCE">
        <w:rPr>
          <w:rFonts w:cstheme="minorHAnsi"/>
          <w:bCs/>
          <w:color w:val="44546A" w:themeColor="text2"/>
          <w:sz w:val="20"/>
          <w:szCs w:val="72"/>
          <w:lang w:val="sr-Cyrl-RS"/>
        </w:rPr>
        <w:t xml:space="preserve"> што би удружено успорило привредни раст. Са друге стране, бржи раст цена основних метала и пољопривредних производа би, за </w:t>
      </w:r>
      <w:r w:rsidR="00E74834">
        <w:rPr>
          <w:rFonts w:cstheme="minorHAnsi"/>
          <w:bCs/>
          <w:color w:val="44546A" w:themeColor="text2"/>
          <w:sz w:val="20"/>
          <w:szCs w:val="72"/>
          <w:lang w:val="sr-Cyrl-RS"/>
        </w:rPr>
        <w:t>Републику</w:t>
      </w:r>
      <w:r w:rsidR="00E74834" w:rsidRPr="00A37BCE">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t>Србију као њиховог нето извозника, имао позитиван ефекат и дао додатни допринос убрзању економске активности. Кретања на међународном финансијском тржишту у највећој мери су одређена дивергентним</w:t>
      </w:r>
      <w:r w:rsidR="00777619" w:rsidRPr="00A37BCE">
        <w:rPr>
          <w:rFonts w:cstheme="minorHAnsi"/>
          <w:bCs/>
          <w:color w:val="44546A" w:themeColor="text2"/>
          <w:sz w:val="20"/>
          <w:szCs w:val="72"/>
          <w:lang w:val="sr-Cyrl-RS"/>
        </w:rPr>
        <w:t xml:space="preserve"> политикама ФЕД и ЕЦБ. Непознани</w:t>
      </w:r>
      <w:r w:rsidRPr="00A37BCE">
        <w:rPr>
          <w:rFonts w:cstheme="minorHAnsi"/>
          <w:bCs/>
          <w:color w:val="44546A" w:themeColor="text2"/>
          <w:sz w:val="20"/>
          <w:szCs w:val="72"/>
          <w:lang w:val="sr-Cyrl-RS"/>
        </w:rPr>
        <w:t xml:space="preserve">це у вези са будућим мерама и спорији темпо нормализације политика утиче на понашање страних инвеститора и доступност извора финансирања. Што се тиче глобалног раста он и даље има повољне изгледе али уз дозу неизвесности у погледу његове динамике. Наиме, присутни су ризици за његово успоравање, што би преливањем са привреда наших највећих спољнотрговинских партнера могло </w:t>
      </w:r>
      <w:r w:rsidR="00C952A7" w:rsidRPr="00A37BCE">
        <w:rPr>
          <w:rFonts w:cstheme="minorHAnsi"/>
          <w:bCs/>
          <w:color w:val="44546A" w:themeColor="text2"/>
          <w:sz w:val="20"/>
          <w:szCs w:val="72"/>
          <w:lang w:val="sr-Cyrl-RS"/>
        </w:rPr>
        <w:t>имати негативан</w:t>
      </w:r>
      <w:r w:rsidRPr="00A37BCE">
        <w:rPr>
          <w:rFonts w:cstheme="minorHAnsi"/>
          <w:bCs/>
          <w:color w:val="44546A" w:themeColor="text2"/>
          <w:sz w:val="20"/>
          <w:szCs w:val="72"/>
          <w:lang w:val="sr-Cyrl-RS"/>
        </w:rPr>
        <w:t xml:space="preserve"> утицај на раст.</w:t>
      </w:r>
      <w:r w:rsidR="00E4595A" w:rsidRPr="00A37BCE">
        <w:rPr>
          <w:rFonts w:cstheme="minorHAnsi"/>
          <w:bCs/>
          <w:color w:val="44546A" w:themeColor="text2"/>
          <w:sz w:val="20"/>
          <w:szCs w:val="72"/>
          <w:lang w:val="sr-Cyrl-RS"/>
        </w:rPr>
        <w:t xml:space="preserve"> Посебно се издваја</w:t>
      </w:r>
      <w:r w:rsidR="000623F6" w:rsidRPr="00A37BCE">
        <w:rPr>
          <w:rFonts w:cstheme="minorHAnsi"/>
          <w:bCs/>
          <w:color w:val="44546A" w:themeColor="text2"/>
          <w:sz w:val="20"/>
          <w:szCs w:val="72"/>
          <w:lang w:val="sr-Cyrl-RS"/>
        </w:rPr>
        <w:t xml:space="preserve"> ризик који може бити генерисан буџетском кризом између Италије и ЕК и неизвесношћу око даљег развоја ситуације, а имајући у виду значајну улогу Италије у нашој спољној трговини. </w:t>
      </w:r>
      <w:r w:rsidRPr="00A37BCE">
        <w:rPr>
          <w:rFonts w:cstheme="minorHAnsi"/>
          <w:bCs/>
          <w:color w:val="44546A" w:themeColor="text2"/>
          <w:sz w:val="20"/>
          <w:szCs w:val="72"/>
          <w:lang w:val="sr-Cyrl-RS"/>
        </w:rPr>
        <w:t>Такође, ризик „на доле</w:t>
      </w:r>
      <w:r w:rsidR="00A64BCA" w:rsidRPr="00A64BCA">
        <w:rPr>
          <w:rFonts w:cstheme="minorHAnsi"/>
          <w:bCs/>
          <w:color w:val="44546A" w:themeColor="text2"/>
          <w:sz w:val="20"/>
          <w:szCs w:val="72"/>
          <w:lang w:val="sr-Cyrl-RS"/>
        </w:rPr>
        <w:t>ˮ</w:t>
      </w:r>
      <w:r w:rsidRPr="00A37BCE">
        <w:rPr>
          <w:rFonts w:cstheme="minorHAnsi"/>
          <w:bCs/>
          <w:color w:val="44546A" w:themeColor="text2"/>
          <w:sz w:val="20"/>
          <w:szCs w:val="72"/>
          <w:lang w:val="sr-Cyrl-RS"/>
        </w:rPr>
        <w:t xml:space="preserve">, који је у прошлости не тако ретко био активиран, представља пракса доношења политички мотивисаних </w:t>
      </w:r>
      <w:r w:rsidR="00C952A7" w:rsidRPr="00A37BCE">
        <w:rPr>
          <w:rFonts w:cstheme="minorHAnsi"/>
          <w:bCs/>
          <w:color w:val="44546A" w:themeColor="text2"/>
          <w:sz w:val="20"/>
          <w:szCs w:val="72"/>
          <w:lang w:val="sr-Cyrl-RS"/>
        </w:rPr>
        <w:t xml:space="preserve">инхибиторних </w:t>
      </w:r>
      <w:r w:rsidRPr="00A37BCE">
        <w:rPr>
          <w:rFonts w:cstheme="minorHAnsi"/>
          <w:bCs/>
          <w:color w:val="44546A" w:themeColor="text2"/>
          <w:sz w:val="20"/>
          <w:szCs w:val="72"/>
          <w:lang w:val="sr-Cyrl-RS"/>
        </w:rPr>
        <w:t>одлука</w:t>
      </w:r>
      <w:r w:rsidR="00C952A7" w:rsidRPr="00A37BCE">
        <w:rPr>
          <w:rFonts w:cstheme="minorHAnsi"/>
          <w:bCs/>
          <w:color w:val="44546A" w:themeColor="text2"/>
          <w:sz w:val="20"/>
          <w:szCs w:val="72"/>
          <w:lang w:val="sr-Cyrl-RS"/>
        </w:rPr>
        <w:t>,</w:t>
      </w:r>
      <w:r w:rsidRPr="00A37BCE">
        <w:rPr>
          <w:rFonts w:cstheme="minorHAnsi"/>
          <w:bCs/>
          <w:color w:val="44546A" w:themeColor="text2"/>
          <w:sz w:val="20"/>
          <w:szCs w:val="72"/>
          <w:lang w:val="sr-Cyrl-RS"/>
        </w:rPr>
        <w:t xml:space="preserve"> којима се крше потписани спољнотрговински уговори и директно блокира</w:t>
      </w:r>
      <w:r w:rsidR="0020757D" w:rsidRPr="00A37BCE">
        <w:rPr>
          <w:rFonts w:cstheme="minorHAnsi"/>
          <w:bCs/>
          <w:color w:val="44546A" w:themeColor="text2"/>
          <w:sz w:val="20"/>
          <w:szCs w:val="72"/>
          <w:lang w:val="sr-Cyrl-RS"/>
        </w:rPr>
        <w:t xml:space="preserve"> извоз српских производа. Ризици</w:t>
      </w:r>
      <w:r w:rsidR="00CF1AF1" w:rsidRPr="00A37BCE">
        <w:rPr>
          <w:rFonts w:cstheme="minorHAnsi"/>
          <w:bCs/>
          <w:color w:val="44546A" w:themeColor="text2"/>
          <w:sz w:val="20"/>
          <w:szCs w:val="72"/>
          <w:lang w:val="sr-Cyrl-RS"/>
        </w:rPr>
        <w:t xml:space="preserve"> везани</w:t>
      </w:r>
      <w:r w:rsidRPr="00A37BCE">
        <w:rPr>
          <w:rFonts w:cstheme="minorHAnsi"/>
          <w:bCs/>
          <w:color w:val="44546A" w:themeColor="text2"/>
          <w:sz w:val="20"/>
          <w:szCs w:val="72"/>
          <w:lang w:val="sr-Cyrl-RS"/>
        </w:rPr>
        <w:t xml:space="preserve"> за кретања на робном и ф</w:t>
      </w:r>
      <w:r w:rsidR="0058317B" w:rsidRPr="00A37BCE">
        <w:rPr>
          <w:rFonts w:cstheme="minorHAnsi"/>
          <w:bCs/>
          <w:color w:val="44546A" w:themeColor="text2"/>
          <w:sz w:val="20"/>
          <w:szCs w:val="72"/>
          <w:lang w:val="sr-Cyrl-RS"/>
        </w:rPr>
        <w:t>инансијском тржишту процењују</w:t>
      </w:r>
      <w:r w:rsidR="00CD148A" w:rsidRPr="00A37BCE">
        <w:rPr>
          <w:rFonts w:cstheme="minorHAnsi"/>
          <w:bCs/>
          <w:color w:val="44546A" w:themeColor="text2"/>
          <w:sz w:val="20"/>
          <w:szCs w:val="72"/>
          <w:lang w:val="sr-Cyrl-RS"/>
        </w:rPr>
        <w:t xml:space="preserve"> се као симетрични</w:t>
      </w:r>
      <w:r w:rsidR="00CF1AF1" w:rsidRPr="00A37BCE">
        <w:rPr>
          <w:rFonts w:cstheme="minorHAnsi"/>
          <w:bCs/>
          <w:color w:val="44546A" w:themeColor="text2"/>
          <w:sz w:val="20"/>
          <w:szCs w:val="72"/>
          <w:lang w:val="sr-Cyrl-RS"/>
        </w:rPr>
        <w:t>, док</w:t>
      </w:r>
      <w:r w:rsidR="0039113B" w:rsidRPr="00A37BCE">
        <w:rPr>
          <w:rFonts w:cstheme="minorHAnsi"/>
          <w:bCs/>
          <w:color w:val="44546A" w:themeColor="text2"/>
          <w:sz w:val="20"/>
          <w:szCs w:val="72"/>
          <w:lang w:val="sr-Cyrl-RS"/>
        </w:rPr>
        <w:t xml:space="preserve"> је ризик</w:t>
      </w:r>
      <w:r w:rsidR="00451DCA" w:rsidRPr="00A37BCE">
        <w:rPr>
          <w:rFonts w:cstheme="minorHAnsi"/>
          <w:bCs/>
          <w:color w:val="44546A" w:themeColor="text2"/>
          <w:sz w:val="20"/>
          <w:szCs w:val="72"/>
          <w:lang w:val="sr-Cyrl-RS"/>
        </w:rPr>
        <w:t>,</w:t>
      </w:r>
      <w:r w:rsidR="00CF1AF1" w:rsidRPr="00A37BCE">
        <w:rPr>
          <w:rFonts w:cstheme="minorHAnsi"/>
          <w:bCs/>
          <w:color w:val="44546A" w:themeColor="text2"/>
          <w:sz w:val="20"/>
          <w:szCs w:val="72"/>
          <w:lang w:val="sr-Cyrl-RS"/>
        </w:rPr>
        <w:t xml:space="preserve"> </w:t>
      </w:r>
      <w:r w:rsidR="0039113B" w:rsidRPr="00A37BCE">
        <w:rPr>
          <w:rFonts w:cstheme="minorHAnsi"/>
          <w:bCs/>
          <w:color w:val="44546A" w:themeColor="text2"/>
          <w:sz w:val="20"/>
          <w:szCs w:val="72"/>
          <w:lang w:val="sr-Cyrl-RS"/>
        </w:rPr>
        <w:t>да би раст</w:t>
      </w:r>
      <w:r w:rsidRPr="00A37BCE">
        <w:rPr>
          <w:rFonts w:cstheme="minorHAnsi"/>
          <w:bCs/>
          <w:color w:val="44546A" w:themeColor="text2"/>
          <w:sz w:val="20"/>
          <w:szCs w:val="72"/>
          <w:lang w:val="sr-Cyrl-RS"/>
        </w:rPr>
        <w:t xml:space="preserve"> глобалне економије</w:t>
      </w:r>
      <w:r w:rsidR="00CE02A2" w:rsidRPr="00A37BCE">
        <w:rPr>
          <w:rFonts w:cstheme="minorHAnsi"/>
          <w:bCs/>
          <w:color w:val="44546A" w:themeColor="text2"/>
          <w:sz w:val="20"/>
          <w:szCs w:val="72"/>
          <w:lang w:val="sr-Cyrl-RS"/>
        </w:rPr>
        <w:t xml:space="preserve"> и наших најзначајнијих</w:t>
      </w:r>
      <w:r w:rsidR="0039113B" w:rsidRPr="00A37BCE">
        <w:rPr>
          <w:rFonts w:cstheme="minorHAnsi"/>
          <w:bCs/>
          <w:color w:val="44546A" w:themeColor="text2"/>
          <w:sz w:val="20"/>
          <w:szCs w:val="72"/>
          <w:lang w:val="sr-Cyrl-RS"/>
        </w:rPr>
        <w:t xml:space="preserve"> спољнотрговинских</w:t>
      </w:r>
      <w:r w:rsidR="00CE02A2" w:rsidRPr="00A37BCE">
        <w:rPr>
          <w:rFonts w:cstheme="minorHAnsi"/>
          <w:bCs/>
          <w:color w:val="44546A" w:themeColor="text2"/>
          <w:sz w:val="20"/>
          <w:szCs w:val="72"/>
          <w:lang w:val="sr-Cyrl-RS"/>
        </w:rPr>
        <w:t xml:space="preserve"> партнера</w:t>
      </w:r>
      <w:r w:rsidRPr="00A37BCE">
        <w:rPr>
          <w:rFonts w:cstheme="minorHAnsi"/>
          <w:bCs/>
          <w:color w:val="44546A" w:themeColor="text2"/>
          <w:sz w:val="20"/>
          <w:szCs w:val="72"/>
          <w:lang w:val="sr-Cyrl-RS"/>
        </w:rPr>
        <w:t xml:space="preserve"> </w:t>
      </w:r>
      <w:r w:rsidR="0039113B" w:rsidRPr="00A37BCE">
        <w:rPr>
          <w:rFonts w:cstheme="minorHAnsi"/>
          <w:bCs/>
          <w:color w:val="44546A" w:themeColor="text2"/>
          <w:sz w:val="20"/>
          <w:szCs w:val="72"/>
          <w:lang w:val="sr-Cyrl-RS"/>
        </w:rPr>
        <w:t>могао бити спорији од пројектовано</w:t>
      </w:r>
      <w:r w:rsidR="00451DCA" w:rsidRPr="00A37BCE">
        <w:rPr>
          <w:rFonts w:cstheme="minorHAnsi"/>
          <w:bCs/>
          <w:color w:val="44546A" w:themeColor="text2"/>
          <w:sz w:val="20"/>
          <w:szCs w:val="72"/>
          <w:lang w:val="sr-Cyrl-RS"/>
        </w:rPr>
        <w:t>г,</w:t>
      </w:r>
      <w:r w:rsidR="0039113B" w:rsidRPr="00A37BCE">
        <w:rPr>
          <w:rFonts w:cstheme="minorHAnsi"/>
          <w:bCs/>
          <w:color w:val="44546A" w:themeColor="text2"/>
          <w:sz w:val="20"/>
          <w:szCs w:val="72"/>
          <w:lang w:val="sr-Cyrl-RS"/>
        </w:rPr>
        <w:t xml:space="preserve"> повећан</w:t>
      </w:r>
      <w:r w:rsidRPr="00A37BCE">
        <w:rPr>
          <w:rFonts w:cstheme="minorHAnsi"/>
          <w:bCs/>
          <w:color w:val="44546A" w:themeColor="text2"/>
          <w:sz w:val="20"/>
          <w:szCs w:val="72"/>
          <w:lang w:val="sr-Cyrl-RS"/>
        </w:rPr>
        <w:t xml:space="preserve">. Будући да смо мала и </w:t>
      </w:r>
      <w:r w:rsidRPr="00A37BCE">
        <w:rPr>
          <w:rFonts w:cstheme="minorHAnsi"/>
          <w:bCs/>
          <w:color w:val="44546A" w:themeColor="text2"/>
          <w:sz w:val="20"/>
          <w:szCs w:val="72"/>
          <w:lang w:val="sr-Cyrl-RS"/>
        </w:rPr>
        <w:lastRenderedPageBreak/>
        <w:t>отворена економија, која је значајно изложена</w:t>
      </w:r>
      <w:r w:rsidR="00C201E0" w:rsidRPr="00A37BCE">
        <w:rPr>
          <w:rFonts w:cstheme="minorHAnsi"/>
          <w:bCs/>
          <w:color w:val="44546A" w:themeColor="text2"/>
          <w:sz w:val="20"/>
          <w:szCs w:val="72"/>
          <w:lang w:val="sr-Cyrl-RS"/>
        </w:rPr>
        <w:t xml:space="preserve"> ефектима екстерних </w:t>
      </w:r>
      <w:r w:rsidR="00CF1AF1" w:rsidRPr="00A37BCE">
        <w:rPr>
          <w:rFonts w:cstheme="minorHAnsi"/>
          <w:bCs/>
          <w:color w:val="44546A" w:themeColor="text2"/>
          <w:sz w:val="20"/>
          <w:szCs w:val="72"/>
          <w:lang w:val="sr-Cyrl-RS"/>
        </w:rPr>
        <w:t xml:space="preserve">фактора, </w:t>
      </w:r>
      <w:r w:rsidR="00451DCA" w:rsidRPr="00A37BCE">
        <w:rPr>
          <w:rFonts w:cstheme="minorHAnsi"/>
          <w:bCs/>
          <w:color w:val="44546A" w:themeColor="text2"/>
          <w:sz w:val="20"/>
          <w:szCs w:val="72"/>
          <w:lang w:val="sr-Cyrl-RS"/>
        </w:rPr>
        <w:t xml:space="preserve">процењује се да су укупни ризици за раст домаће привреде који долазе из </w:t>
      </w:r>
      <w:r w:rsidR="00D82D2A">
        <w:rPr>
          <w:rFonts w:cstheme="minorHAnsi"/>
          <w:bCs/>
          <w:color w:val="44546A" w:themeColor="text2"/>
          <w:sz w:val="20"/>
          <w:szCs w:val="72"/>
          <w:lang w:val="sr-Cyrl-RS"/>
        </w:rPr>
        <w:t>међународног израженији наниже.</w:t>
      </w:r>
    </w:p>
    <w:p w14:paraId="4F96222B" w14:textId="32A62EC0" w:rsidR="00592092" w:rsidRPr="00A37BCE" w:rsidRDefault="00163ABC" w:rsidP="00163ABC">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Ендогени ризици везани су за волатилност пољопривредне производње, ефикасност у реализацији јавних пројеката и динамику спровођења започетих реформи. И поред унапређења и модернизације сектора пољопривреде, производња главних биљних култура и даље је значајно зависна од агрометеоролошких услова, што може довести до битних одступања од вишегодишње просечне пољопривредне производње на бази које се пројектује кретање овог сектора. Јавне инвестиције дале су значајан допринос убрзању привредне активности током 2018. године. Буџетом за 2019. годину су предвиђени још већи капитални расходи, те би успоравање реализације имало негативне ефекте на економски раст. Са друге стране, будући да стање у јавним финансијама омогућавају и већи обим инфраструктурних радова, такав сценарио би дао позитиван импулс расту БДП преко бржег раста грађевинарства гледано са производне стране, односно већим инвестицијам</w:t>
      </w:r>
      <w:r w:rsidR="00972218" w:rsidRPr="00A37BCE">
        <w:rPr>
          <w:rFonts w:cstheme="minorHAnsi"/>
          <w:bCs/>
          <w:color w:val="44546A" w:themeColor="text2"/>
          <w:sz w:val="20"/>
          <w:szCs w:val="72"/>
          <w:lang w:val="sr-Cyrl-RS"/>
        </w:rPr>
        <w:t>а посматрано са расходне стане.</w:t>
      </w:r>
      <w:r w:rsidRPr="00A37BCE">
        <w:rPr>
          <w:rFonts w:cstheme="minorHAnsi"/>
          <w:bCs/>
          <w:color w:val="44546A" w:themeColor="text2"/>
          <w:sz w:val="20"/>
          <w:szCs w:val="72"/>
          <w:lang w:val="sr-Cyrl-RS"/>
        </w:rPr>
        <w:t xml:space="preserve"> Реформа јавних предузећа основ је за подизање нивоа продуктивности и ефикасности, што би појефтинило производне процесе, подигло конкурентност и проширило инвестицион</w:t>
      </w:r>
      <w:r w:rsidR="00972218" w:rsidRPr="00A37BCE">
        <w:rPr>
          <w:rFonts w:cstheme="minorHAnsi"/>
          <w:bCs/>
          <w:color w:val="44546A" w:themeColor="text2"/>
          <w:sz w:val="20"/>
          <w:szCs w:val="72"/>
          <w:lang w:val="sr-Cyrl-RS"/>
        </w:rPr>
        <w:t xml:space="preserve">е ресурсе. Динамика спровођења </w:t>
      </w:r>
      <w:r w:rsidRPr="00A37BCE">
        <w:rPr>
          <w:rFonts w:cstheme="minorHAnsi"/>
          <w:bCs/>
          <w:color w:val="44546A" w:themeColor="text2"/>
          <w:sz w:val="20"/>
          <w:szCs w:val="72"/>
          <w:lang w:val="sr-Cyrl-RS"/>
        </w:rPr>
        <w:t>ових реформи јасно се осликава на динамици укупног привредн</w:t>
      </w:r>
      <w:r w:rsidR="00DE7487" w:rsidRPr="00A37BCE">
        <w:rPr>
          <w:rFonts w:cstheme="minorHAnsi"/>
          <w:bCs/>
          <w:color w:val="44546A" w:themeColor="text2"/>
          <w:sz w:val="20"/>
          <w:szCs w:val="72"/>
          <w:lang w:val="sr-Cyrl-RS"/>
        </w:rPr>
        <w:t xml:space="preserve">ог раста утицајем у истом смеру, брже спровођење реформи бржи привредни раст и обратно. </w:t>
      </w:r>
      <w:r w:rsidRPr="00A37BCE">
        <w:rPr>
          <w:rFonts w:cstheme="minorHAnsi"/>
          <w:bCs/>
          <w:color w:val="44546A" w:themeColor="text2"/>
          <w:sz w:val="20"/>
          <w:szCs w:val="72"/>
          <w:lang w:val="sr-Cyrl-RS"/>
        </w:rPr>
        <w:t>Идентификоване интерне ризике антиципирамо као симетричне.</w:t>
      </w:r>
    </w:p>
    <w:p w14:paraId="54F8113C" w14:textId="6D48D0BA" w:rsidR="009877EB" w:rsidRPr="00A37BCE" w:rsidRDefault="009877EB" w:rsidP="00FB7907">
      <w:pPr>
        <w:pStyle w:val="Caption"/>
        <w:keepNext/>
        <w:rPr>
          <w:rFonts w:cstheme="minorHAnsi"/>
          <w:b/>
          <w:i w:val="0"/>
          <w:iCs w:val="0"/>
          <w:color w:val="002060"/>
          <w:sz w:val="20"/>
          <w:szCs w:val="22"/>
          <w:lang w:val="sr-Cyrl-RS"/>
        </w:rPr>
      </w:pPr>
      <w:r w:rsidRPr="00A37BCE">
        <w:rPr>
          <w:rFonts w:cstheme="minorHAnsi"/>
          <w:b/>
          <w:i w:val="0"/>
          <w:iCs w:val="0"/>
          <w:color w:val="002060"/>
          <w:sz w:val="20"/>
          <w:szCs w:val="22"/>
          <w:lang w:val="sr-Cyrl-RS"/>
        </w:rPr>
        <w:t>Пројекција кретања БДП, међугодишње стопе раста, %</w:t>
      </w:r>
    </w:p>
    <w:p w14:paraId="2B20120C" w14:textId="0F58762F" w:rsidR="009877EB" w:rsidRPr="00A37BCE" w:rsidRDefault="009877EB" w:rsidP="009877EB">
      <w:pPr>
        <w:jc w:val="both"/>
        <w:rPr>
          <w:rFonts w:cstheme="minorHAnsi"/>
          <w:bCs/>
          <w:color w:val="44546A" w:themeColor="text2"/>
          <w:sz w:val="16"/>
          <w:szCs w:val="72"/>
          <w:lang w:val="sr-Cyrl-RS"/>
        </w:rPr>
        <w:sectPr w:rsidR="009877EB" w:rsidRPr="00A37BCE" w:rsidSect="009877EB">
          <w:type w:val="continuous"/>
          <w:pgSz w:w="12240" w:h="15840"/>
          <w:pgMar w:top="1440" w:right="1440" w:bottom="1440" w:left="1440" w:header="720" w:footer="720" w:gutter="0"/>
          <w:cols w:num="2" w:space="720"/>
          <w:docGrid w:linePitch="360"/>
        </w:sectPr>
      </w:pPr>
      <w:r w:rsidRPr="00A37BCE">
        <w:rPr>
          <w:rFonts w:cstheme="minorHAnsi"/>
          <w:bCs/>
          <w:noProof/>
          <w:color w:val="44546A" w:themeColor="text2"/>
          <w:sz w:val="20"/>
          <w:szCs w:val="72"/>
        </w:rPr>
        <w:drawing>
          <wp:inline distT="0" distB="0" distL="0" distR="0" wp14:anchorId="6C8817E1" wp14:editId="2D3D8033">
            <wp:extent cx="2741930" cy="1361440"/>
            <wp:effectExtent l="0" t="0" r="127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rojekcije rasta bdp-01.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745330" cy="1363128"/>
                    </a:xfrm>
                    <a:prstGeom prst="rect">
                      <a:avLst/>
                    </a:prstGeom>
                  </pic:spPr>
                </pic:pic>
              </a:graphicData>
            </a:graphic>
          </wp:inline>
        </w:drawing>
      </w:r>
      <w:r w:rsidRPr="00A37BCE">
        <w:rPr>
          <w:rFonts w:cstheme="minorHAnsi"/>
          <w:bCs/>
          <w:color w:val="44546A" w:themeColor="text2"/>
          <w:sz w:val="16"/>
          <w:szCs w:val="72"/>
          <w:lang w:val="sr-Cyrl-RS"/>
        </w:rPr>
        <w:t>Извор: Министарство финансија</w:t>
      </w:r>
    </w:p>
    <w:p w14:paraId="4BBA1652" w14:textId="72C53519" w:rsidR="009877EB" w:rsidRPr="00A37BCE" w:rsidRDefault="009877EB" w:rsidP="009877EB">
      <w:pPr>
        <w:jc w:val="both"/>
        <w:rPr>
          <w:rFonts w:cstheme="minorHAnsi"/>
          <w:bCs/>
          <w:color w:val="44546A" w:themeColor="text2"/>
          <w:sz w:val="16"/>
          <w:szCs w:val="72"/>
          <w:lang w:val="sr-Cyrl-RS"/>
        </w:rPr>
        <w:sectPr w:rsidR="009877EB" w:rsidRPr="00A37BCE" w:rsidSect="009877EB">
          <w:type w:val="continuous"/>
          <w:pgSz w:w="12240" w:h="15840"/>
          <w:pgMar w:top="1440" w:right="1440" w:bottom="1440" w:left="1440" w:header="720" w:footer="720" w:gutter="0"/>
          <w:cols w:num="2" w:space="720"/>
          <w:docGrid w:linePitch="360"/>
        </w:sectPr>
      </w:pPr>
    </w:p>
    <w:p w14:paraId="6F534304" w14:textId="77777777" w:rsidR="009877EB" w:rsidRPr="00A37BCE" w:rsidRDefault="009877EB" w:rsidP="003D2901">
      <w:pPr>
        <w:pStyle w:val="Caption"/>
        <w:keepNext/>
        <w:rPr>
          <w:rFonts w:cstheme="minorHAnsi"/>
          <w:b/>
          <w:i w:val="0"/>
          <w:iCs w:val="0"/>
          <w:color w:val="002060"/>
          <w:sz w:val="20"/>
          <w:szCs w:val="22"/>
          <w:lang w:val="sr-Cyrl-RS"/>
        </w:rPr>
        <w:sectPr w:rsidR="009877EB" w:rsidRPr="00A37BCE" w:rsidSect="009877EB">
          <w:headerReference w:type="even" r:id="rId45"/>
          <w:headerReference w:type="default" r:id="rId46"/>
          <w:footerReference w:type="even" r:id="rId47"/>
          <w:footerReference w:type="default" r:id="rId48"/>
          <w:headerReference w:type="first" r:id="rId49"/>
          <w:type w:val="continuous"/>
          <w:pgSz w:w="12240" w:h="15840"/>
          <w:pgMar w:top="1440" w:right="1440" w:bottom="1440" w:left="1440" w:header="720" w:footer="720" w:gutter="0"/>
          <w:cols w:num="2" w:space="720"/>
          <w:docGrid w:linePitch="360"/>
        </w:sectPr>
      </w:pPr>
    </w:p>
    <w:p w14:paraId="12714AB2" w14:textId="2EDC0770" w:rsidR="009877EB" w:rsidRPr="00A37BCE" w:rsidRDefault="009877EB" w:rsidP="009877EB">
      <w:pPr>
        <w:jc w:val="both"/>
        <w:rPr>
          <w:rFonts w:cstheme="minorHAnsi"/>
          <w:bCs/>
          <w:color w:val="44546A" w:themeColor="text2"/>
          <w:sz w:val="20"/>
          <w:szCs w:val="72"/>
          <w:lang w:val="sr-Cyrl-RS"/>
        </w:rPr>
        <w:sectPr w:rsidR="009877EB" w:rsidRPr="00A37BCE" w:rsidSect="009877EB">
          <w:type w:val="continuous"/>
          <w:pgSz w:w="12240" w:h="15840"/>
          <w:pgMar w:top="1440" w:right="1440" w:bottom="1440" w:left="1440" w:header="720" w:footer="720" w:gutter="0"/>
          <w:cols w:num="2" w:space="720"/>
          <w:docGrid w:linePitch="360"/>
        </w:sectPr>
      </w:pPr>
    </w:p>
    <w:p w14:paraId="5C547A79" w14:textId="33B75A41" w:rsidR="009877EB" w:rsidRPr="00A37BCE" w:rsidRDefault="009877EB" w:rsidP="009877EB">
      <w:pPr>
        <w:keepNext/>
        <w:keepLines/>
        <w:spacing w:before="240" w:after="0"/>
        <w:jc w:val="center"/>
        <w:outlineLvl w:val="0"/>
        <w:rPr>
          <w:rFonts w:eastAsiaTheme="majorEastAsia" w:cstheme="minorHAnsi"/>
          <w:b/>
          <w:color w:val="2F5496" w:themeColor="accent1" w:themeShade="BF"/>
          <w:sz w:val="26"/>
          <w:szCs w:val="26"/>
          <w:lang w:val="sr-Cyrl-RS"/>
        </w:rPr>
      </w:pPr>
      <w:bookmarkStart w:id="7" w:name="_Toc530041996"/>
      <w:r w:rsidRPr="00A37BCE">
        <w:rPr>
          <w:rFonts w:eastAsiaTheme="majorEastAsia" w:cstheme="minorHAnsi"/>
          <w:b/>
          <w:color w:val="2F5496" w:themeColor="accent1" w:themeShade="BF"/>
          <w:sz w:val="26"/>
          <w:szCs w:val="26"/>
          <w:lang w:val="sr-Cyrl-RS"/>
        </w:rPr>
        <w:lastRenderedPageBreak/>
        <w:t>II</w:t>
      </w:r>
      <w:r w:rsidR="00342D1C" w:rsidRPr="00A37BCE">
        <w:rPr>
          <w:rFonts w:eastAsiaTheme="majorEastAsia" w:cstheme="minorHAnsi"/>
          <w:b/>
          <w:color w:val="2F5496" w:themeColor="accent1" w:themeShade="BF"/>
          <w:sz w:val="26"/>
          <w:szCs w:val="26"/>
          <w:lang w:val="sr-Cyrl-RS"/>
        </w:rPr>
        <w:t>.</w:t>
      </w:r>
      <w:r w:rsidRPr="00A37BCE">
        <w:rPr>
          <w:rFonts w:eastAsiaTheme="majorEastAsia" w:cstheme="minorHAnsi"/>
          <w:b/>
          <w:color w:val="2F5496" w:themeColor="accent1" w:themeShade="BF"/>
          <w:sz w:val="26"/>
          <w:szCs w:val="26"/>
          <w:lang w:val="sr-Cyrl-RS"/>
        </w:rPr>
        <w:t xml:space="preserve"> ФИСКАЛНИ </w:t>
      </w:r>
      <w:r w:rsidR="00653CBF" w:rsidRPr="00A37BCE">
        <w:rPr>
          <w:rFonts w:eastAsiaTheme="majorEastAsia" w:cstheme="minorHAnsi"/>
          <w:b/>
          <w:color w:val="2F5496" w:themeColor="accent1" w:themeShade="BF"/>
          <w:sz w:val="26"/>
          <w:szCs w:val="26"/>
          <w:lang w:val="sr-Cyrl-RS"/>
        </w:rPr>
        <w:t>ОКВИР ЗА ПЕРИОД ОД 2018. ДО 2021</w:t>
      </w:r>
      <w:r w:rsidRPr="00A37BCE">
        <w:rPr>
          <w:rFonts w:eastAsiaTheme="majorEastAsia" w:cstheme="minorHAnsi"/>
          <w:b/>
          <w:color w:val="2F5496" w:themeColor="accent1" w:themeShade="BF"/>
          <w:sz w:val="26"/>
          <w:szCs w:val="26"/>
          <w:lang w:val="sr-Cyrl-RS"/>
        </w:rPr>
        <w:t>. ГОДИНЕ</w:t>
      </w:r>
      <w:bookmarkEnd w:id="7"/>
    </w:p>
    <w:p w14:paraId="7DAF2957" w14:textId="77777777" w:rsidR="00261423" w:rsidRPr="00261423" w:rsidRDefault="00261423" w:rsidP="001D6C6B">
      <w:pPr>
        <w:keepNext/>
        <w:keepLines/>
        <w:spacing w:before="40" w:after="0"/>
        <w:jc w:val="center"/>
        <w:outlineLvl w:val="1"/>
        <w:rPr>
          <w:rFonts w:eastAsiaTheme="majorEastAsia" w:cstheme="minorHAnsi"/>
          <w:b/>
          <w:color w:val="2F5496" w:themeColor="accent1" w:themeShade="BF"/>
          <w:sz w:val="12"/>
          <w:szCs w:val="12"/>
          <w:lang w:val="sr-Cyrl-RS"/>
        </w:rPr>
      </w:pPr>
      <w:bookmarkStart w:id="8" w:name="_Toc528909823"/>
      <w:bookmarkStart w:id="9" w:name="_Toc530041997"/>
    </w:p>
    <w:p w14:paraId="0F786F6B" w14:textId="2C3B656F" w:rsidR="009877EB" w:rsidRPr="00A37BCE" w:rsidRDefault="009877EB" w:rsidP="001D6C6B">
      <w:pPr>
        <w:keepNext/>
        <w:keepLines/>
        <w:spacing w:before="40" w:after="0"/>
        <w:jc w:val="center"/>
        <w:outlineLvl w:val="1"/>
        <w:rPr>
          <w:rFonts w:eastAsiaTheme="majorEastAsia" w:cstheme="minorHAnsi"/>
          <w:b/>
          <w:color w:val="2F5496" w:themeColor="accent1" w:themeShade="BF"/>
          <w:sz w:val="24"/>
          <w:szCs w:val="26"/>
          <w:lang w:val="sr-Cyrl-RS"/>
        </w:rPr>
      </w:pPr>
      <w:r w:rsidRPr="00A37BCE">
        <w:rPr>
          <w:rFonts w:eastAsiaTheme="majorEastAsia" w:cstheme="minorHAnsi"/>
          <w:b/>
          <w:color w:val="2F5496" w:themeColor="accent1" w:themeShade="BF"/>
          <w:sz w:val="24"/>
          <w:szCs w:val="26"/>
          <w:lang w:val="sr-Cyrl-RS"/>
        </w:rPr>
        <w:t xml:space="preserve">1. </w:t>
      </w:r>
      <w:bookmarkEnd w:id="8"/>
      <w:r w:rsidRPr="00A37BCE">
        <w:rPr>
          <w:rFonts w:eastAsiaTheme="majorEastAsia" w:cstheme="minorHAnsi"/>
          <w:b/>
          <w:color w:val="2F5496" w:themeColor="accent1" w:themeShade="BF"/>
          <w:sz w:val="24"/>
          <w:szCs w:val="26"/>
          <w:lang w:val="sr-Cyrl-RS"/>
        </w:rPr>
        <w:t>Средњорочни циљеви фискалне политике</w:t>
      </w:r>
      <w:bookmarkEnd w:id="9"/>
    </w:p>
    <w:p w14:paraId="18004600" w14:textId="77777777" w:rsidR="003D2901" w:rsidRPr="00261423" w:rsidRDefault="003D2901" w:rsidP="003D2901">
      <w:pPr>
        <w:keepNext/>
        <w:keepLines/>
        <w:spacing w:before="40" w:after="0"/>
        <w:jc w:val="center"/>
        <w:outlineLvl w:val="1"/>
        <w:rPr>
          <w:rFonts w:eastAsiaTheme="majorEastAsia" w:cstheme="minorHAnsi"/>
          <w:b/>
          <w:color w:val="2F5496" w:themeColor="accent1" w:themeShade="BF"/>
          <w:sz w:val="12"/>
          <w:szCs w:val="12"/>
          <w:lang w:val="sr-Cyrl-RS"/>
        </w:rPr>
      </w:pPr>
    </w:p>
    <w:p w14:paraId="613C5152" w14:textId="1A5708FB" w:rsidR="003D2901" w:rsidRPr="00A37BCE" w:rsidRDefault="003D2901" w:rsidP="003D2901">
      <w:pPr>
        <w:keepNext/>
        <w:keepLines/>
        <w:spacing w:before="40" w:after="0"/>
        <w:jc w:val="center"/>
        <w:outlineLvl w:val="1"/>
        <w:rPr>
          <w:rFonts w:eastAsiaTheme="majorEastAsia" w:cstheme="minorHAnsi"/>
          <w:b/>
          <w:color w:val="2F5496" w:themeColor="accent1" w:themeShade="BF"/>
          <w:sz w:val="24"/>
          <w:szCs w:val="26"/>
          <w:lang w:val="sr-Cyrl-RS"/>
        </w:rPr>
        <w:sectPr w:rsidR="003D2901" w:rsidRPr="00A37BCE" w:rsidSect="00A17140">
          <w:type w:val="continuous"/>
          <w:pgSz w:w="12240" w:h="15840"/>
          <w:pgMar w:top="1440" w:right="1440" w:bottom="1440" w:left="1440" w:header="720" w:footer="720" w:gutter="0"/>
          <w:pgNumType w:start="28"/>
          <w:cols w:space="720"/>
          <w:docGrid w:linePitch="360"/>
        </w:sectPr>
      </w:pPr>
    </w:p>
    <w:p w14:paraId="6208AEAC" w14:textId="12AA6918" w:rsidR="009877EB" w:rsidRPr="00A37BCE" w:rsidRDefault="009877EB" w:rsidP="009F4789">
      <w:pPr>
        <w:spacing w:after="120" w:line="276" w:lineRule="auto"/>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lastRenderedPageBreak/>
        <w:t xml:space="preserve">Циљ фискалне политике у наредном </w:t>
      </w:r>
      <w:r w:rsidR="0047251C" w:rsidRPr="00A37BCE">
        <w:rPr>
          <w:rFonts w:cstheme="minorHAnsi"/>
          <w:bCs/>
          <w:color w:val="44546A" w:themeColor="text2"/>
          <w:sz w:val="20"/>
          <w:szCs w:val="72"/>
          <w:lang w:val="sr-Cyrl-RS"/>
        </w:rPr>
        <w:t>средњорочном</w:t>
      </w:r>
      <w:r w:rsidRPr="00A37BCE">
        <w:rPr>
          <w:rFonts w:cstheme="minorHAnsi"/>
          <w:bCs/>
          <w:color w:val="44546A" w:themeColor="text2"/>
          <w:sz w:val="20"/>
          <w:szCs w:val="72"/>
          <w:lang w:val="sr-Cyrl-RS"/>
        </w:rPr>
        <w:t xml:space="preserve"> периоду је остваривање релативно ниских фискалних дефицита од 0,5%</w:t>
      </w:r>
      <w:r w:rsidR="0047251C">
        <w:rPr>
          <w:rFonts w:cstheme="minorHAnsi"/>
          <w:bCs/>
          <w:color w:val="44546A" w:themeColor="text2"/>
          <w:sz w:val="20"/>
          <w:szCs w:val="72"/>
          <w:lang w:val="sr-Cyrl-RS"/>
        </w:rPr>
        <w:t xml:space="preserve"> БДП, који омогућа</w:t>
      </w:r>
      <w:r w:rsidRPr="00A37BCE">
        <w:rPr>
          <w:rFonts w:cstheme="minorHAnsi"/>
          <w:bCs/>
          <w:color w:val="44546A" w:themeColor="text2"/>
          <w:sz w:val="20"/>
          <w:szCs w:val="72"/>
          <w:lang w:val="sr-Cyrl-RS"/>
        </w:rPr>
        <w:t xml:space="preserve">вају наставак силазне путање дуга, али и коришћење фискалног простора у циљу подршке привредном расту. У фебруару 2018. године успешно је окончан Аранжман из предострожности. Постигнути резултати превазишли су очекивања. Основни циљ фискалне консолидације, заустављање даљег раста и постепено смањење дуга, постигнут је крајем 2016. године, када је остварен примарни фискални суфицит од 1,7% БДП. У периоду од 2015. до 2017. године дуг опште државе смањен је за 12,5 </w:t>
      </w:r>
      <w:r w:rsidR="004B175D">
        <w:rPr>
          <w:rFonts w:cstheme="minorHAnsi"/>
          <w:bCs/>
          <w:color w:val="44546A" w:themeColor="text2"/>
          <w:sz w:val="20"/>
          <w:szCs w:val="72"/>
          <w:lang w:val="sr-Cyrl-RS"/>
        </w:rPr>
        <w:t>п. п.</w:t>
      </w:r>
      <w:r w:rsidRPr="00A37BCE">
        <w:rPr>
          <w:rFonts w:cstheme="minorHAnsi"/>
          <w:bCs/>
          <w:color w:val="44546A" w:themeColor="text2"/>
          <w:sz w:val="20"/>
          <w:szCs w:val="72"/>
          <w:lang w:val="sr-Cyrl-RS"/>
        </w:rPr>
        <w:t xml:space="preserve"> БДП, а јавне финансије су из зоне фискалног дефицита ушле у зону фискалног суфицита, који је на крају 2017. године износио 1,1% БДП. Током 2018. године настављен је позитиван тренд у фискалним кретањима. У периоду јануар</w:t>
      </w:r>
      <w:r w:rsidR="00F066E1" w:rsidRPr="00F066E1">
        <w:rPr>
          <w:rFonts w:cstheme="minorHAnsi"/>
          <w:bCs/>
          <w:color w:val="44546A" w:themeColor="text2"/>
          <w:sz w:val="20"/>
          <w:szCs w:val="72"/>
          <w:lang w:val="sr-Cyrl-RS"/>
        </w:rPr>
        <w:t>–</w:t>
      </w:r>
      <w:r w:rsidRPr="00A37BCE">
        <w:rPr>
          <w:rFonts w:cstheme="minorHAnsi"/>
          <w:bCs/>
          <w:color w:val="44546A" w:themeColor="text2"/>
          <w:sz w:val="20"/>
          <w:szCs w:val="72"/>
          <w:lang w:val="sr-Cyrl-RS"/>
        </w:rPr>
        <w:t>септембар остварен је фискални суфицит од 1,5% БДП и примарни фискални суфицит 4,1% БДП. Дуг опште државе на крају трећег квартала смањен је на 56,6% БДП. Као резултат значајно бољих кретања процењује се да ће у 2018. години уместо планираног фискалног дефицита бити остварен фискални суфицит од око 0,6% БДП, док ће дуг опште државе на крају године бити смањен за 4,3</w:t>
      </w:r>
      <w:r w:rsidR="004B175D">
        <w:rPr>
          <w:rFonts w:cstheme="minorHAnsi"/>
          <w:bCs/>
          <w:color w:val="44546A" w:themeColor="text2"/>
          <w:sz w:val="20"/>
          <w:szCs w:val="72"/>
          <w:lang w:val="sr-Cyrl-RS"/>
        </w:rPr>
        <w:t xml:space="preserve"> п. п.</w:t>
      </w:r>
      <w:r w:rsidRPr="00A37BCE">
        <w:rPr>
          <w:rFonts w:cstheme="minorHAnsi"/>
          <w:bCs/>
          <w:color w:val="44546A" w:themeColor="text2"/>
          <w:sz w:val="20"/>
          <w:szCs w:val="72"/>
          <w:lang w:val="sr-Cyrl-RS"/>
        </w:rPr>
        <w:t xml:space="preserve"> БДП. Кључни допринос бољем резултату даће приходи, док ће на страни расхода највеће одступање од плана наниже бити забележено на расходима за камате.</w:t>
      </w:r>
    </w:p>
    <w:p w14:paraId="0221EE4E" w14:textId="20BD9A43" w:rsidR="009877EB" w:rsidRPr="00A37BCE" w:rsidRDefault="009877EB" w:rsidP="009F4789">
      <w:pPr>
        <w:spacing w:after="120" w:line="276" w:lineRule="auto"/>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 xml:space="preserve">Успешно спровођење мера фискалне </w:t>
      </w:r>
      <w:r w:rsidR="0047251C" w:rsidRPr="00A37BCE">
        <w:rPr>
          <w:rFonts w:cstheme="minorHAnsi"/>
          <w:bCs/>
          <w:color w:val="44546A" w:themeColor="text2"/>
          <w:sz w:val="20"/>
          <w:szCs w:val="72"/>
          <w:lang w:val="sr-Cyrl-RS"/>
        </w:rPr>
        <w:t>консолидације</w:t>
      </w:r>
      <w:r w:rsidRPr="00A37BCE">
        <w:rPr>
          <w:rFonts w:cstheme="minorHAnsi"/>
          <w:bCs/>
          <w:color w:val="44546A" w:themeColor="text2"/>
          <w:sz w:val="20"/>
          <w:szCs w:val="72"/>
          <w:lang w:val="sr-Cyrl-RS"/>
        </w:rPr>
        <w:t xml:space="preserve">, те побољшање кредитног рејтинга државе, уз повољна кретања на међународном </w:t>
      </w:r>
      <w:r w:rsidR="0047251C" w:rsidRPr="00A37BCE">
        <w:rPr>
          <w:rFonts w:cstheme="minorHAnsi"/>
          <w:bCs/>
          <w:color w:val="44546A" w:themeColor="text2"/>
          <w:sz w:val="20"/>
          <w:szCs w:val="72"/>
          <w:lang w:val="sr-Cyrl-RS"/>
        </w:rPr>
        <w:t>финансијском</w:t>
      </w:r>
      <w:r w:rsidRPr="00A37BCE">
        <w:rPr>
          <w:rFonts w:cstheme="minorHAnsi"/>
          <w:bCs/>
          <w:color w:val="44546A" w:themeColor="text2"/>
          <w:sz w:val="20"/>
          <w:szCs w:val="72"/>
          <w:lang w:val="sr-Cyrl-RS"/>
        </w:rPr>
        <w:t xml:space="preserve"> тржишту, резултирали су смањењем трошкова задуживања. По први пут од избијања светске економске кризе, у 2017. години тренд раста камата је преокренут, те се током ове године и у наредном периоду очекује даље смањење ових,</w:t>
      </w:r>
      <w:r w:rsidR="00D82D2A">
        <w:rPr>
          <w:rFonts w:cstheme="minorHAnsi"/>
          <w:bCs/>
          <w:color w:val="44546A" w:themeColor="text2"/>
          <w:sz w:val="20"/>
          <w:szCs w:val="72"/>
          <w:lang w:val="sr-Cyrl-RS"/>
        </w:rPr>
        <w:t xml:space="preserve"> непродуктивних расхода државе.</w:t>
      </w:r>
    </w:p>
    <w:p w14:paraId="6ABFD670" w14:textId="59F63634" w:rsidR="009877EB" w:rsidRPr="00A37BCE" w:rsidRDefault="009877EB" w:rsidP="009F4789">
      <w:pPr>
        <w:spacing w:after="120" w:line="276" w:lineRule="auto"/>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lastRenderedPageBreak/>
        <w:t xml:space="preserve">Након успешно окончаног </w:t>
      </w:r>
      <w:r w:rsidR="00FA47F2">
        <w:rPr>
          <w:rFonts w:cstheme="minorHAnsi"/>
          <w:bCs/>
          <w:color w:val="44546A" w:themeColor="text2"/>
          <w:sz w:val="20"/>
          <w:szCs w:val="72"/>
        </w:rPr>
        <w:t>А</w:t>
      </w:r>
      <w:r w:rsidRPr="00A37BCE">
        <w:rPr>
          <w:rFonts w:cstheme="minorHAnsi"/>
          <w:bCs/>
          <w:color w:val="44546A" w:themeColor="text2"/>
          <w:sz w:val="20"/>
          <w:szCs w:val="72"/>
          <w:lang w:val="sr-Cyrl-RS"/>
        </w:rPr>
        <w:t>ранжмана из предострожности чију је окосницу чинио програм фискалне консолидације, у јулу 2018. године је склопљен нови Аранжман са ММФ са фокусом на структурне реформе као подстицај расту. Инструмент координације политика (</w:t>
      </w:r>
      <w:r w:rsidRPr="009F4789">
        <w:rPr>
          <w:rFonts w:cstheme="minorHAnsi"/>
          <w:bCs/>
          <w:i/>
          <w:color w:val="44546A" w:themeColor="text2"/>
          <w:sz w:val="20"/>
          <w:szCs w:val="72"/>
          <w:lang w:val="sr-Cyrl-RS"/>
        </w:rPr>
        <w:t>Policy Coordination Instrument</w:t>
      </w:r>
      <w:r w:rsidRPr="00A37BCE">
        <w:rPr>
          <w:rFonts w:cstheme="minorHAnsi"/>
          <w:bCs/>
          <w:color w:val="44546A" w:themeColor="text2"/>
          <w:sz w:val="20"/>
          <w:szCs w:val="72"/>
          <w:lang w:val="sr-Cyrl-RS"/>
        </w:rPr>
        <w:t xml:space="preserve">), орочен на период од 30 месеци, представља наставак спровођења структурних реформи са циљем одржања достигнуте макроекономске и финансијске стабилности, отварања нових радних места и убрзања привредног раста. Добре фискалне перформансе биће додатно подржане окончањем програма реструктурирања и приватизације великих државних предузећа, што ће у наредном периоду утицати на смањење фискалних ризика, који проистичу из </w:t>
      </w:r>
      <w:r w:rsidR="00DC597F">
        <w:rPr>
          <w:rFonts w:cstheme="minorHAnsi"/>
          <w:bCs/>
          <w:color w:val="44546A" w:themeColor="text2"/>
          <w:sz w:val="20"/>
          <w:szCs w:val="72"/>
          <w:lang w:val="sr-Cyrl-RS"/>
        </w:rPr>
        <w:t>овог сегмента јавних финансија.</w:t>
      </w:r>
    </w:p>
    <w:p w14:paraId="32EC85CD" w14:textId="2D1D145C" w:rsidR="005B01D9" w:rsidRPr="00A37BCE" w:rsidRDefault="009877EB" w:rsidP="009F4789">
      <w:pPr>
        <w:spacing w:after="120" w:line="276" w:lineRule="auto"/>
        <w:jc w:val="both"/>
        <w:rPr>
          <w:rFonts w:cstheme="minorHAnsi"/>
          <w:bCs/>
          <w:color w:val="44546A" w:themeColor="text2"/>
          <w:sz w:val="20"/>
          <w:szCs w:val="72"/>
          <w:lang w:val="sr-Cyrl-RS"/>
        </w:rPr>
        <w:sectPr w:rsidR="005B01D9" w:rsidRPr="00A37BCE" w:rsidSect="00BA4876">
          <w:headerReference w:type="even" r:id="rId50"/>
          <w:headerReference w:type="default" r:id="rId51"/>
          <w:footerReference w:type="even" r:id="rId52"/>
          <w:footerReference w:type="default" r:id="rId53"/>
          <w:headerReference w:type="first" r:id="rId54"/>
          <w:type w:val="continuous"/>
          <w:pgSz w:w="12240" w:h="15840"/>
          <w:pgMar w:top="1440" w:right="1440" w:bottom="1440" w:left="1440" w:header="720" w:footer="720" w:gutter="0"/>
          <w:cols w:num="2" w:space="720"/>
          <w:docGrid w:linePitch="360"/>
        </w:sectPr>
      </w:pPr>
      <w:r w:rsidRPr="00A37BCE">
        <w:rPr>
          <w:rFonts w:cstheme="minorHAnsi"/>
          <w:bCs/>
          <w:color w:val="44546A" w:themeColor="text2"/>
          <w:sz w:val="20"/>
          <w:szCs w:val="72"/>
          <w:lang w:val="sr-Cyrl-RS"/>
        </w:rPr>
        <w:t>Одговорно вођење фискалне политике у претходном периоду, у комбинацији са повољним макроекономским амбијентом, омогућило је умерену релаксацију фискалне политике. Створени фискални простор биће употребљен за напуштање кризних мера фискалне консолидације, с једне стране, те креирањ</w:t>
      </w:r>
      <w:r w:rsidR="00BB1858" w:rsidRPr="00A37BCE">
        <w:rPr>
          <w:rFonts w:cstheme="minorHAnsi"/>
          <w:bCs/>
          <w:color w:val="44546A" w:themeColor="text2"/>
          <w:sz w:val="20"/>
          <w:szCs w:val="72"/>
          <w:lang w:val="sr-Cyrl-RS"/>
        </w:rPr>
        <w:t>е</w:t>
      </w:r>
      <w:r w:rsidRPr="00A37BCE">
        <w:rPr>
          <w:rFonts w:cstheme="minorHAnsi"/>
          <w:bCs/>
          <w:color w:val="44546A" w:themeColor="text2"/>
          <w:sz w:val="20"/>
          <w:szCs w:val="72"/>
          <w:lang w:val="sr-Cyrl-RS"/>
        </w:rPr>
        <w:t xml:space="preserve"> политика и мера у циљу подршке привредном расту, с друге стране. Укидањем Закона о привременом уређењу начина исплате пензија</w:t>
      </w:r>
      <w:r w:rsidR="00BF218E">
        <w:rPr>
          <w:rFonts w:cstheme="minorHAnsi"/>
          <w:bCs/>
          <w:color w:val="44546A" w:themeColor="text2"/>
          <w:sz w:val="20"/>
          <w:szCs w:val="72"/>
          <w:lang w:val="sr-Cyrl-RS"/>
        </w:rPr>
        <w:t xml:space="preserve"> и почетком исплате новчаног износа као увећања уз пензију</w:t>
      </w:r>
      <w:r w:rsidRPr="00A37BCE">
        <w:rPr>
          <w:rFonts w:cstheme="minorHAnsi"/>
          <w:bCs/>
          <w:color w:val="44546A" w:themeColor="text2"/>
          <w:sz w:val="20"/>
          <w:szCs w:val="72"/>
          <w:lang w:val="sr-Cyrl-RS"/>
        </w:rPr>
        <w:t>,</w:t>
      </w:r>
      <w:r w:rsidR="00BF218E">
        <w:rPr>
          <w:rFonts w:cstheme="minorHAnsi"/>
          <w:bCs/>
          <w:color w:val="44546A" w:themeColor="text2"/>
          <w:sz w:val="20"/>
          <w:szCs w:val="72"/>
          <w:lang w:val="sr-Cyrl-RS"/>
        </w:rPr>
        <w:t xml:space="preserve"> а на основу измена закона </w:t>
      </w:r>
      <w:r w:rsidRPr="00A37BCE">
        <w:rPr>
          <w:rFonts w:cstheme="minorHAnsi"/>
          <w:bCs/>
          <w:color w:val="44546A" w:themeColor="text2"/>
          <w:sz w:val="20"/>
          <w:szCs w:val="72"/>
          <w:lang w:val="sr-Cyrl-RS"/>
        </w:rPr>
        <w:t>о ПИО,</w:t>
      </w:r>
      <w:r w:rsidR="00BF218E">
        <w:rPr>
          <w:rFonts w:cstheme="minorHAnsi"/>
          <w:bCs/>
          <w:color w:val="44546A" w:themeColor="text2"/>
          <w:sz w:val="20"/>
          <w:szCs w:val="72"/>
          <w:lang w:val="sr-Cyrl-RS"/>
        </w:rPr>
        <w:t xml:space="preserve"> почев од исплате октобарске пензије,</w:t>
      </w:r>
      <w:r w:rsidRPr="00A37BCE">
        <w:rPr>
          <w:rFonts w:cstheme="minorHAnsi"/>
          <w:bCs/>
          <w:color w:val="44546A" w:themeColor="text2"/>
          <w:sz w:val="20"/>
          <w:szCs w:val="72"/>
          <w:lang w:val="sr-Cyrl-RS"/>
        </w:rPr>
        <w:t xml:space="preserve"> пензионери</w:t>
      </w:r>
      <w:r w:rsidR="00BF218E">
        <w:rPr>
          <w:rFonts w:cstheme="minorHAnsi"/>
          <w:bCs/>
          <w:color w:val="44546A" w:themeColor="text2"/>
          <w:sz w:val="20"/>
          <w:szCs w:val="72"/>
          <w:lang w:val="sr-Cyrl-RS"/>
        </w:rPr>
        <w:t xml:space="preserve">ма са нижим примањима увећана су укупна примања </w:t>
      </w:r>
      <w:r w:rsidRPr="00A37BCE">
        <w:rPr>
          <w:rFonts w:cstheme="minorHAnsi"/>
          <w:bCs/>
          <w:color w:val="44546A" w:themeColor="text2"/>
          <w:sz w:val="20"/>
          <w:szCs w:val="72"/>
          <w:lang w:val="sr-Cyrl-RS"/>
        </w:rPr>
        <w:t>у</w:t>
      </w:r>
      <w:r w:rsidR="00BF218E">
        <w:rPr>
          <w:rFonts w:cstheme="minorHAnsi"/>
          <w:bCs/>
          <w:color w:val="44546A" w:themeColor="text2"/>
          <w:sz w:val="20"/>
          <w:szCs w:val="72"/>
          <w:lang w:val="sr-Cyrl-RS"/>
        </w:rPr>
        <w:t xml:space="preserve"> односу на септембарску пензију за најмање </w:t>
      </w:r>
      <w:r w:rsidRPr="00A37BCE">
        <w:rPr>
          <w:rFonts w:cstheme="minorHAnsi"/>
          <w:bCs/>
          <w:color w:val="44546A" w:themeColor="text2"/>
          <w:sz w:val="20"/>
          <w:szCs w:val="72"/>
          <w:lang w:val="sr-Cyrl-RS"/>
        </w:rPr>
        <w:t xml:space="preserve">5%. Фазно се укида и Закон о привременом уређивању основица за обрачун и исплату плата, односно зарада и других сталних примања код корисника јавних средстава, првенствено код републичких и локалних јавних предузећа. На приходној страни, биће настављен тренд пореског растерећења рада, смањењем доприноса за осигурање од незапослености, на терет послодавца, чиме ће пореско оптерећење просечне нето плате бити </w:t>
      </w:r>
      <w:r w:rsidRPr="00A37BCE">
        <w:rPr>
          <w:rFonts w:cstheme="minorHAnsi"/>
          <w:bCs/>
          <w:color w:val="44546A" w:themeColor="text2"/>
          <w:sz w:val="20"/>
          <w:szCs w:val="72"/>
          <w:lang w:val="sr-Cyrl-RS"/>
        </w:rPr>
        <w:lastRenderedPageBreak/>
        <w:t>смањено за 1</w:t>
      </w:r>
      <w:r w:rsidR="004B175D">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t>п</w:t>
      </w:r>
      <w:r w:rsidR="004B175D">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t>п. Подстицај бржем расту и запошљавању, поред смањења пореског оптерећења</w:t>
      </w:r>
      <w:r w:rsidR="00BB1858" w:rsidRPr="00A37BCE">
        <w:rPr>
          <w:rFonts w:cstheme="minorHAnsi"/>
          <w:bCs/>
          <w:color w:val="44546A" w:themeColor="text2"/>
          <w:sz w:val="20"/>
          <w:szCs w:val="72"/>
          <w:lang w:val="sr-Cyrl-RS"/>
        </w:rPr>
        <w:t>,</w:t>
      </w:r>
      <w:r w:rsidRPr="00A37BCE">
        <w:rPr>
          <w:rFonts w:cstheme="minorHAnsi"/>
          <w:bCs/>
          <w:color w:val="44546A" w:themeColor="text2"/>
          <w:sz w:val="20"/>
          <w:szCs w:val="72"/>
          <w:lang w:val="sr-Cyrl-RS"/>
        </w:rPr>
        <w:t xml:space="preserve"> даће и смањење парафискалних намета. Усвајањем новог Закона о накнадама на системски начин ће бити решена област парафискалних намета који су до сада оптерећивали привреду, и били структурна </w:t>
      </w:r>
      <w:r w:rsidR="0047251C" w:rsidRPr="00A37BCE">
        <w:rPr>
          <w:rFonts w:cstheme="minorHAnsi"/>
          <w:bCs/>
          <w:color w:val="44546A" w:themeColor="text2"/>
          <w:sz w:val="20"/>
          <w:szCs w:val="72"/>
          <w:lang w:val="sr-Cyrl-RS"/>
        </w:rPr>
        <w:t>препрека</w:t>
      </w:r>
      <w:r w:rsidRPr="00A37BCE">
        <w:rPr>
          <w:rFonts w:cstheme="minorHAnsi"/>
          <w:bCs/>
          <w:color w:val="44546A" w:themeColor="text2"/>
          <w:sz w:val="20"/>
          <w:szCs w:val="72"/>
          <w:lang w:val="sr-Cyrl-RS"/>
        </w:rPr>
        <w:t xml:space="preserve"> бржем расту. Стварању повољнијих </w:t>
      </w:r>
      <w:r w:rsidRPr="00A37BCE">
        <w:rPr>
          <w:rFonts w:cstheme="minorHAnsi"/>
          <w:bCs/>
          <w:color w:val="44546A" w:themeColor="text2"/>
          <w:sz w:val="20"/>
          <w:szCs w:val="72"/>
          <w:lang w:val="sr-Cyrl-RS"/>
        </w:rPr>
        <w:lastRenderedPageBreak/>
        <w:t xml:space="preserve">услова пословања допринеће и измене </w:t>
      </w:r>
      <w:r w:rsidR="00BB1858" w:rsidRPr="00A37BCE">
        <w:rPr>
          <w:rFonts w:cstheme="minorHAnsi"/>
          <w:bCs/>
          <w:color w:val="44546A" w:themeColor="text2"/>
          <w:sz w:val="20"/>
          <w:szCs w:val="72"/>
          <w:lang w:val="sr-Cyrl-RS"/>
        </w:rPr>
        <w:t>З</w:t>
      </w:r>
      <w:r w:rsidRPr="00A37BCE">
        <w:rPr>
          <w:rFonts w:cstheme="minorHAnsi"/>
          <w:bCs/>
          <w:color w:val="44546A" w:themeColor="text2"/>
          <w:sz w:val="20"/>
          <w:szCs w:val="72"/>
          <w:lang w:val="sr-Cyrl-RS"/>
        </w:rPr>
        <w:t>акона о порезу на добит правних лица, од којих је најважнија промена, односно поједностављење начина обрачуна амортизације у пореском билансу. Значајан допринос одрживом расту очекује се од јавних инвестиција, те ће значајан део фискалног простора бити алоциран на инфраструктурне пројекте.</w:t>
      </w:r>
    </w:p>
    <w:p w14:paraId="2ADD85C5" w14:textId="2A9BACE3" w:rsidR="009877EB" w:rsidRPr="00E8602E" w:rsidRDefault="009877EB" w:rsidP="00E8602E">
      <w:pPr>
        <w:keepNext/>
        <w:keepLines/>
        <w:spacing w:before="40" w:after="120"/>
        <w:jc w:val="center"/>
        <w:outlineLvl w:val="1"/>
        <w:rPr>
          <w:rFonts w:eastAsia="MS PGothic" w:cstheme="minorHAnsi"/>
          <w:b/>
          <w:color w:val="2F5496" w:themeColor="accent1" w:themeShade="BF"/>
          <w:sz w:val="24"/>
          <w:szCs w:val="26"/>
          <w:lang w:val="sr-Cyrl-RS" w:eastAsia="ja-JP"/>
        </w:rPr>
      </w:pPr>
      <w:bookmarkStart w:id="10" w:name="_Toc530041998"/>
      <w:r w:rsidRPr="00A37BCE">
        <w:rPr>
          <w:rFonts w:eastAsia="MS PGothic" w:cstheme="minorHAnsi"/>
          <w:b/>
          <w:color w:val="2F5496" w:themeColor="accent1" w:themeShade="BF"/>
          <w:sz w:val="24"/>
          <w:szCs w:val="26"/>
          <w:lang w:val="sr-Cyrl-RS" w:eastAsia="ja-JP"/>
        </w:rPr>
        <w:lastRenderedPageBreak/>
        <w:t>2. Фискална кретања у 2017. години</w:t>
      </w:r>
      <w:bookmarkEnd w:id="10"/>
    </w:p>
    <w:p w14:paraId="0F61A0AC" w14:textId="77777777" w:rsidR="009877EB" w:rsidRPr="00A37BCE" w:rsidRDefault="009877EB" w:rsidP="009877EB">
      <w:pPr>
        <w:jc w:val="both"/>
        <w:rPr>
          <w:rFonts w:cstheme="minorHAnsi"/>
          <w:color w:val="44546A" w:themeColor="text2"/>
          <w:sz w:val="20"/>
          <w:lang w:val="sr-Cyrl-RS" w:eastAsia="ja-JP"/>
        </w:rPr>
        <w:sectPr w:rsidR="009877EB" w:rsidRPr="00A37BCE" w:rsidSect="00BA4876">
          <w:type w:val="continuous"/>
          <w:pgSz w:w="12240" w:h="15840"/>
          <w:pgMar w:top="1440" w:right="1440" w:bottom="1440" w:left="1440" w:header="720" w:footer="720" w:gutter="0"/>
          <w:cols w:space="720"/>
          <w:docGrid w:linePitch="360"/>
        </w:sectPr>
      </w:pPr>
    </w:p>
    <w:p w14:paraId="09B677BD" w14:textId="77777777" w:rsidR="004F72C4" w:rsidRDefault="009877EB" w:rsidP="004F72C4">
      <w:pPr>
        <w:spacing w:after="0" w:line="276" w:lineRule="auto"/>
        <w:jc w:val="both"/>
        <w:rPr>
          <w:rFonts w:cstheme="minorHAnsi"/>
          <w:color w:val="44546A" w:themeColor="text2"/>
          <w:sz w:val="20"/>
          <w:lang w:val="sr-Cyrl-RS" w:eastAsia="ja-JP"/>
        </w:rPr>
      </w:pPr>
      <w:r w:rsidRPr="00A37BCE">
        <w:rPr>
          <w:rFonts w:cstheme="minorHAnsi"/>
          <w:color w:val="44546A" w:themeColor="text2"/>
          <w:sz w:val="20"/>
          <w:lang w:val="sr-Cyrl-RS" w:eastAsia="ja-JP"/>
        </w:rPr>
        <w:lastRenderedPageBreak/>
        <w:t>Оствареним суфицитом буџета опште државе од 1,1% БДП на крају 2017. године окончан је програм фискалне консолидације. Првобитно планирани резултат за 2017.</w:t>
      </w:r>
      <w:r w:rsidR="00D82D2A">
        <w:rPr>
          <w:rFonts w:cstheme="minorHAnsi"/>
          <w:color w:val="44546A" w:themeColor="text2"/>
          <w:sz w:val="20"/>
          <w:lang w:val="sr-Cyrl-RS" w:eastAsia="ja-JP"/>
        </w:rPr>
        <w:t xml:space="preserve"> годину је дефицит од 1,6% БДП.</w:t>
      </w:r>
    </w:p>
    <w:p w14:paraId="0605230E" w14:textId="6CCCD93A" w:rsidR="009877EB" w:rsidRPr="00A37BCE" w:rsidRDefault="009877EB" w:rsidP="004F72C4">
      <w:pPr>
        <w:spacing w:before="120" w:after="120" w:line="276" w:lineRule="auto"/>
        <w:jc w:val="both"/>
        <w:rPr>
          <w:rFonts w:cstheme="minorHAnsi"/>
          <w:color w:val="44546A" w:themeColor="text2"/>
          <w:sz w:val="20"/>
          <w:lang w:val="sr-Cyrl-RS" w:eastAsia="ja-JP"/>
        </w:rPr>
      </w:pPr>
      <w:r w:rsidRPr="00A37BCE">
        <w:rPr>
          <w:rFonts w:cstheme="minorHAnsi"/>
          <w:color w:val="44546A" w:themeColor="text2"/>
          <w:sz w:val="20"/>
          <w:lang w:val="sr-Cyrl-RS" w:eastAsia="ja-JP"/>
        </w:rPr>
        <w:t>У трогодишњем периоду остварено је укупно структурно прилагођавање од преко 6% БДП, што је значајно премашило циљ програма консолидације од 4%. Примарни суфицит у 2017. години износио је 3,6% БДП и овакав фискални резултат се повољно одразио и на путању дуга, те је дуг опште државе с нивоа од 68,8% БДП на крају 2016. године сма</w:t>
      </w:r>
      <w:r w:rsidR="00D82D2A">
        <w:rPr>
          <w:rFonts w:cstheme="minorHAnsi"/>
          <w:color w:val="44546A" w:themeColor="text2"/>
          <w:sz w:val="20"/>
          <w:lang w:val="sr-Cyrl-RS" w:eastAsia="ja-JP"/>
        </w:rPr>
        <w:t>њен на 58,7% БДП на крају 2017.</w:t>
      </w:r>
    </w:p>
    <w:p w14:paraId="0E1E801E" w14:textId="77777777" w:rsidR="009877EB" w:rsidRPr="00A37BCE" w:rsidRDefault="009877EB" w:rsidP="004F72C4">
      <w:pPr>
        <w:spacing w:line="276" w:lineRule="auto"/>
        <w:jc w:val="both"/>
        <w:rPr>
          <w:rFonts w:eastAsia="Calibri" w:cstheme="minorHAnsi"/>
          <w:color w:val="44546A" w:themeColor="text2"/>
          <w:sz w:val="20"/>
          <w:lang w:val="sr-Cyrl-RS"/>
        </w:rPr>
      </w:pPr>
      <w:r w:rsidRPr="00A37BCE">
        <w:rPr>
          <w:rFonts w:cstheme="minorHAnsi"/>
          <w:color w:val="44546A" w:themeColor="text2"/>
          <w:sz w:val="20"/>
          <w:lang w:val="sr-Cyrl-RS" w:eastAsia="ja-JP"/>
        </w:rPr>
        <w:t xml:space="preserve">Знатно бољем фискалном резултату у 2017. години, у највећој мери, допринело је боље остварење јавних прихода у односу на план. Приходи су остварили бољи резултат од планираног за 107,6 млрд динара, односно 2,3% БДП, при чему су највећи допринос бољој реализацији дали порески приходи, пре свега наплата пореза на добит. </w:t>
      </w:r>
      <w:r w:rsidRPr="00A37BCE">
        <w:rPr>
          <w:rFonts w:eastAsia="Calibri" w:cstheme="minorHAnsi"/>
          <w:color w:val="44546A" w:themeColor="text2"/>
          <w:sz w:val="20"/>
          <w:lang w:val="sr-Cyrl-RS"/>
        </w:rPr>
        <w:t xml:space="preserve">Порез на добит је премашио план за чак 30,8%, пре свега као резултат раста профитабилности привреде, а једним делом и због једнократних фактора који се тичу рачуноводственог третмана имовине и пореског третмана појединих категорија расхода. Повећање запослености и зарада је утицало на боље остварење прихода од доприноса и пореза на зараде, а раст потрошње је био један од главних генератора боље наплате индиректних пореза, међу којима доминира ПДВ. Поред раста потрошње, као резултат раста расположивог дохотка, битну улогу у повећању наплате ових категорија чини ефикасност наплате, односно борба против сиве економије и пореске евазије, посебно у домену акцизних производа. Непорески </w:t>
      </w:r>
      <w:r w:rsidRPr="00A37BCE">
        <w:rPr>
          <w:rFonts w:eastAsia="Calibri" w:cstheme="minorHAnsi"/>
          <w:color w:val="44546A" w:themeColor="text2"/>
          <w:sz w:val="20"/>
          <w:lang w:val="sr-Cyrl-RS"/>
        </w:rPr>
        <w:lastRenderedPageBreak/>
        <w:t>приходи су остварили пребачај од 34,6 млрд динара као резултат непланираних једнократних уплата. Планом није била обухваћена уплата добити ЈП ЕПС, наплаћена потраживања Агенције за осигурање депозита, уплате по основу премија за реотварање емисије хартија од вредности итд. Донације су биле ниже од очекиваних за 6,5 млрд динара.</w:t>
      </w:r>
    </w:p>
    <w:p w14:paraId="1AB421F8" w14:textId="2A8F7F81" w:rsidR="009877EB" w:rsidRPr="00A37BCE" w:rsidRDefault="009877EB" w:rsidP="004F72C4">
      <w:pPr>
        <w:spacing w:after="240" w:line="276" w:lineRule="auto"/>
        <w:jc w:val="both"/>
        <w:rPr>
          <w:rFonts w:eastAsia="Calibri" w:cstheme="minorHAnsi"/>
          <w:color w:val="44546A" w:themeColor="text2"/>
          <w:sz w:val="20"/>
          <w:lang w:val="sr-Cyrl-RS"/>
        </w:rPr>
        <w:sectPr w:rsidR="009877EB" w:rsidRPr="00A37BCE" w:rsidSect="00BA4876">
          <w:type w:val="continuous"/>
          <w:pgSz w:w="12240" w:h="15840"/>
          <w:pgMar w:top="1440" w:right="1440" w:bottom="1440" w:left="1440" w:header="720" w:footer="720" w:gutter="0"/>
          <w:cols w:num="2" w:space="720"/>
          <w:docGrid w:linePitch="360"/>
        </w:sectPr>
      </w:pPr>
      <w:r w:rsidRPr="00A37BCE">
        <w:rPr>
          <w:rFonts w:cstheme="minorHAnsi"/>
          <w:color w:val="44546A" w:themeColor="text2"/>
          <w:sz w:val="20"/>
          <w:lang w:val="sr-Cyrl-RS" w:eastAsia="ja-JP"/>
        </w:rPr>
        <w:t>Расходи опште државе били су нижи у односу на план за 19,9 млрд динара, односно око 0,4% БДП. Дошло је до значајне измене у самој структури расхода у односу на иницијални план с</w:t>
      </w:r>
      <w:r w:rsidRPr="00A37BCE">
        <w:rPr>
          <w:rFonts w:eastAsia="Calibri" w:cstheme="minorHAnsi"/>
          <w:color w:val="44546A" w:themeColor="text2"/>
          <w:sz w:val="20"/>
          <w:lang w:val="sr-Cyrl-RS"/>
        </w:rPr>
        <w:t xml:space="preserve"> обзиром да су неке категорије расхода извршене испод плана (камате, расходи за плате и пензије, капитални расходи и активиране гаранције), а друге расходне категорије су премашиле плански износ (остали текући расходи, субвенције и буџетске позајмице). Успешна фискална консолидација, повољна кретања на финансијским тржиштима и кретање курса долара и евра имали су позитиван ефекат на висину расхода за камате, те је њихово учешће у БДП смањено другу годину за редом. </w:t>
      </w:r>
      <w:r w:rsidRPr="00A37BCE">
        <w:rPr>
          <w:rFonts w:cstheme="minorHAnsi"/>
          <w:color w:val="44546A" w:themeColor="text2"/>
          <w:sz w:val="20"/>
          <w:lang w:val="sr-Cyrl-RS" w:eastAsia="ja-JP"/>
        </w:rPr>
        <w:t>Структурно прилагођавање је и током 2017. године настављено путем рационализације броја запослених у јавном сектору, пре свега кроз забрану новог запошљавања, а настављено је и умерено смањење броја корисника пензија, услед спроведене параметарске реформе пензионог система, што је утицало на ниже расходе за запослене и пензије од иницијалног плана.</w:t>
      </w:r>
      <w:r w:rsidRPr="00A37BCE">
        <w:rPr>
          <w:rFonts w:eastAsia="Calibri" w:cstheme="minorHAnsi"/>
          <w:color w:val="44546A" w:themeColor="text2"/>
          <w:sz w:val="20"/>
          <w:lang w:val="sr-Cyrl-RS"/>
        </w:rPr>
        <w:t xml:space="preserve"> </w:t>
      </w:r>
      <w:r w:rsidRPr="00A37BCE">
        <w:rPr>
          <w:rFonts w:cstheme="minorHAnsi"/>
          <w:color w:val="44546A" w:themeColor="text2"/>
          <w:sz w:val="20"/>
          <w:lang w:val="sr-Cyrl-RS" w:eastAsia="ja-JP"/>
        </w:rPr>
        <w:t>Расходи по активираним гаранцијама нижи су у односу на план за 17,2%, највећим делом услед побољшања ликвидносне позиције ЈП „Србијагас</w:t>
      </w:r>
      <w:r w:rsidR="004F72C4" w:rsidRPr="004F72C4">
        <w:rPr>
          <w:rFonts w:cstheme="minorHAnsi"/>
          <w:color w:val="44546A" w:themeColor="text2"/>
          <w:sz w:val="20"/>
          <w:lang w:val="sr-Cyrl-RS" w:eastAsia="ja-JP"/>
        </w:rPr>
        <w:t>ˮ</w:t>
      </w:r>
      <w:r w:rsidRPr="00A37BCE">
        <w:rPr>
          <w:rFonts w:cstheme="minorHAnsi"/>
          <w:color w:val="44546A" w:themeColor="text2"/>
          <w:sz w:val="20"/>
          <w:lang w:val="sr-Cyrl-RS" w:eastAsia="ja-JP"/>
        </w:rPr>
        <w:t xml:space="preserve">, које самостално отплаћује део дуга. Јавне инвестиције нису биле реализоване у планираном </w:t>
      </w:r>
      <w:r w:rsidRPr="00A37BCE">
        <w:rPr>
          <w:rFonts w:cstheme="minorHAnsi"/>
          <w:color w:val="44546A" w:themeColor="text2"/>
          <w:sz w:val="20"/>
          <w:lang w:val="sr-Cyrl-RS" w:eastAsia="ja-JP"/>
        </w:rPr>
        <w:lastRenderedPageBreak/>
        <w:t xml:space="preserve">обиму што је делом условљено променом институционалног обухвата буџета једног дела локалних самоуправа, чиме су капитални расходи остали изван обухвата опште државе, док је с друге стране дошло до повећања субвенција по истом основу. Неповољне временске прилике </w:t>
      </w:r>
      <w:r w:rsidRPr="00A37BCE">
        <w:rPr>
          <w:rFonts w:cstheme="minorHAnsi"/>
          <w:color w:val="44546A" w:themeColor="text2"/>
          <w:sz w:val="20"/>
          <w:lang w:val="sr-Cyrl-RS" w:eastAsia="ja-JP"/>
        </w:rPr>
        <w:lastRenderedPageBreak/>
        <w:t>током првог квартала 2017. године утицале су на мањи обим јавних радова што до краја године није могло бити надокнађено.</w:t>
      </w:r>
      <w:r w:rsidRPr="00A37BCE">
        <w:rPr>
          <w:rFonts w:eastAsia="Calibri" w:cstheme="minorHAnsi"/>
          <w:color w:val="44546A" w:themeColor="text2"/>
          <w:sz w:val="20"/>
          <w:lang w:val="sr-Cyrl-RS" w:eastAsia="ja-JP"/>
        </w:rPr>
        <w:t xml:space="preserve"> </w:t>
      </w:r>
      <w:r w:rsidRPr="00A37BCE">
        <w:rPr>
          <w:rFonts w:eastAsia="Calibri" w:cstheme="minorHAnsi"/>
          <w:color w:val="44546A" w:themeColor="text2"/>
          <w:sz w:val="20"/>
          <w:lang w:val="sr-Cyrl-RS"/>
        </w:rPr>
        <w:t>Са друге стране о</w:t>
      </w:r>
      <w:r w:rsidRPr="00A37BCE">
        <w:rPr>
          <w:rFonts w:cstheme="minorHAnsi"/>
          <w:color w:val="44546A" w:themeColor="text2"/>
          <w:sz w:val="20"/>
          <w:lang w:val="sr-Cyrl-RS" w:eastAsia="ja-JP"/>
        </w:rPr>
        <w:t>стали текући расходи су повећани у односу на буџетски план, највећим делом на локалном нивоу</w:t>
      </w:r>
      <w:r w:rsidR="00E8602E">
        <w:rPr>
          <w:rFonts w:cstheme="minorHAnsi"/>
          <w:color w:val="44546A" w:themeColor="text2"/>
          <w:sz w:val="20"/>
          <w:lang w:val="sr-Cyrl-RS" w:eastAsia="ja-JP"/>
        </w:rPr>
        <w:t>.</w:t>
      </w:r>
    </w:p>
    <w:p w14:paraId="6505EC80" w14:textId="77777777" w:rsidR="00261423" w:rsidRDefault="00261423" w:rsidP="004F72C4">
      <w:pPr>
        <w:keepNext/>
        <w:keepLines/>
        <w:spacing w:before="120" w:after="120"/>
        <w:jc w:val="center"/>
        <w:outlineLvl w:val="1"/>
        <w:rPr>
          <w:rFonts w:eastAsia="Calibri" w:cstheme="minorHAnsi"/>
          <w:b/>
          <w:color w:val="2F5496" w:themeColor="accent1" w:themeShade="BF"/>
          <w:sz w:val="24"/>
          <w:szCs w:val="26"/>
          <w:lang w:val="sr-Cyrl-RS"/>
        </w:rPr>
      </w:pPr>
      <w:bookmarkStart w:id="11" w:name="_Toc530041999"/>
    </w:p>
    <w:p w14:paraId="0B87E417" w14:textId="43D1DC86" w:rsidR="009877EB" w:rsidRPr="00A37BCE" w:rsidRDefault="009877EB" w:rsidP="004F72C4">
      <w:pPr>
        <w:keepNext/>
        <w:keepLines/>
        <w:spacing w:before="120" w:after="120"/>
        <w:jc w:val="center"/>
        <w:outlineLvl w:val="1"/>
        <w:rPr>
          <w:rFonts w:eastAsia="Calibri" w:cstheme="minorHAnsi"/>
          <w:b/>
          <w:color w:val="2F5496" w:themeColor="accent1" w:themeShade="BF"/>
          <w:sz w:val="24"/>
          <w:szCs w:val="26"/>
          <w:lang w:val="sr-Cyrl-RS"/>
        </w:rPr>
      </w:pPr>
      <w:r w:rsidRPr="00A37BCE">
        <w:rPr>
          <w:rFonts w:eastAsia="Calibri" w:cstheme="minorHAnsi"/>
          <w:b/>
          <w:color w:val="2F5496" w:themeColor="accent1" w:themeShade="BF"/>
          <w:sz w:val="24"/>
          <w:szCs w:val="26"/>
          <w:lang w:val="sr-Cyrl-RS"/>
        </w:rPr>
        <w:t>3. Текућа фискална кретања и изгледи за 2018. годину</w:t>
      </w:r>
      <w:bookmarkEnd w:id="11"/>
    </w:p>
    <w:p w14:paraId="51B97B9F" w14:textId="77777777" w:rsidR="009877EB" w:rsidRPr="00A37BCE" w:rsidRDefault="009877EB" w:rsidP="009877EB">
      <w:pPr>
        <w:spacing w:after="120" w:line="276" w:lineRule="auto"/>
        <w:jc w:val="both"/>
        <w:rPr>
          <w:rFonts w:eastAsia="MS PGothic" w:cstheme="minorHAnsi"/>
          <w:b/>
          <w:color w:val="2F5496" w:themeColor="accent1" w:themeShade="BF"/>
          <w:sz w:val="20"/>
          <w:szCs w:val="20"/>
          <w:lang w:val="sr-Cyrl-RS" w:eastAsia="ja-JP"/>
        </w:rPr>
        <w:sectPr w:rsidR="009877EB" w:rsidRPr="00A37BCE" w:rsidSect="00BA4876">
          <w:type w:val="continuous"/>
          <w:pgSz w:w="12240" w:h="15840"/>
          <w:pgMar w:top="1440" w:right="1440" w:bottom="1440" w:left="1440" w:header="720" w:footer="720" w:gutter="0"/>
          <w:cols w:space="720"/>
          <w:docGrid w:linePitch="360"/>
        </w:sectPr>
      </w:pPr>
    </w:p>
    <w:p w14:paraId="53C85A34" w14:textId="17DB8CBD" w:rsidR="009877EB" w:rsidRPr="00A37BCE" w:rsidRDefault="009877EB" w:rsidP="009877EB">
      <w:pPr>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lastRenderedPageBreak/>
        <w:t>Фискални суфицит опште државе у 2018. години, према најновијим проценама, износиће 0,6% БДП и биће за 1,2% БДП бољи од планираног.</w:t>
      </w:r>
      <w:r w:rsidRPr="00A37BCE">
        <w:rPr>
          <w:rFonts w:eastAsia="MS PGothic" w:cstheme="minorHAnsi"/>
          <w:b/>
          <w:color w:val="44546A" w:themeColor="text2"/>
          <w:sz w:val="20"/>
          <w:szCs w:val="20"/>
          <w:lang w:val="sr-Cyrl-RS" w:eastAsia="ja-JP"/>
        </w:rPr>
        <w:t xml:space="preserve"> </w:t>
      </w:r>
      <w:r w:rsidRPr="00A37BCE">
        <w:rPr>
          <w:rFonts w:eastAsia="MS PGothic" w:cstheme="minorHAnsi"/>
          <w:color w:val="44546A" w:themeColor="text2"/>
          <w:sz w:val="20"/>
          <w:szCs w:val="20"/>
          <w:lang w:val="sr-Cyrl-RS" w:eastAsia="ja-JP"/>
        </w:rPr>
        <w:t>Утврђена је нова процена прихода, расхода и резултата опште државе, при чему је предвиђени фискални резултат бољи за 60 млрд динара од првобитно планираног. У обзир су узета најновија макроекономска кретања и процене, фискална кретања током 2018. године, као и очекивана реализација одређених једнократних категорија прихода и расхода ко</w:t>
      </w:r>
      <w:r w:rsidR="004201B0">
        <w:rPr>
          <w:rFonts w:eastAsia="MS PGothic" w:cstheme="minorHAnsi"/>
          <w:color w:val="44546A" w:themeColor="text2"/>
          <w:sz w:val="20"/>
          <w:szCs w:val="20"/>
          <w:lang w:val="sr-Cyrl-RS" w:eastAsia="ja-JP"/>
        </w:rPr>
        <w:t>ји нису били обухваћени планом.</w:t>
      </w:r>
    </w:p>
    <w:p w14:paraId="483955C1" w14:textId="09EF263E" w:rsidR="009877EB" w:rsidRPr="00A37BCE" w:rsidRDefault="009877EB" w:rsidP="00632DDC">
      <w:pPr>
        <w:spacing w:after="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Процењени примарни фискални суфицит од 2,7% БДП у 2018. години је и даље један од основних фактора који утиче на смањење учешћа јавног дуга у БДП. Овај резултат показује да су претходне мере фискалне консолидације постигле жељене ефекте и да је јавна потрошња у довољној мери редукована. С</w:t>
      </w:r>
      <w:r w:rsidR="00BB1858" w:rsidRPr="00A37BCE">
        <w:rPr>
          <w:rFonts w:eastAsia="MS PGothic" w:cstheme="minorHAnsi"/>
          <w:color w:val="44546A" w:themeColor="text2"/>
          <w:sz w:val="20"/>
          <w:szCs w:val="20"/>
          <w:lang w:val="sr-Cyrl-RS" w:eastAsia="ja-JP"/>
        </w:rPr>
        <w:t>а</w:t>
      </w:r>
      <w:r w:rsidRPr="00A37BCE">
        <w:rPr>
          <w:rFonts w:eastAsia="MS PGothic" w:cstheme="minorHAnsi"/>
          <w:color w:val="44546A" w:themeColor="text2"/>
          <w:sz w:val="20"/>
          <w:szCs w:val="20"/>
          <w:lang w:val="sr-Cyrl-RS" w:eastAsia="ja-JP"/>
        </w:rPr>
        <w:t xml:space="preserve"> друге стране, повољна фискална кретања и побољшање каматне структуре дуга већ су обезбедили смањење апсолутног нивоа издатака за камате</w:t>
      </w:r>
      <w:r w:rsidR="00BB1858" w:rsidRPr="00A37BCE">
        <w:rPr>
          <w:rFonts w:eastAsia="MS PGothic" w:cstheme="minorHAnsi"/>
          <w:color w:val="44546A" w:themeColor="text2"/>
          <w:sz w:val="20"/>
          <w:szCs w:val="20"/>
          <w:lang w:val="sr-Cyrl-RS" w:eastAsia="ja-JP"/>
        </w:rPr>
        <w:t>,</w:t>
      </w:r>
      <w:r w:rsidRPr="00A37BCE">
        <w:rPr>
          <w:rFonts w:eastAsia="MS PGothic" w:cstheme="minorHAnsi"/>
          <w:color w:val="44546A" w:themeColor="text2"/>
          <w:sz w:val="20"/>
          <w:szCs w:val="20"/>
          <w:lang w:val="sr-Cyrl-RS" w:eastAsia="ja-JP"/>
        </w:rPr>
        <w:t xml:space="preserve"> као и њиховог учешћа у БДП. Тиме је створен простор за одређени обим фискалне релаксације који неће угрозити основне средњо</w:t>
      </w:r>
      <w:r w:rsidR="00D82D2A">
        <w:rPr>
          <w:rFonts w:eastAsia="MS PGothic" w:cstheme="minorHAnsi"/>
          <w:color w:val="44546A" w:themeColor="text2"/>
          <w:sz w:val="20"/>
          <w:szCs w:val="20"/>
          <w:lang w:val="sr-Cyrl-RS" w:eastAsia="ja-JP"/>
        </w:rPr>
        <w:t>рочне циљеве фискалне политике.</w:t>
      </w:r>
    </w:p>
    <w:p w14:paraId="5A9BB749" w14:textId="76127E15" w:rsidR="009877EB" w:rsidRPr="00A37BCE" w:rsidRDefault="009877EB" w:rsidP="00D42131">
      <w:pPr>
        <w:spacing w:after="120" w:line="276" w:lineRule="auto"/>
        <w:jc w:val="center"/>
        <w:rPr>
          <w:rFonts w:eastAsia="MS PGothic" w:cstheme="minorHAnsi"/>
          <w:b/>
          <w:color w:val="002060"/>
          <w:sz w:val="20"/>
          <w:szCs w:val="20"/>
          <w:lang w:val="sr-Cyrl-RS" w:eastAsia="ja-JP"/>
        </w:rPr>
      </w:pPr>
      <w:r w:rsidRPr="00A37BCE">
        <w:rPr>
          <w:rFonts w:eastAsia="MS PGothic" w:cstheme="minorHAnsi"/>
          <w:b/>
          <w:color w:val="002060"/>
          <w:sz w:val="20"/>
          <w:szCs w:val="20"/>
          <w:lang w:val="sr-Cyrl-RS" w:eastAsia="ja-JP"/>
        </w:rPr>
        <w:t>Фискални резултат опште државе у п</w:t>
      </w:r>
      <w:r w:rsidR="00C23F5B" w:rsidRPr="00A37BCE">
        <w:rPr>
          <w:rFonts w:eastAsia="MS PGothic" w:cstheme="minorHAnsi"/>
          <w:b/>
          <w:color w:val="002060"/>
          <w:sz w:val="20"/>
          <w:szCs w:val="20"/>
          <w:lang w:val="sr-Cyrl-RS" w:eastAsia="ja-JP"/>
        </w:rPr>
        <w:t>ериоду од 2015. до 2018. године, % БДП</w:t>
      </w:r>
    </w:p>
    <w:p w14:paraId="1D3DEB81" w14:textId="66D0DF46" w:rsidR="000676C7" w:rsidRPr="00BD2004" w:rsidRDefault="009877EB" w:rsidP="009877EB">
      <w:pPr>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noProof/>
          <w:color w:val="44546A" w:themeColor="text2"/>
          <w:sz w:val="20"/>
          <w:szCs w:val="20"/>
        </w:rPr>
        <w:drawing>
          <wp:inline distT="0" distB="0" distL="0" distR="0" wp14:anchorId="6BB28CF0" wp14:editId="320C8EC4">
            <wp:extent cx="2743200" cy="140970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skalni rezultat-01.pn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2743200" cy="1409700"/>
                    </a:xfrm>
                    <a:prstGeom prst="rect">
                      <a:avLst/>
                    </a:prstGeom>
                  </pic:spPr>
                </pic:pic>
              </a:graphicData>
            </a:graphic>
          </wp:inline>
        </w:drawing>
      </w:r>
      <w:r w:rsidR="00C95098" w:rsidRPr="00A37BCE">
        <w:rPr>
          <w:rFonts w:cstheme="minorHAnsi"/>
          <w:bCs/>
          <w:color w:val="44546A" w:themeColor="text2"/>
          <w:sz w:val="16"/>
          <w:szCs w:val="72"/>
          <w:lang w:val="sr-Cyrl-RS"/>
        </w:rPr>
        <w:t>Извор: Министарство финансија</w:t>
      </w:r>
    </w:p>
    <w:p w14:paraId="0FBE6A92" w14:textId="62EC6E39" w:rsidR="009877EB" w:rsidRPr="00A37BCE" w:rsidRDefault="009877EB" w:rsidP="009877EB">
      <w:pPr>
        <w:spacing w:after="120" w:line="276" w:lineRule="auto"/>
        <w:jc w:val="both"/>
        <w:rPr>
          <w:rFonts w:eastAsia="MS PGothic" w:cstheme="minorHAnsi"/>
          <w:b/>
          <w:color w:val="2F5496" w:themeColor="accent1" w:themeShade="BF"/>
          <w:sz w:val="20"/>
          <w:szCs w:val="20"/>
          <w:lang w:val="sr-Cyrl-RS" w:eastAsia="ja-JP"/>
        </w:rPr>
      </w:pPr>
      <w:r w:rsidRPr="00A37BCE">
        <w:rPr>
          <w:rFonts w:eastAsia="MS PGothic" w:cstheme="minorHAnsi"/>
          <w:color w:val="44546A" w:themeColor="text2"/>
          <w:sz w:val="20"/>
          <w:szCs w:val="20"/>
          <w:lang w:val="sr-Cyrl-RS" w:eastAsia="ja-JP"/>
        </w:rPr>
        <w:lastRenderedPageBreak/>
        <w:t>Након заустављања раста учешћа јавног дуга у БДП током 2015. године и почетног пада у наредној години, у 2017. и 2018. години остварена је значајна редукција</w:t>
      </w:r>
      <w:r w:rsidRPr="00A37BCE">
        <w:rPr>
          <w:rFonts w:eastAsia="MS PGothic" w:cstheme="minorHAnsi"/>
          <w:b/>
          <w:color w:val="2F5496" w:themeColor="accent1" w:themeShade="BF"/>
          <w:sz w:val="20"/>
          <w:szCs w:val="20"/>
          <w:lang w:val="sr-Cyrl-RS" w:eastAsia="ja-JP"/>
        </w:rPr>
        <w:t xml:space="preserve"> </w:t>
      </w:r>
      <w:r w:rsidRPr="00A37BCE">
        <w:rPr>
          <w:rFonts w:eastAsia="MS PGothic" w:cstheme="minorHAnsi"/>
          <w:color w:val="44546A" w:themeColor="text2"/>
          <w:sz w:val="20"/>
          <w:szCs w:val="20"/>
          <w:lang w:val="sr-Cyrl-RS" w:eastAsia="ja-JP"/>
        </w:rPr>
        <w:t xml:space="preserve">учешћа јавног дуга у БДП. Предвиђено је да учешће нивоа јавног дуга буде смањено са 68,8% БДП, колико је износило у 2016. години, на 54,4% БДП на крају 2018. године. Укупни и примарни суфицит у овом периоду представљају најзначајнији фактор који је утицао на смањење учешћа јавног дуга у БДП. Иако постоје ризици да у наредном периоду кретања на међународном девизном тржишту делују у супротном правцу, планирана путања фискалног резултата обезбеђује </w:t>
      </w:r>
      <w:r w:rsidR="004201B0">
        <w:rPr>
          <w:rFonts w:eastAsia="MS PGothic" w:cstheme="minorHAnsi"/>
          <w:color w:val="44546A" w:themeColor="text2"/>
          <w:sz w:val="20"/>
          <w:szCs w:val="20"/>
          <w:lang w:val="sr-Cyrl-RS" w:eastAsia="ja-JP"/>
        </w:rPr>
        <w:t>даље смањење јавног дуга у БДП.</w:t>
      </w:r>
    </w:p>
    <w:p w14:paraId="170B2E58" w14:textId="77777777" w:rsidR="009877EB" w:rsidRPr="00A37BCE" w:rsidRDefault="009877EB" w:rsidP="009877EB">
      <w:pPr>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Повољнији фискални резултат у 2018. години, у односу на буџетски план, резултат је, пре свега, бољег остварења јавних прихода. Пројекција прихода ревидирана је навише за 70,7 млрд динара, при чему је значајно боља реализација код прихода од пореза на добит, социјалних доприноса и појединих категорија непореских прихода.</w:t>
      </w:r>
      <w:r w:rsidRPr="00A37BCE">
        <w:rPr>
          <w:rFonts w:eastAsia="MS PGothic" w:cstheme="minorHAnsi"/>
          <w:b/>
          <w:color w:val="44546A" w:themeColor="text2"/>
          <w:sz w:val="20"/>
          <w:szCs w:val="20"/>
          <w:lang w:val="sr-Cyrl-RS" w:eastAsia="ja-JP"/>
        </w:rPr>
        <w:t xml:space="preserve"> </w:t>
      </w:r>
      <w:r w:rsidRPr="00A37BCE">
        <w:rPr>
          <w:rFonts w:eastAsia="MS PGothic" w:cstheme="minorHAnsi"/>
          <w:color w:val="44546A" w:themeColor="text2"/>
          <w:sz w:val="20"/>
          <w:szCs w:val="20"/>
          <w:lang w:val="sr-Cyrl-RS" w:eastAsia="ja-JP"/>
        </w:rPr>
        <w:t>Пројекција расхода ревидирана је такође навише, у нешто мањем износу, али са значајнијим позитивним изменама у структури. Повећани су капитални издаци, у односу на план, због знатно бољег извршења, а смањене камате услед неостваривања одређених укалкулисаних ризика. Ове промене су позитивне јер утичу на продуктивност јавних расхода у функцији стварања услова за даљи економски раст. Остале категорије јавних расхода су задржане на приближно истом нивоу, изузев расхода за куповину роба и услуга које бележе раст услед убрзане реализације код РФЗО и локалних самоуправа.</w:t>
      </w:r>
    </w:p>
    <w:p w14:paraId="678E6FE3" w14:textId="066D0255" w:rsidR="009877EB" w:rsidRPr="00A37BCE" w:rsidRDefault="009877EB" w:rsidP="00231623">
      <w:pPr>
        <w:spacing w:after="120" w:line="276" w:lineRule="auto"/>
        <w:jc w:val="center"/>
        <w:rPr>
          <w:rFonts w:eastAsia="MS PGothic" w:cstheme="minorHAnsi"/>
          <w:b/>
          <w:color w:val="002060"/>
          <w:sz w:val="20"/>
          <w:szCs w:val="20"/>
          <w:lang w:val="sr-Cyrl-RS" w:eastAsia="ja-JP"/>
        </w:rPr>
      </w:pPr>
      <w:r w:rsidRPr="00A37BCE">
        <w:rPr>
          <w:rFonts w:eastAsia="MS PGothic" w:cstheme="minorHAnsi"/>
          <w:b/>
          <w:color w:val="002060"/>
          <w:sz w:val="20"/>
          <w:szCs w:val="20"/>
          <w:lang w:val="sr-Cyrl-RS" w:eastAsia="ja-JP"/>
        </w:rPr>
        <w:lastRenderedPageBreak/>
        <w:t>Допринос појединачних фактора корекцији фискалног резултата у односу на план за 2018. годину, % БДП</w:t>
      </w:r>
    </w:p>
    <w:p w14:paraId="3A454C8B" w14:textId="1BBF0239" w:rsidR="000676C7" w:rsidRPr="00A37BCE" w:rsidRDefault="00B24E69" w:rsidP="009877EB">
      <w:pPr>
        <w:spacing w:after="120" w:line="276" w:lineRule="auto"/>
        <w:jc w:val="both"/>
        <w:rPr>
          <w:rFonts w:eastAsia="MS PGothic" w:cstheme="minorHAnsi"/>
          <w:b/>
          <w:color w:val="002060"/>
          <w:sz w:val="20"/>
          <w:szCs w:val="20"/>
          <w:lang w:val="sr-Cyrl-RS" w:eastAsia="ja-JP"/>
        </w:rPr>
      </w:pPr>
      <w:r>
        <w:rPr>
          <w:rFonts w:eastAsia="MS PGothic" w:cstheme="minorHAnsi"/>
          <w:b/>
          <w:noProof/>
          <w:color w:val="002060"/>
          <w:sz w:val="20"/>
          <w:szCs w:val="20"/>
        </w:rPr>
        <w:drawing>
          <wp:inline distT="0" distB="0" distL="0" distR="0" wp14:anchorId="09C51689" wp14:editId="77BCFEBB">
            <wp:extent cx="2743200" cy="2660015"/>
            <wp:effectExtent l="0" t="0" r="0" b="698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eficit-01-01.pn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2743200" cy="2660015"/>
                    </a:xfrm>
                    <a:prstGeom prst="rect">
                      <a:avLst/>
                    </a:prstGeom>
                  </pic:spPr>
                </pic:pic>
              </a:graphicData>
            </a:graphic>
          </wp:inline>
        </w:drawing>
      </w:r>
    </w:p>
    <w:p w14:paraId="38E0E33D" w14:textId="4FA2CEE9" w:rsidR="009877EB" w:rsidRPr="00A37BCE" w:rsidRDefault="009877EB" w:rsidP="009877EB">
      <w:pPr>
        <w:keepNext/>
        <w:widowControl w:val="0"/>
        <w:spacing w:after="120" w:line="240"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lastRenderedPageBreak/>
        <w:t xml:space="preserve">Фискална кретања у периоду јануар–септембар 2018. године одражавају повољне </w:t>
      </w:r>
      <w:r w:rsidR="0047251C" w:rsidRPr="00A37BCE">
        <w:rPr>
          <w:rFonts w:eastAsia="MS PGothic" w:cstheme="minorHAnsi"/>
          <w:color w:val="44546A" w:themeColor="text2"/>
          <w:sz w:val="20"/>
          <w:szCs w:val="20"/>
          <w:lang w:val="sr-Cyrl-RS" w:eastAsia="ja-JP"/>
        </w:rPr>
        <w:t>макроекономске</w:t>
      </w:r>
      <w:r w:rsidRPr="00A37BCE">
        <w:rPr>
          <w:rFonts w:eastAsia="MS PGothic" w:cstheme="minorHAnsi"/>
          <w:color w:val="44546A" w:themeColor="text2"/>
          <w:sz w:val="20"/>
          <w:szCs w:val="20"/>
          <w:lang w:val="sr-Cyrl-RS" w:eastAsia="ja-JP"/>
        </w:rPr>
        <w:t xml:space="preserve"> трендове, пре свега на тржишту рада, који су допринели бољој наплати јавних прихода. На крају септембра текуће године остварен је суфицит на нивоу опште државе у износу од 54,5 млрд динара, што је за 69,1 млрд динара боље од плана. У овом периоду, према основном плану, био је предвиђен дефицит у износу од 14,6 млрд динара.</w:t>
      </w:r>
    </w:p>
    <w:p w14:paraId="267A7D2B" w14:textId="77777777" w:rsidR="009877EB" w:rsidRPr="00A37BCE" w:rsidRDefault="009877EB" w:rsidP="009877EB">
      <w:pPr>
        <w:spacing w:after="120" w:line="276" w:lineRule="auto"/>
        <w:jc w:val="both"/>
        <w:rPr>
          <w:rFonts w:eastAsia="MS PGothic" w:cstheme="minorHAnsi"/>
          <w:color w:val="44546A" w:themeColor="text2"/>
          <w:sz w:val="20"/>
          <w:szCs w:val="20"/>
          <w:lang w:val="sr-Cyrl-RS" w:eastAsia="ja-JP"/>
        </w:rPr>
        <w:sectPr w:rsidR="009877EB" w:rsidRPr="00A37BCE" w:rsidSect="00BA4876">
          <w:type w:val="continuous"/>
          <w:pgSz w:w="12240" w:h="15840"/>
          <w:pgMar w:top="1440" w:right="1440" w:bottom="1440" w:left="1440" w:header="720" w:footer="720" w:gutter="0"/>
          <w:cols w:num="2" w:space="720"/>
          <w:docGrid w:linePitch="360"/>
        </w:sectPr>
      </w:pPr>
    </w:p>
    <w:p w14:paraId="4420A493" w14:textId="24EB4428" w:rsidR="009877EB" w:rsidRPr="00A37BCE" w:rsidRDefault="005B01D9" w:rsidP="009877EB">
      <w:pPr>
        <w:spacing w:after="120" w:line="240" w:lineRule="auto"/>
        <w:jc w:val="center"/>
        <w:rPr>
          <w:rFonts w:eastAsia="MS PGothic" w:cstheme="minorHAnsi"/>
          <w:b/>
          <w:color w:val="002060"/>
          <w:sz w:val="20"/>
          <w:szCs w:val="20"/>
          <w:lang w:val="sr-Cyrl-RS" w:eastAsia="ja-JP"/>
        </w:rPr>
      </w:pPr>
      <w:r w:rsidRPr="00A37BCE">
        <w:rPr>
          <w:rFonts w:eastAsia="MS PGothic" w:cstheme="minorHAnsi"/>
          <w:b/>
          <w:color w:val="002060"/>
          <w:sz w:val="20"/>
          <w:szCs w:val="20"/>
          <w:lang w:val="sr-Cyrl-RS" w:eastAsia="ja-JP"/>
        </w:rPr>
        <w:lastRenderedPageBreak/>
        <w:t>Табела 5</w:t>
      </w:r>
      <w:r w:rsidR="009877EB" w:rsidRPr="00A37BCE">
        <w:rPr>
          <w:rFonts w:eastAsia="MS PGothic" w:cstheme="minorHAnsi"/>
          <w:b/>
          <w:color w:val="002060"/>
          <w:sz w:val="20"/>
          <w:szCs w:val="20"/>
          <w:lang w:val="sr-Cyrl-RS" w:eastAsia="ja-JP"/>
        </w:rPr>
        <w:t>. Приходи, расходи и резултат сектора државе у 2018. години, у млрд динара</w:t>
      </w:r>
    </w:p>
    <w:tbl>
      <w:tblPr>
        <w:tblW w:w="5000" w:type="pct"/>
        <w:tblLook w:val="04A0" w:firstRow="1" w:lastRow="0" w:firstColumn="1" w:lastColumn="0" w:noHBand="0" w:noVBand="1"/>
      </w:tblPr>
      <w:tblGrid>
        <w:gridCol w:w="2654"/>
        <w:gridCol w:w="1295"/>
        <w:gridCol w:w="1353"/>
        <w:gridCol w:w="1295"/>
        <w:gridCol w:w="1295"/>
        <w:gridCol w:w="1468"/>
      </w:tblGrid>
      <w:tr w:rsidR="009877EB" w:rsidRPr="00A37BCE" w14:paraId="00543164" w14:textId="77777777" w:rsidTr="003B0E3D">
        <w:trPr>
          <w:trHeight w:val="478"/>
        </w:trPr>
        <w:tc>
          <w:tcPr>
            <w:tcW w:w="1417" w:type="pct"/>
            <w:tcBorders>
              <w:top w:val="single" w:sz="4" w:space="0" w:color="002060"/>
            </w:tcBorders>
            <w:shd w:val="clear" w:color="auto" w:fill="auto"/>
            <w:noWrap/>
            <w:vAlign w:val="center"/>
            <w:hideMark/>
          </w:tcPr>
          <w:p w14:paraId="33567FF5" w14:textId="77777777" w:rsidR="009877EB" w:rsidRPr="00A37BCE" w:rsidRDefault="009877EB" w:rsidP="009877EB">
            <w:pPr>
              <w:spacing w:after="0" w:line="240" w:lineRule="auto"/>
              <w:jc w:val="center"/>
              <w:rPr>
                <w:rFonts w:eastAsia="Times New Roman" w:cstheme="minorHAnsi"/>
                <w:bCs/>
                <w:color w:val="2F5496" w:themeColor="accent1" w:themeShade="BF"/>
                <w:sz w:val="18"/>
                <w:szCs w:val="18"/>
                <w:lang w:val="sr-Cyrl-RS" w:eastAsia="sr-Cyrl-RS"/>
              </w:rPr>
            </w:pPr>
            <w:r w:rsidRPr="00A37BCE">
              <w:rPr>
                <w:rFonts w:eastAsia="Times New Roman" w:cstheme="minorHAnsi"/>
                <w:bCs/>
                <w:color w:val="2F5496" w:themeColor="accent1" w:themeShade="BF"/>
                <w:sz w:val="18"/>
                <w:szCs w:val="18"/>
                <w:lang w:val="sr-Cyrl-RS" w:eastAsia="sr-Cyrl-RS"/>
              </w:rPr>
              <w:t> </w:t>
            </w:r>
          </w:p>
        </w:tc>
        <w:tc>
          <w:tcPr>
            <w:tcW w:w="692" w:type="pct"/>
            <w:tcBorders>
              <w:top w:val="single" w:sz="4" w:space="0" w:color="002060"/>
              <w:bottom w:val="single" w:sz="4" w:space="0" w:color="002060"/>
            </w:tcBorders>
            <w:shd w:val="clear" w:color="auto" w:fill="auto"/>
            <w:vAlign w:val="center"/>
            <w:hideMark/>
          </w:tcPr>
          <w:p w14:paraId="1877AAB4" w14:textId="77777777" w:rsidR="009877EB" w:rsidRPr="00A37BCE" w:rsidRDefault="009877EB" w:rsidP="009877EB">
            <w:pPr>
              <w:spacing w:after="0" w:line="240" w:lineRule="auto"/>
              <w:jc w:val="center"/>
              <w:rPr>
                <w:rFonts w:cstheme="minorHAnsi"/>
                <w:color w:val="002060"/>
                <w:sz w:val="18"/>
                <w:szCs w:val="18"/>
                <w:lang w:val="sr-Cyrl-RS"/>
              </w:rPr>
            </w:pPr>
            <w:r w:rsidRPr="00A37BCE">
              <w:rPr>
                <w:rFonts w:cstheme="minorHAnsi"/>
                <w:color w:val="002060"/>
                <w:sz w:val="18"/>
                <w:szCs w:val="18"/>
                <w:lang w:val="sr-Cyrl-RS"/>
              </w:rPr>
              <w:t>план 2018.</w:t>
            </w:r>
          </w:p>
        </w:tc>
        <w:tc>
          <w:tcPr>
            <w:tcW w:w="723" w:type="pct"/>
            <w:tcBorders>
              <w:top w:val="single" w:sz="4" w:space="0" w:color="002060"/>
              <w:bottom w:val="single" w:sz="4" w:space="0" w:color="002060"/>
            </w:tcBorders>
            <w:shd w:val="clear" w:color="auto" w:fill="auto"/>
            <w:vAlign w:val="center"/>
            <w:hideMark/>
          </w:tcPr>
          <w:p w14:paraId="41DC86EB" w14:textId="77777777" w:rsidR="009877EB" w:rsidRPr="00A37BCE" w:rsidRDefault="009877EB" w:rsidP="009877EB">
            <w:pPr>
              <w:spacing w:after="0" w:line="240" w:lineRule="auto"/>
              <w:jc w:val="center"/>
              <w:rPr>
                <w:rFonts w:cstheme="minorHAnsi"/>
                <w:color w:val="002060"/>
                <w:sz w:val="18"/>
                <w:szCs w:val="18"/>
                <w:lang w:val="sr-Cyrl-RS"/>
              </w:rPr>
            </w:pPr>
            <w:r w:rsidRPr="00A37BCE">
              <w:rPr>
                <w:rFonts w:cstheme="minorHAnsi"/>
                <w:color w:val="002060"/>
                <w:sz w:val="18"/>
                <w:szCs w:val="18"/>
                <w:lang w:val="sr-Cyrl-RS"/>
              </w:rPr>
              <w:t>нова процена 2018.</w:t>
            </w:r>
          </w:p>
        </w:tc>
        <w:tc>
          <w:tcPr>
            <w:tcW w:w="692" w:type="pct"/>
            <w:tcBorders>
              <w:top w:val="single" w:sz="4" w:space="0" w:color="002060"/>
              <w:bottom w:val="single" w:sz="4" w:space="0" w:color="002060"/>
            </w:tcBorders>
            <w:shd w:val="clear" w:color="auto" w:fill="auto"/>
            <w:vAlign w:val="center"/>
            <w:hideMark/>
          </w:tcPr>
          <w:p w14:paraId="4430C2CF" w14:textId="77777777" w:rsidR="009877EB" w:rsidRPr="00A37BCE" w:rsidRDefault="009877EB" w:rsidP="009877EB">
            <w:pPr>
              <w:spacing w:after="0" w:line="240" w:lineRule="auto"/>
              <w:jc w:val="center"/>
              <w:rPr>
                <w:rFonts w:cstheme="minorHAnsi"/>
                <w:color w:val="002060"/>
                <w:sz w:val="18"/>
                <w:szCs w:val="18"/>
                <w:lang w:val="sr-Cyrl-RS"/>
              </w:rPr>
            </w:pPr>
            <w:r w:rsidRPr="00A37BCE">
              <w:rPr>
                <w:rFonts w:cstheme="minorHAnsi"/>
                <w:color w:val="002060"/>
                <w:sz w:val="18"/>
                <w:szCs w:val="18"/>
                <w:lang w:val="sr-Cyrl-RS"/>
              </w:rPr>
              <w:t>разлика</w:t>
            </w:r>
          </w:p>
        </w:tc>
        <w:tc>
          <w:tcPr>
            <w:tcW w:w="692" w:type="pct"/>
            <w:tcBorders>
              <w:top w:val="single" w:sz="4" w:space="0" w:color="002060"/>
              <w:bottom w:val="single" w:sz="4" w:space="0" w:color="002060"/>
            </w:tcBorders>
            <w:shd w:val="clear" w:color="auto" w:fill="auto"/>
            <w:vAlign w:val="center"/>
            <w:hideMark/>
          </w:tcPr>
          <w:p w14:paraId="1DAE4615" w14:textId="77777777" w:rsidR="009877EB" w:rsidRPr="00A37BCE" w:rsidRDefault="009877EB" w:rsidP="009877EB">
            <w:pPr>
              <w:spacing w:after="0" w:line="240" w:lineRule="auto"/>
              <w:jc w:val="center"/>
              <w:rPr>
                <w:rFonts w:cstheme="minorHAnsi"/>
                <w:color w:val="002060"/>
                <w:sz w:val="18"/>
                <w:szCs w:val="18"/>
                <w:lang w:val="sr-Cyrl-RS"/>
              </w:rPr>
            </w:pPr>
            <w:r w:rsidRPr="00A37BCE">
              <w:rPr>
                <w:rFonts w:cstheme="minorHAnsi"/>
                <w:color w:val="002060"/>
                <w:sz w:val="18"/>
                <w:szCs w:val="18"/>
                <w:lang w:val="sr-Cyrl-RS"/>
              </w:rPr>
              <w:t>% промена</w:t>
            </w:r>
          </w:p>
        </w:tc>
        <w:tc>
          <w:tcPr>
            <w:tcW w:w="784" w:type="pct"/>
            <w:tcBorders>
              <w:top w:val="single" w:sz="4" w:space="0" w:color="002060"/>
              <w:bottom w:val="single" w:sz="4" w:space="0" w:color="002060"/>
            </w:tcBorders>
            <w:shd w:val="clear" w:color="auto" w:fill="auto"/>
            <w:vAlign w:val="center"/>
            <w:hideMark/>
          </w:tcPr>
          <w:p w14:paraId="41C36706" w14:textId="1D3EA1F9" w:rsidR="009877EB" w:rsidRPr="00A37BCE" w:rsidRDefault="009877EB" w:rsidP="009877EB">
            <w:pPr>
              <w:spacing w:after="0" w:line="240" w:lineRule="auto"/>
              <w:jc w:val="center"/>
              <w:rPr>
                <w:rFonts w:cstheme="minorHAnsi"/>
                <w:color w:val="002060"/>
                <w:sz w:val="18"/>
                <w:szCs w:val="18"/>
                <w:lang w:val="sr-Cyrl-RS"/>
              </w:rPr>
            </w:pPr>
            <w:r w:rsidRPr="00A37BCE">
              <w:rPr>
                <w:rFonts w:cstheme="minorHAnsi"/>
                <w:color w:val="002060"/>
                <w:sz w:val="18"/>
                <w:szCs w:val="18"/>
                <w:lang w:val="sr-Cyrl-RS"/>
              </w:rPr>
              <w:t xml:space="preserve">2018. нова </w:t>
            </w:r>
            <w:r w:rsidR="0047251C" w:rsidRPr="00A37BCE">
              <w:rPr>
                <w:rFonts w:cstheme="minorHAnsi"/>
                <w:color w:val="002060"/>
                <w:sz w:val="18"/>
                <w:szCs w:val="18"/>
                <w:lang w:val="sr-Cyrl-RS"/>
              </w:rPr>
              <w:t>процена</w:t>
            </w:r>
            <w:r w:rsidRPr="00A37BCE">
              <w:rPr>
                <w:rFonts w:cstheme="minorHAnsi"/>
                <w:color w:val="002060"/>
                <w:sz w:val="18"/>
                <w:szCs w:val="18"/>
                <w:lang w:val="sr-Cyrl-RS"/>
              </w:rPr>
              <w:t>, % БДП</w:t>
            </w:r>
          </w:p>
        </w:tc>
      </w:tr>
      <w:tr w:rsidR="009877EB" w:rsidRPr="00A37BCE" w14:paraId="0E743121" w14:textId="77777777" w:rsidTr="003B0E3D">
        <w:trPr>
          <w:trHeight w:val="237"/>
        </w:trPr>
        <w:tc>
          <w:tcPr>
            <w:tcW w:w="1417" w:type="pct"/>
            <w:shd w:val="clear" w:color="auto" w:fill="E7E6E6" w:themeFill="background2"/>
            <w:noWrap/>
            <w:vAlign w:val="center"/>
            <w:hideMark/>
          </w:tcPr>
          <w:p w14:paraId="38F7857F"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ЈАВНИ ПРИХОДИ</w:t>
            </w:r>
          </w:p>
        </w:tc>
        <w:tc>
          <w:tcPr>
            <w:tcW w:w="692" w:type="pct"/>
            <w:tcBorders>
              <w:top w:val="single" w:sz="4" w:space="0" w:color="002060"/>
            </w:tcBorders>
            <w:shd w:val="clear" w:color="auto" w:fill="E7E6E6" w:themeFill="background2"/>
            <w:vAlign w:val="center"/>
            <w:hideMark/>
          </w:tcPr>
          <w:p w14:paraId="0AC92D83"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2.014,9</w:t>
            </w:r>
          </w:p>
        </w:tc>
        <w:tc>
          <w:tcPr>
            <w:tcW w:w="723" w:type="pct"/>
            <w:tcBorders>
              <w:top w:val="single" w:sz="4" w:space="0" w:color="002060"/>
            </w:tcBorders>
            <w:shd w:val="clear" w:color="auto" w:fill="E7E6E6" w:themeFill="background2"/>
            <w:noWrap/>
            <w:vAlign w:val="center"/>
            <w:hideMark/>
          </w:tcPr>
          <w:p w14:paraId="62E3AA51"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2.085,6</w:t>
            </w:r>
          </w:p>
        </w:tc>
        <w:tc>
          <w:tcPr>
            <w:tcW w:w="692" w:type="pct"/>
            <w:tcBorders>
              <w:top w:val="single" w:sz="4" w:space="0" w:color="002060"/>
            </w:tcBorders>
            <w:shd w:val="clear" w:color="auto" w:fill="E7E6E6" w:themeFill="background2"/>
            <w:vAlign w:val="center"/>
            <w:hideMark/>
          </w:tcPr>
          <w:p w14:paraId="5309DA50"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70,7</w:t>
            </w:r>
          </w:p>
        </w:tc>
        <w:tc>
          <w:tcPr>
            <w:tcW w:w="692" w:type="pct"/>
            <w:tcBorders>
              <w:top w:val="single" w:sz="4" w:space="0" w:color="002060"/>
            </w:tcBorders>
            <w:shd w:val="clear" w:color="auto" w:fill="E7E6E6" w:themeFill="background2"/>
            <w:vAlign w:val="center"/>
            <w:hideMark/>
          </w:tcPr>
          <w:p w14:paraId="3C0916B0"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3,5</w:t>
            </w:r>
          </w:p>
        </w:tc>
        <w:tc>
          <w:tcPr>
            <w:tcW w:w="784" w:type="pct"/>
            <w:tcBorders>
              <w:top w:val="single" w:sz="4" w:space="0" w:color="002060"/>
            </w:tcBorders>
            <w:shd w:val="clear" w:color="auto" w:fill="E7E6E6" w:themeFill="background2"/>
            <w:noWrap/>
            <w:vAlign w:val="center"/>
            <w:hideMark/>
          </w:tcPr>
          <w:p w14:paraId="43B83FCB"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41,1</w:t>
            </w:r>
          </w:p>
        </w:tc>
      </w:tr>
      <w:tr w:rsidR="009877EB" w:rsidRPr="00A37BCE" w14:paraId="1FF8CD06" w14:textId="77777777" w:rsidTr="003B0E3D">
        <w:trPr>
          <w:trHeight w:val="227"/>
        </w:trPr>
        <w:tc>
          <w:tcPr>
            <w:tcW w:w="1417" w:type="pct"/>
            <w:shd w:val="clear" w:color="auto" w:fill="auto"/>
            <w:noWrap/>
            <w:vAlign w:val="center"/>
            <w:hideMark/>
          </w:tcPr>
          <w:p w14:paraId="1A8D856C"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Текући приходи</w:t>
            </w:r>
          </w:p>
        </w:tc>
        <w:tc>
          <w:tcPr>
            <w:tcW w:w="692" w:type="pct"/>
            <w:shd w:val="clear" w:color="auto" w:fill="auto"/>
            <w:vAlign w:val="center"/>
            <w:hideMark/>
          </w:tcPr>
          <w:p w14:paraId="4244502F"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1.999,3</w:t>
            </w:r>
          </w:p>
        </w:tc>
        <w:tc>
          <w:tcPr>
            <w:tcW w:w="723" w:type="pct"/>
            <w:shd w:val="clear" w:color="auto" w:fill="auto"/>
            <w:noWrap/>
            <w:vAlign w:val="center"/>
            <w:hideMark/>
          </w:tcPr>
          <w:p w14:paraId="51C4EDA5"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2.074,1</w:t>
            </w:r>
          </w:p>
        </w:tc>
        <w:tc>
          <w:tcPr>
            <w:tcW w:w="692" w:type="pct"/>
            <w:shd w:val="clear" w:color="auto" w:fill="auto"/>
            <w:vAlign w:val="center"/>
            <w:hideMark/>
          </w:tcPr>
          <w:p w14:paraId="0ADDB33A"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74,8</w:t>
            </w:r>
          </w:p>
        </w:tc>
        <w:tc>
          <w:tcPr>
            <w:tcW w:w="692" w:type="pct"/>
            <w:shd w:val="clear" w:color="auto" w:fill="auto"/>
            <w:vAlign w:val="center"/>
            <w:hideMark/>
          </w:tcPr>
          <w:p w14:paraId="76317B34"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3,7</w:t>
            </w:r>
          </w:p>
        </w:tc>
        <w:tc>
          <w:tcPr>
            <w:tcW w:w="784" w:type="pct"/>
            <w:shd w:val="clear" w:color="auto" w:fill="auto"/>
            <w:noWrap/>
            <w:vAlign w:val="center"/>
            <w:hideMark/>
          </w:tcPr>
          <w:p w14:paraId="63507080"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40,9</w:t>
            </w:r>
          </w:p>
        </w:tc>
      </w:tr>
      <w:tr w:rsidR="009877EB" w:rsidRPr="00A37BCE" w14:paraId="41A09452" w14:textId="77777777" w:rsidTr="003B0E3D">
        <w:trPr>
          <w:trHeight w:val="227"/>
        </w:trPr>
        <w:tc>
          <w:tcPr>
            <w:tcW w:w="1417" w:type="pct"/>
            <w:shd w:val="clear" w:color="auto" w:fill="auto"/>
            <w:noWrap/>
            <w:vAlign w:val="center"/>
            <w:hideMark/>
          </w:tcPr>
          <w:p w14:paraId="26DE0F96"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Порески приходи</w:t>
            </w:r>
          </w:p>
        </w:tc>
        <w:tc>
          <w:tcPr>
            <w:tcW w:w="692" w:type="pct"/>
            <w:shd w:val="clear" w:color="auto" w:fill="auto"/>
            <w:vAlign w:val="center"/>
            <w:hideMark/>
          </w:tcPr>
          <w:p w14:paraId="3008AE02"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1.776,0</w:t>
            </w:r>
          </w:p>
        </w:tc>
        <w:tc>
          <w:tcPr>
            <w:tcW w:w="723" w:type="pct"/>
            <w:shd w:val="clear" w:color="auto" w:fill="auto"/>
            <w:vAlign w:val="center"/>
            <w:hideMark/>
          </w:tcPr>
          <w:p w14:paraId="58084543"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1.816,7</w:t>
            </w:r>
          </w:p>
        </w:tc>
        <w:tc>
          <w:tcPr>
            <w:tcW w:w="692" w:type="pct"/>
            <w:shd w:val="clear" w:color="auto" w:fill="auto"/>
            <w:vAlign w:val="center"/>
            <w:hideMark/>
          </w:tcPr>
          <w:p w14:paraId="50560091"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40,7</w:t>
            </w:r>
          </w:p>
        </w:tc>
        <w:tc>
          <w:tcPr>
            <w:tcW w:w="692" w:type="pct"/>
            <w:shd w:val="clear" w:color="auto" w:fill="auto"/>
            <w:vAlign w:val="center"/>
            <w:hideMark/>
          </w:tcPr>
          <w:p w14:paraId="0E60A3BB"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2,3</w:t>
            </w:r>
          </w:p>
        </w:tc>
        <w:tc>
          <w:tcPr>
            <w:tcW w:w="784" w:type="pct"/>
            <w:shd w:val="clear" w:color="auto" w:fill="auto"/>
            <w:noWrap/>
            <w:vAlign w:val="center"/>
            <w:hideMark/>
          </w:tcPr>
          <w:p w14:paraId="2C75E360"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35,8</w:t>
            </w:r>
          </w:p>
        </w:tc>
      </w:tr>
      <w:tr w:rsidR="009877EB" w:rsidRPr="00A37BCE" w14:paraId="236F3D83" w14:textId="77777777" w:rsidTr="003B0E3D">
        <w:trPr>
          <w:trHeight w:val="227"/>
        </w:trPr>
        <w:tc>
          <w:tcPr>
            <w:tcW w:w="1417" w:type="pct"/>
            <w:shd w:val="clear" w:color="auto" w:fill="auto"/>
            <w:noWrap/>
            <w:vAlign w:val="center"/>
            <w:hideMark/>
          </w:tcPr>
          <w:p w14:paraId="4866DB57"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Порез на доходак грађана</w:t>
            </w:r>
          </w:p>
        </w:tc>
        <w:tc>
          <w:tcPr>
            <w:tcW w:w="692" w:type="pct"/>
            <w:shd w:val="clear" w:color="auto" w:fill="auto"/>
            <w:vAlign w:val="center"/>
            <w:hideMark/>
          </w:tcPr>
          <w:p w14:paraId="2CF9725F"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169,9</w:t>
            </w:r>
          </w:p>
        </w:tc>
        <w:tc>
          <w:tcPr>
            <w:tcW w:w="723" w:type="pct"/>
            <w:shd w:val="clear" w:color="auto" w:fill="auto"/>
            <w:noWrap/>
            <w:vAlign w:val="center"/>
            <w:hideMark/>
          </w:tcPr>
          <w:p w14:paraId="78A57136"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175,6</w:t>
            </w:r>
          </w:p>
        </w:tc>
        <w:tc>
          <w:tcPr>
            <w:tcW w:w="692" w:type="pct"/>
            <w:shd w:val="clear" w:color="auto" w:fill="auto"/>
            <w:vAlign w:val="center"/>
            <w:hideMark/>
          </w:tcPr>
          <w:p w14:paraId="7DF5287D"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5,7</w:t>
            </w:r>
          </w:p>
        </w:tc>
        <w:tc>
          <w:tcPr>
            <w:tcW w:w="692" w:type="pct"/>
            <w:shd w:val="clear" w:color="auto" w:fill="auto"/>
            <w:vAlign w:val="center"/>
            <w:hideMark/>
          </w:tcPr>
          <w:p w14:paraId="411F37A0"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3,4</w:t>
            </w:r>
          </w:p>
        </w:tc>
        <w:tc>
          <w:tcPr>
            <w:tcW w:w="784" w:type="pct"/>
            <w:shd w:val="clear" w:color="auto" w:fill="auto"/>
            <w:noWrap/>
            <w:vAlign w:val="center"/>
            <w:hideMark/>
          </w:tcPr>
          <w:p w14:paraId="65A5C479"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3,5</w:t>
            </w:r>
          </w:p>
        </w:tc>
      </w:tr>
      <w:tr w:rsidR="009877EB" w:rsidRPr="00A37BCE" w14:paraId="4C03AA11" w14:textId="77777777" w:rsidTr="003B0E3D">
        <w:trPr>
          <w:trHeight w:val="227"/>
        </w:trPr>
        <w:tc>
          <w:tcPr>
            <w:tcW w:w="1417" w:type="pct"/>
            <w:shd w:val="clear" w:color="auto" w:fill="auto"/>
            <w:noWrap/>
            <w:vAlign w:val="center"/>
            <w:hideMark/>
          </w:tcPr>
          <w:p w14:paraId="7D977F1C"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Порез на добит правних лица</w:t>
            </w:r>
          </w:p>
        </w:tc>
        <w:tc>
          <w:tcPr>
            <w:tcW w:w="692" w:type="pct"/>
            <w:shd w:val="clear" w:color="auto" w:fill="auto"/>
            <w:vAlign w:val="center"/>
            <w:hideMark/>
          </w:tcPr>
          <w:p w14:paraId="37F4620A"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96,3</w:t>
            </w:r>
          </w:p>
        </w:tc>
        <w:tc>
          <w:tcPr>
            <w:tcW w:w="723" w:type="pct"/>
            <w:shd w:val="clear" w:color="auto" w:fill="auto"/>
            <w:noWrap/>
            <w:vAlign w:val="center"/>
            <w:hideMark/>
          </w:tcPr>
          <w:p w14:paraId="3561DFB1"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115,4</w:t>
            </w:r>
          </w:p>
        </w:tc>
        <w:tc>
          <w:tcPr>
            <w:tcW w:w="692" w:type="pct"/>
            <w:shd w:val="clear" w:color="auto" w:fill="auto"/>
            <w:vAlign w:val="center"/>
            <w:hideMark/>
          </w:tcPr>
          <w:p w14:paraId="06CF5CC6"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19,1</w:t>
            </w:r>
          </w:p>
        </w:tc>
        <w:tc>
          <w:tcPr>
            <w:tcW w:w="692" w:type="pct"/>
            <w:shd w:val="clear" w:color="auto" w:fill="auto"/>
            <w:vAlign w:val="center"/>
            <w:hideMark/>
          </w:tcPr>
          <w:p w14:paraId="5C26D8BE"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19,8</w:t>
            </w:r>
          </w:p>
        </w:tc>
        <w:tc>
          <w:tcPr>
            <w:tcW w:w="784" w:type="pct"/>
            <w:shd w:val="clear" w:color="auto" w:fill="auto"/>
            <w:noWrap/>
            <w:vAlign w:val="center"/>
            <w:hideMark/>
          </w:tcPr>
          <w:p w14:paraId="5955CF6F"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2,3</w:t>
            </w:r>
          </w:p>
        </w:tc>
      </w:tr>
      <w:tr w:rsidR="009877EB" w:rsidRPr="00A37BCE" w14:paraId="18219328" w14:textId="77777777" w:rsidTr="003B0E3D">
        <w:trPr>
          <w:trHeight w:val="227"/>
        </w:trPr>
        <w:tc>
          <w:tcPr>
            <w:tcW w:w="1417" w:type="pct"/>
            <w:shd w:val="clear" w:color="auto" w:fill="auto"/>
            <w:noWrap/>
            <w:vAlign w:val="center"/>
            <w:hideMark/>
          </w:tcPr>
          <w:p w14:paraId="43A038B9"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Порез на додату вредност</w:t>
            </w:r>
          </w:p>
        </w:tc>
        <w:tc>
          <w:tcPr>
            <w:tcW w:w="692" w:type="pct"/>
            <w:shd w:val="clear" w:color="auto" w:fill="auto"/>
            <w:vAlign w:val="center"/>
            <w:hideMark/>
          </w:tcPr>
          <w:p w14:paraId="74ACF648"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503,4</w:t>
            </w:r>
          </w:p>
        </w:tc>
        <w:tc>
          <w:tcPr>
            <w:tcW w:w="723" w:type="pct"/>
            <w:shd w:val="clear" w:color="auto" w:fill="auto"/>
            <w:noWrap/>
            <w:vAlign w:val="center"/>
            <w:hideMark/>
          </w:tcPr>
          <w:p w14:paraId="2A7129A2"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505,0</w:t>
            </w:r>
          </w:p>
        </w:tc>
        <w:tc>
          <w:tcPr>
            <w:tcW w:w="692" w:type="pct"/>
            <w:shd w:val="clear" w:color="auto" w:fill="auto"/>
            <w:vAlign w:val="center"/>
            <w:hideMark/>
          </w:tcPr>
          <w:p w14:paraId="525700E5"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1,6</w:t>
            </w:r>
          </w:p>
        </w:tc>
        <w:tc>
          <w:tcPr>
            <w:tcW w:w="692" w:type="pct"/>
            <w:shd w:val="clear" w:color="auto" w:fill="auto"/>
            <w:vAlign w:val="center"/>
            <w:hideMark/>
          </w:tcPr>
          <w:p w14:paraId="6ECA313F"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0,3</w:t>
            </w:r>
          </w:p>
        </w:tc>
        <w:tc>
          <w:tcPr>
            <w:tcW w:w="784" w:type="pct"/>
            <w:shd w:val="clear" w:color="auto" w:fill="auto"/>
            <w:noWrap/>
            <w:vAlign w:val="center"/>
            <w:hideMark/>
          </w:tcPr>
          <w:p w14:paraId="5DD038D8"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10,0</w:t>
            </w:r>
          </w:p>
        </w:tc>
      </w:tr>
      <w:tr w:rsidR="009877EB" w:rsidRPr="00A37BCE" w14:paraId="230D0FF7" w14:textId="77777777" w:rsidTr="003B0E3D">
        <w:trPr>
          <w:trHeight w:val="227"/>
        </w:trPr>
        <w:tc>
          <w:tcPr>
            <w:tcW w:w="1417" w:type="pct"/>
            <w:shd w:val="clear" w:color="auto" w:fill="auto"/>
            <w:noWrap/>
            <w:vAlign w:val="center"/>
            <w:hideMark/>
          </w:tcPr>
          <w:p w14:paraId="5B173375"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Акцизе</w:t>
            </w:r>
          </w:p>
        </w:tc>
        <w:tc>
          <w:tcPr>
            <w:tcW w:w="692" w:type="pct"/>
            <w:shd w:val="clear" w:color="auto" w:fill="auto"/>
            <w:vAlign w:val="center"/>
            <w:hideMark/>
          </w:tcPr>
          <w:p w14:paraId="241DE5C0"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286,3</w:t>
            </w:r>
          </w:p>
        </w:tc>
        <w:tc>
          <w:tcPr>
            <w:tcW w:w="723" w:type="pct"/>
            <w:shd w:val="clear" w:color="auto" w:fill="auto"/>
            <w:noWrap/>
            <w:vAlign w:val="center"/>
            <w:hideMark/>
          </w:tcPr>
          <w:p w14:paraId="2A03ACDA"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285,0</w:t>
            </w:r>
          </w:p>
        </w:tc>
        <w:tc>
          <w:tcPr>
            <w:tcW w:w="692" w:type="pct"/>
            <w:shd w:val="clear" w:color="auto" w:fill="auto"/>
            <w:vAlign w:val="center"/>
            <w:hideMark/>
          </w:tcPr>
          <w:p w14:paraId="6A0AE037"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-1,3</w:t>
            </w:r>
          </w:p>
        </w:tc>
        <w:tc>
          <w:tcPr>
            <w:tcW w:w="692" w:type="pct"/>
            <w:shd w:val="clear" w:color="auto" w:fill="auto"/>
            <w:vAlign w:val="center"/>
            <w:hideMark/>
          </w:tcPr>
          <w:p w14:paraId="3E488096"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-0,5</w:t>
            </w:r>
          </w:p>
        </w:tc>
        <w:tc>
          <w:tcPr>
            <w:tcW w:w="784" w:type="pct"/>
            <w:shd w:val="clear" w:color="auto" w:fill="auto"/>
            <w:noWrap/>
            <w:vAlign w:val="center"/>
            <w:hideMark/>
          </w:tcPr>
          <w:p w14:paraId="7E79D5D4"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5,6</w:t>
            </w:r>
          </w:p>
        </w:tc>
      </w:tr>
      <w:tr w:rsidR="009877EB" w:rsidRPr="00A37BCE" w14:paraId="3DC9859C" w14:textId="77777777" w:rsidTr="003B0E3D">
        <w:trPr>
          <w:trHeight w:val="227"/>
        </w:trPr>
        <w:tc>
          <w:tcPr>
            <w:tcW w:w="1417" w:type="pct"/>
            <w:shd w:val="clear" w:color="auto" w:fill="auto"/>
            <w:noWrap/>
            <w:vAlign w:val="center"/>
            <w:hideMark/>
          </w:tcPr>
          <w:p w14:paraId="472A4A93"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Царине</w:t>
            </w:r>
          </w:p>
        </w:tc>
        <w:tc>
          <w:tcPr>
            <w:tcW w:w="692" w:type="pct"/>
            <w:shd w:val="clear" w:color="auto" w:fill="auto"/>
            <w:vAlign w:val="center"/>
            <w:hideMark/>
          </w:tcPr>
          <w:p w14:paraId="3C7BCD0F"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42,9</w:t>
            </w:r>
          </w:p>
        </w:tc>
        <w:tc>
          <w:tcPr>
            <w:tcW w:w="723" w:type="pct"/>
            <w:shd w:val="clear" w:color="auto" w:fill="auto"/>
            <w:noWrap/>
            <w:vAlign w:val="center"/>
            <w:hideMark/>
          </w:tcPr>
          <w:p w14:paraId="74768240"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42,9</w:t>
            </w:r>
          </w:p>
        </w:tc>
        <w:tc>
          <w:tcPr>
            <w:tcW w:w="692" w:type="pct"/>
            <w:shd w:val="clear" w:color="auto" w:fill="auto"/>
            <w:vAlign w:val="center"/>
            <w:hideMark/>
          </w:tcPr>
          <w:p w14:paraId="016FCE3C"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0,0</w:t>
            </w:r>
          </w:p>
        </w:tc>
        <w:tc>
          <w:tcPr>
            <w:tcW w:w="692" w:type="pct"/>
            <w:shd w:val="clear" w:color="auto" w:fill="auto"/>
            <w:vAlign w:val="center"/>
            <w:hideMark/>
          </w:tcPr>
          <w:p w14:paraId="39478660"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0,0</w:t>
            </w:r>
          </w:p>
        </w:tc>
        <w:tc>
          <w:tcPr>
            <w:tcW w:w="784" w:type="pct"/>
            <w:shd w:val="clear" w:color="auto" w:fill="auto"/>
            <w:noWrap/>
            <w:vAlign w:val="center"/>
            <w:hideMark/>
          </w:tcPr>
          <w:p w14:paraId="07FADBA9"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0,8</w:t>
            </w:r>
          </w:p>
        </w:tc>
      </w:tr>
      <w:tr w:rsidR="009877EB" w:rsidRPr="00A37BCE" w14:paraId="26EFB563" w14:textId="77777777" w:rsidTr="003B0E3D">
        <w:trPr>
          <w:trHeight w:val="227"/>
        </w:trPr>
        <w:tc>
          <w:tcPr>
            <w:tcW w:w="1417" w:type="pct"/>
            <w:shd w:val="clear" w:color="auto" w:fill="auto"/>
            <w:noWrap/>
            <w:vAlign w:val="center"/>
            <w:hideMark/>
          </w:tcPr>
          <w:p w14:paraId="771799BF"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Остали порески приходи</w:t>
            </w:r>
          </w:p>
        </w:tc>
        <w:tc>
          <w:tcPr>
            <w:tcW w:w="692" w:type="pct"/>
            <w:shd w:val="clear" w:color="auto" w:fill="auto"/>
            <w:vAlign w:val="center"/>
            <w:hideMark/>
          </w:tcPr>
          <w:p w14:paraId="5F7219B0"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74,6</w:t>
            </w:r>
          </w:p>
        </w:tc>
        <w:tc>
          <w:tcPr>
            <w:tcW w:w="723" w:type="pct"/>
            <w:shd w:val="clear" w:color="auto" w:fill="auto"/>
            <w:noWrap/>
            <w:vAlign w:val="center"/>
            <w:hideMark/>
          </w:tcPr>
          <w:p w14:paraId="375064F5"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74,8</w:t>
            </w:r>
          </w:p>
        </w:tc>
        <w:tc>
          <w:tcPr>
            <w:tcW w:w="692" w:type="pct"/>
            <w:shd w:val="clear" w:color="auto" w:fill="auto"/>
            <w:vAlign w:val="center"/>
            <w:hideMark/>
          </w:tcPr>
          <w:p w14:paraId="223DD3B0"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0,2</w:t>
            </w:r>
          </w:p>
        </w:tc>
        <w:tc>
          <w:tcPr>
            <w:tcW w:w="692" w:type="pct"/>
            <w:shd w:val="clear" w:color="auto" w:fill="auto"/>
            <w:vAlign w:val="center"/>
            <w:hideMark/>
          </w:tcPr>
          <w:p w14:paraId="38EEC1C2"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0,3</w:t>
            </w:r>
          </w:p>
        </w:tc>
        <w:tc>
          <w:tcPr>
            <w:tcW w:w="784" w:type="pct"/>
            <w:shd w:val="clear" w:color="auto" w:fill="auto"/>
            <w:noWrap/>
            <w:vAlign w:val="center"/>
            <w:hideMark/>
          </w:tcPr>
          <w:p w14:paraId="3A8BF982"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1,5</w:t>
            </w:r>
          </w:p>
        </w:tc>
      </w:tr>
      <w:tr w:rsidR="009877EB" w:rsidRPr="00A37BCE" w14:paraId="5F909106" w14:textId="77777777" w:rsidTr="003B0E3D">
        <w:trPr>
          <w:trHeight w:val="227"/>
        </w:trPr>
        <w:tc>
          <w:tcPr>
            <w:tcW w:w="1417" w:type="pct"/>
            <w:shd w:val="clear" w:color="auto" w:fill="auto"/>
            <w:noWrap/>
            <w:vAlign w:val="center"/>
            <w:hideMark/>
          </w:tcPr>
          <w:p w14:paraId="550E638A"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Доприноси</w:t>
            </w:r>
          </w:p>
        </w:tc>
        <w:tc>
          <w:tcPr>
            <w:tcW w:w="692" w:type="pct"/>
            <w:shd w:val="clear" w:color="auto" w:fill="auto"/>
            <w:vAlign w:val="center"/>
            <w:hideMark/>
          </w:tcPr>
          <w:p w14:paraId="240D9767"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602,6</w:t>
            </w:r>
          </w:p>
        </w:tc>
        <w:tc>
          <w:tcPr>
            <w:tcW w:w="723" w:type="pct"/>
            <w:shd w:val="clear" w:color="auto" w:fill="auto"/>
            <w:noWrap/>
            <w:vAlign w:val="center"/>
            <w:hideMark/>
          </w:tcPr>
          <w:p w14:paraId="3875FDF8"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618,0</w:t>
            </w:r>
          </w:p>
        </w:tc>
        <w:tc>
          <w:tcPr>
            <w:tcW w:w="692" w:type="pct"/>
            <w:shd w:val="clear" w:color="auto" w:fill="auto"/>
            <w:vAlign w:val="center"/>
            <w:hideMark/>
          </w:tcPr>
          <w:p w14:paraId="219CEBBC"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15,4</w:t>
            </w:r>
          </w:p>
        </w:tc>
        <w:tc>
          <w:tcPr>
            <w:tcW w:w="692" w:type="pct"/>
            <w:shd w:val="clear" w:color="auto" w:fill="auto"/>
            <w:vAlign w:val="center"/>
            <w:hideMark/>
          </w:tcPr>
          <w:p w14:paraId="1C0C6091"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2,6</w:t>
            </w:r>
          </w:p>
        </w:tc>
        <w:tc>
          <w:tcPr>
            <w:tcW w:w="784" w:type="pct"/>
            <w:shd w:val="clear" w:color="auto" w:fill="auto"/>
            <w:noWrap/>
            <w:vAlign w:val="center"/>
            <w:hideMark/>
          </w:tcPr>
          <w:p w14:paraId="21E16947"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12,2</w:t>
            </w:r>
          </w:p>
        </w:tc>
      </w:tr>
      <w:tr w:rsidR="009877EB" w:rsidRPr="00A37BCE" w14:paraId="31E615F8" w14:textId="77777777" w:rsidTr="003B0E3D">
        <w:trPr>
          <w:trHeight w:val="227"/>
        </w:trPr>
        <w:tc>
          <w:tcPr>
            <w:tcW w:w="1417" w:type="pct"/>
            <w:shd w:val="clear" w:color="auto" w:fill="auto"/>
            <w:noWrap/>
            <w:vAlign w:val="center"/>
            <w:hideMark/>
          </w:tcPr>
          <w:p w14:paraId="481870EA"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Непорески приходи</w:t>
            </w:r>
          </w:p>
        </w:tc>
        <w:tc>
          <w:tcPr>
            <w:tcW w:w="692" w:type="pct"/>
            <w:shd w:val="clear" w:color="auto" w:fill="auto"/>
            <w:vAlign w:val="center"/>
            <w:hideMark/>
          </w:tcPr>
          <w:p w14:paraId="6CB0A3C3"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223,3</w:t>
            </w:r>
          </w:p>
        </w:tc>
        <w:tc>
          <w:tcPr>
            <w:tcW w:w="723" w:type="pct"/>
            <w:shd w:val="clear" w:color="auto" w:fill="auto"/>
            <w:noWrap/>
            <w:vAlign w:val="center"/>
            <w:hideMark/>
          </w:tcPr>
          <w:p w14:paraId="4F87591D"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257,4</w:t>
            </w:r>
          </w:p>
        </w:tc>
        <w:tc>
          <w:tcPr>
            <w:tcW w:w="692" w:type="pct"/>
            <w:shd w:val="clear" w:color="auto" w:fill="auto"/>
            <w:vAlign w:val="center"/>
            <w:hideMark/>
          </w:tcPr>
          <w:p w14:paraId="16728F52"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34,1</w:t>
            </w:r>
          </w:p>
        </w:tc>
        <w:tc>
          <w:tcPr>
            <w:tcW w:w="692" w:type="pct"/>
            <w:shd w:val="clear" w:color="auto" w:fill="auto"/>
            <w:vAlign w:val="center"/>
            <w:hideMark/>
          </w:tcPr>
          <w:p w14:paraId="43F0F1D7"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15,3</w:t>
            </w:r>
          </w:p>
        </w:tc>
        <w:tc>
          <w:tcPr>
            <w:tcW w:w="784" w:type="pct"/>
            <w:shd w:val="clear" w:color="auto" w:fill="auto"/>
            <w:noWrap/>
            <w:vAlign w:val="center"/>
            <w:hideMark/>
          </w:tcPr>
          <w:p w14:paraId="0D7A8FAA"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5,1</w:t>
            </w:r>
          </w:p>
        </w:tc>
      </w:tr>
      <w:tr w:rsidR="009877EB" w:rsidRPr="00A37BCE" w14:paraId="045FCBDE" w14:textId="77777777" w:rsidTr="003B0E3D">
        <w:trPr>
          <w:trHeight w:val="227"/>
        </w:trPr>
        <w:tc>
          <w:tcPr>
            <w:tcW w:w="1417" w:type="pct"/>
            <w:shd w:val="clear" w:color="auto" w:fill="auto"/>
            <w:noWrap/>
            <w:vAlign w:val="center"/>
            <w:hideMark/>
          </w:tcPr>
          <w:p w14:paraId="62E5A12F"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Донације</w:t>
            </w:r>
          </w:p>
        </w:tc>
        <w:tc>
          <w:tcPr>
            <w:tcW w:w="692" w:type="pct"/>
            <w:shd w:val="clear" w:color="auto" w:fill="auto"/>
            <w:vAlign w:val="center"/>
            <w:hideMark/>
          </w:tcPr>
          <w:p w14:paraId="1E657CF7"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15,7</w:t>
            </w:r>
          </w:p>
        </w:tc>
        <w:tc>
          <w:tcPr>
            <w:tcW w:w="723" w:type="pct"/>
            <w:shd w:val="clear" w:color="auto" w:fill="auto"/>
            <w:noWrap/>
            <w:vAlign w:val="center"/>
            <w:hideMark/>
          </w:tcPr>
          <w:p w14:paraId="3677D0FE"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11,5</w:t>
            </w:r>
          </w:p>
        </w:tc>
        <w:tc>
          <w:tcPr>
            <w:tcW w:w="692" w:type="pct"/>
            <w:shd w:val="clear" w:color="auto" w:fill="auto"/>
            <w:vAlign w:val="center"/>
            <w:hideMark/>
          </w:tcPr>
          <w:p w14:paraId="2D998222"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-4,2</w:t>
            </w:r>
          </w:p>
        </w:tc>
        <w:tc>
          <w:tcPr>
            <w:tcW w:w="692" w:type="pct"/>
            <w:shd w:val="clear" w:color="auto" w:fill="auto"/>
            <w:vAlign w:val="center"/>
            <w:hideMark/>
          </w:tcPr>
          <w:p w14:paraId="75220E5E"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-26,6</w:t>
            </w:r>
          </w:p>
        </w:tc>
        <w:tc>
          <w:tcPr>
            <w:tcW w:w="784" w:type="pct"/>
            <w:shd w:val="clear" w:color="auto" w:fill="auto"/>
            <w:noWrap/>
            <w:vAlign w:val="center"/>
            <w:hideMark/>
          </w:tcPr>
          <w:p w14:paraId="368E18F2"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0,2</w:t>
            </w:r>
          </w:p>
        </w:tc>
      </w:tr>
      <w:tr w:rsidR="009877EB" w:rsidRPr="00A37BCE" w14:paraId="5E2E1B63" w14:textId="77777777" w:rsidTr="003B0E3D">
        <w:trPr>
          <w:trHeight w:val="227"/>
        </w:trPr>
        <w:tc>
          <w:tcPr>
            <w:tcW w:w="1417" w:type="pct"/>
            <w:shd w:val="clear" w:color="auto" w:fill="E7E6E6" w:themeFill="background2"/>
            <w:noWrap/>
            <w:vAlign w:val="center"/>
            <w:hideMark/>
          </w:tcPr>
          <w:p w14:paraId="6A1CAFDB"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ЈАВНИ РАСХОДИ</w:t>
            </w:r>
          </w:p>
        </w:tc>
        <w:tc>
          <w:tcPr>
            <w:tcW w:w="692" w:type="pct"/>
            <w:shd w:val="clear" w:color="auto" w:fill="E7E6E6" w:themeFill="background2"/>
            <w:vAlign w:val="center"/>
            <w:hideMark/>
          </w:tcPr>
          <w:p w14:paraId="699344D7"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2.046,9</w:t>
            </w:r>
          </w:p>
        </w:tc>
        <w:tc>
          <w:tcPr>
            <w:tcW w:w="723" w:type="pct"/>
            <w:shd w:val="clear" w:color="auto" w:fill="E7E6E6" w:themeFill="background2"/>
            <w:noWrap/>
            <w:vAlign w:val="center"/>
            <w:hideMark/>
          </w:tcPr>
          <w:p w14:paraId="51C4D59B"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2.057,6</w:t>
            </w:r>
          </w:p>
        </w:tc>
        <w:tc>
          <w:tcPr>
            <w:tcW w:w="692" w:type="pct"/>
            <w:shd w:val="clear" w:color="auto" w:fill="E7E6E6" w:themeFill="background2"/>
            <w:vAlign w:val="center"/>
            <w:hideMark/>
          </w:tcPr>
          <w:p w14:paraId="07436B90"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10,7</w:t>
            </w:r>
          </w:p>
        </w:tc>
        <w:tc>
          <w:tcPr>
            <w:tcW w:w="692" w:type="pct"/>
            <w:shd w:val="clear" w:color="auto" w:fill="E7E6E6" w:themeFill="background2"/>
            <w:vAlign w:val="center"/>
            <w:hideMark/>
          </w:tcPr>
          <w:p w14:paraId="40821508"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0,5</w:t>
            </w:r>
          </w:p>
        </w:tc>
        <w:tc>
          <w:tcPr>
            <w:tcW w:w="784" w:type="pct"/>
            <w:shd w:val="clear" w:color="auto" w:fill="E7E6E6" w:themeFill="background2"/>
            <w:noWrap/>
            <w:vAlign w:val="center"/>
            <w:hideMark/>
          </w:tcPr>
          <w:p w14:paraId="596DA3B4"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40,6</w:t>
            </w:r>
          </w:p>
        </w:tc>
      </w:tr>
      <w:tr w:rsidR="009877EB" w:rsidRPr="00A37BCE" w14:paraId="7E64E8A2" w14:textId="77777777" w:rsidTr="003B0E3D">
        <w:trPr>
          <w:trHeight w:val="227"/>
        </w:trPr>
        <w:tc>
          <w:tcPr>
            <w:tcW w:w="1417" w:type="pct"/>
            <w:shd w:val="clear" w:color="auto" w:fill="auto"/>
            <w:noWrap/>
            <w:vAlign w:val="center"/>
            <w:hideMark/>
          </w:tcPr>
          <w:p w14:paraId="29DD8D7E"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Текући расходи</w:t>
            </w:r>
          </w:p>
        </w:tc>
        <w:tc>
          <w:tcPr>
            <w:tcW w:w="692" w:type="pct"/>
            <w:shd w:val="clear" w:color="auto" w:fill="auto"/>
            <w:vAlign w:val="center"/>
            <w:hideMark/>
          </w:tcPr>
          <w:p w14:paraId="3389DD29"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1.847,5</w:t>
            </w:r>
          </w:p>
        </w:tc>
        <w:tc>
          <w:tcPr>
            <w:tcW w:w="723" w:type="pct"/>
            <w:shd w:val="clear" w:color="auto" w:fill="auto"/>
            <w:noWrap/>
            <w:vAlign w:val="center"/>
            <w:hideMark/>
          </w:tcPr>
          <w:p w14:paraId="4AF64530"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1.844,7</w:t>
            </w:r>
          </w:p>
        </w:tc>
        <w:tc>
          <w:tcPr>
            <w:tcW w:w="692" w:type="pct"/>
            <w:shd w:val="clear" w:color="auto" w:fill="auto"/>
            <w:vAlign w:val="center"/>
            <w:hideMark/>
          </w:tcPr>
          <w:p w14:paraId="64C90D5D"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-2,8</w:t>
            </w:r>
          </w:p>
        </w:tc>
        <w:tc>
          <w:tcPr>
            <w:tcW w:w="692" w:type="pct"/>
            <w:shd w:val="clear" w:color="auto" w:fill="auto"/>
            <w:vAlign w:val="center"/>
            <w:hideMark/>
          </w:tcPr>
          <w:p w14:paraId="10129B34"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-0,2</w:t>
            </w:r>
          </w:p>
        </w:tc>
        <w:tc>
          <w:tcPr>
            <w:tcW w:w="784" w:type="pct"/>
            <w:shd w:val="clear" w:color="auto" w:fill="auto"/>
            <w:noWrap/>
            <w:vAlign w:val="center"/>
            <w:hideMark/>
          </w:tcPr>
          <w:p w14:paraId="34D8DB61"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36,4</w:t>
            </w:r>
          </w:p>
        </w:tc>
      </w:tr>
      <w:tr w:rsidR="009877EB" w:rsidRPr="00A37BCE" w14:paraId="27E3B7F7" w14:textId="77777777" w:rsidTr="003B0E3D">
        <w:trPr>
          <w:trHeight w:val="227"/>
        </w:trPr>
        <w:tc>
          <w:tcPr>
            <w:tcW w:w="1417" w:type="pct"/>
            <w:shd w:val="clear" w:color="auto" w:fill="auto"/>
            <w:noWrap/>
            <w:vAlign w:val="center"/>
            <w:hideMark/>
          </w:tcPr>
          <w:p w14:paraId="003D8B3D"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Расходи за запослене</w:t>
            </w:r>
          </w:p>
        </w:tc>
        <w:tc>
          <w:tcPr>
            <w:tcW w:w="692" w:type="pct"/>
            <w:shd w:val="clear" w:color="auto" w:fill="auto"/>
            <w:vAlign w:val="center"/>
            <w:hideMark/>
          </w:tcPr>
          <w:p w14:paraId="5413445A"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466,5</w:t>
            </w:r>
          </w:p>
        </w:tc>
        <w:tc>
          <w:tcPr>
            <w:tcW w:w="723" w:type="pct"/>
            <w:shd w:val="clear" w:color="auto" w:fill="auto"/>
            <w:noWrap/>
            <w:vAlign w:val="center"/>
            <w:hideMark/>
          </w:tcPr>
          <w:p w14:paraId="02321C73"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468,9</w:t>
            </w:r>
          </w:p>
        </w:tc>
        <w:tc>
          <w:tcPr>
            <w:tcW w:w="692" w:type="pct"/>
            <w:shd w:val="clear" w:color="auto" w:fill="auto"/>
            <w:vAlign w:val="center"/>
            <w:hideMark/>
          </w:tcPr>
          <w:p w14:paraId="577A0AEB"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2,4</w:t>
            </w:r>
          </w:p>
        </w:tc>
        <w:tc>
          <w:tcPr>
            <w:tcW w:w="692" w:type="pct"/>
            <w:shd w:val="clear" w:color="auto" w:fill="auto"/>
            <w:vAlign w:val="center"/>
            <w:hideMark/>
          </w:tcPr>
          <w:p w14:paraId="0001BA7C"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0,5</w:t>
            </w:r>
          </w:p>
        </w:tc>
        <w:tc>
          <w:tcPr>
            <w:tcW w:w="784" w:type="pct"/>
            <w:shd w:val="clear" w:color="auto" w:fill="auto"/>
            <w:noWrap/>
            <w:vAlign w:val="center"/>
            <w:hideMark/>
          </w:tcPr>
          <w:p w14:paraId="5D5BDABF"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9,2</w:t>
            </w:r>
          </w:p>
        </w:tc>
      </w:tr>
      <w:tr w:rsidR="009877EB" w:rsidRPr="00A37BCE" w14:paraId="12DBD0AB" w14:textId="77777777" w:rsidTr="003B0E3D">
        <w:trPr>
          <w:trHeight w:val="227"/>
        </w:trPr>
        <w:tc>
          <w:tcPr>
            <w:tcW w:w="1417" w:type="pct"/>
            <w:shd w:val="clear" w:color="auto" w:fill="auto"/>
            <w:noWrap/>
            <w:vAlign w:val="center"/>
            <w:hideMark/>
          </w:tcPr>
          <w:p w14:paraId="6615599E"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Куповина робе и услуга</w:t>
            </w:r>
          </w:p>
        </w:tc>
        <w:tc>
          <w:tcPr>
            <w:tcW w:w="692" w:type="pct"/>
            <w:shd w:val="clear" w:color="auto" w:fill="auto"/>
            <w:vAlign w:val="center"/>
            <w:hideMark/>
          </w:tcPr>
          <w:p w14:paraId="5C1BE8E6"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330,6</w:t>
            </w:r>
          </w:p>
        </w:tc>
        <w:tc>
          <w:tcPr>
            <w:tcW w:w="723" w:type="pct"/>
            <w:shd w:val="clear" w:color="auto" w:fill="auto"/>
            <w:noWrap/>
            <w:vAlign w:val="center"/>
            <w:hideMark/>
          </w:tcPr>
          <w:p w14:paraId="35C2ABFA"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339,5</w:t>
            </w:r>
          </w:p>
        </w:tc>
        <w:tc>
          <w:tcPr>
            <w:tcW w:w="692" w:type="pct"/>
            <w:shd w:val="clear" w:color="auto" w:fill="auto"/>
            <w:vAlign w:val="center"/>
            <w:hideMark/>
          </w:tcPr>
          <w:p w14:paraId="084C694B"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8,9</w:t>
            </w:r>
          </w:p>
        </w:tc>
        <w:tc>
          <w:tcPr>
            <w:tcW w:w="692" w:type="pct"/>
            <w:shd w:val="clear" w:color="auto" w:fill="auto"/>
            <w:vAlign w:val="center"/>
            <w:hideMark/>
          </w:tcPr>
          <w:p w14:paraId="7670230E"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2,7</w:t>
            </w:r>
          </w:p>
        </w:tc>
        <w:tc>
          <w:tcPr>
            <w:tcW w:w="784" w:type="pct"/>
            <w:shd w:val="clear" w:color="auto" w:fill="auto"/>
            <w:noWrap/>
            <w:vAlign w:val="center"/>
            <w:hideMark/>
          </w:tcPr>
          <w:p w14:paraId="46FDD4DC"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6,7</w:t>
            </w:r>
          </w:p>
        </w:tc>
      </w:tr>
      <w:tr w:rsidR="009877EB" w:rsidRPr="00A37BCE" w14:paraId="6945F4A1" w14:textId="77777777" w:rsidTr="003B0E3D">
        <w:trPr>
          <w:trHeight w:val="227"/>
        </w:trPr>
        <w:tc>
          <w:tcPr>
            <w:tcW w:w="1417" w:type="pct"/>
            <w:shd w:val="clear" w:color="auto" w:fill="auto"/>
            <w:noWrap/>
            <w:vAlign w:val="center"/>
            <w:hideMark/>
          </w:tcPr>
          <w:p w14:paraId="15E0F44F"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Отплата камата</w:t>
            </w:r>
          </w:p>
        </w:tc>
        <w:tc>
          <w:tcPr>
            <w:tcW w:w="692" w:type="pct"/>
            <w:shd w:val="clear" w:color="auto" w:fill="auto"/>
            <w:vAlign w:val="center"/>
            <w:hideMark/>
          </w:tcPr>
          <w:p w14:paraId="72093969"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120,9</w:t>
            </w:r>
          </w:p>
        </w:tc>
        <w:tc>
          <w:tcPr>
            <w:tcW w:w="723" w:type="pct"/>
            <w:shd w:val="clear" w:color="auto" w:fill="auto"/>
            <w:noWrap/>
            <w:vAlign w:val="center"/>
            <w:hideMark/>
          </w:tcPr>
          <w:p w14:paraId="66EC729E"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106,5</w:t>
            </w:r>
          </w:p>
        </w:tc>
        <w:tc>
          <w:tcPr>
            <w:tcW w:w="692" w:type="pct"/>
            <w:shd w:val="clear" w:color="auto" w:fill="auto"/>
            <w:vAlign w:val="center"/>
            <w:hideMark/>
          </w:tcPr>
          <w:p w14:paraId="17F612CF"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-14,4</w:t>
            </w:r>
          </w:p>
        </w:tc>
        <w:tc>
          <w:tcPr>
            <w:tcW w:w="692" w:type="pct"/>
            <w:shd w:val="clear" w:color="auto" w:fill="auto"/>
            <w:vAlign w:val="center"/>
            <w:hideMark/>
          </w:tcPr>
          <w:p w14:paraId="563C48E5"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-11,9</w:t>
            </w:r>
          </w:p>
        </w:tc>
        <w:tc>
          <w:tcPr>
            <w:tcW w:w="784" w:type="pct"/>
            <w:shd w:val="clear" w:color="auto" w:fill="auto"/>
            <w:noWrap/>
            <w:vAlign w:val="center"/>
            <w:hideMark/>
          </w:tcPr>
          <w:p w14:paraId="61C54DC9"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2,1</w:t>
            </w:r>
          </w:p>
        </w:tc>
      </w:tr>
      <w:tr w:rsidR="009877EB" w:rsidRPr="00A37BCE" w14:paraId="1596C67B" w14:textId="77777777" w:rsidTr="003B0E3D">
        <w:trPr>
          <w:trHeight w:val="227"/>
        </w:trPr>
        <w:tc>
          <w:tcPr>
            <w:tcW w:w="1417" w:type="pct"/>
            <w:shd w:val="clear" w:color="auto" w:fill="auto"/>
            <w:noWrap/>
            <w:vAlign w:val="center"/>
            <w:hideMark/>
          </w:tcPr>
          <w:p w14:paraId="3BC6B1CF"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Субвенције</w:t>
            </w:r>
          </w:p>
        </w:tc>
        <w:tc>
          <w:tcPr>
            <w:tcW w:w="692" w:type="pct"/>
            <w:shd w:val="clear" w:color="auto" w:fill="auto"/>
            <w:vAlign w:val="center"/>
            <w:hideMark/>
          </w:tcPr>
          <w:p w14:paraId="50A02C90"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113,6</w:t>
            </w:r>
          </w:p>
        </w:tc>
        <w:tc>
          <w:tcPr>
            <w:tcW w:w="723" w:type="pct"/>
            <w:shd w:val="clear" w:color="auto" w:fill="auto"/>
            <w:noWrap/>
            <w:vAlign w:val="center"/>
            <w:hideMark/>
          </w:tcPr>
          <w:p w14:paraId="2BDA6C67"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110,5</w:t>
            </w:r>
          </w:p>
        </w:tc>
        <w:tc>
          <w:tcPr>
            <w:tcW w:w="692" w:type="pct"/>
            <w:shd w:val="clear" w:color="auto" w:fill="auto"/>
            <w:vAlign w:val="center"/>
            <w:hideMark/>
          </w:tcPr>
          <w:p w14:paraId="757D67F5"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-3,1</w:t>
            </w:r>
          </w:p>
        </w:tc>
        <w:tc>
          <w:tcPr>
            <w:tcW w:w="692" w:type="pct"/>
            <w:shd w:val="clear" w:color="auto" w:fill="auto"/>
            <w:vAlign w:val="center"/>
            <w:hideMark/>
          </w:tcPr>
          <w:p w14:paraId="670A1936"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-2,7</w:t>
            </w:r>
          </w:p>
        </w:tc>
        <w:tc>
          <w:tcPr>
            <w:tcW w:w="784" w:type="pct"/>
            <w:shd w:val="clear" w:color="auto" w:fill="auto"/>
            <w:noWrap/>
            <w:vAlign w:val="center"/>
            <w:hideMark/>
          </w:tcPr>
          <w:p w14:paraId="09762C86"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2,2</w:t>
            </w:r>
          </w:p>
        </w:tc>
      </w:tr>
      <w:tr w:rsidR="009877EB" w:rsidRPr="00A37BCE" w14:paraId="15496116" w14:textId="77777777" w:rsidTr="003B0E3D">
        <w:trPr>
          <w:trHeight w:val="227"/>
        </w:trPr>
        <w:tc>
          <w:tcPr>
            <w:tcW w:w="1417" w:type="pct"/>
            <w:shd w:val="clear" w:color="auto" w:fill="auto"/>
            <w:noWrap/>
            <w:vAlign w:val="center"/>
            <w:hideMark/>
          </w:tcPr>
          <w:p w14:paraId="54492031"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Социјална помоћ и трансфери</w:t>
            </w:r>
          </w:p>
        </w:tc>
        <w:tc>
          <w:tcPr>
            <w:tcW w:w="692" w:type="pct"/>
            <w:shd w:val="clear" w:color="auto" w:fill="auto"/>
            <w:vAlign w:val="center"/>
            <w:hideMark/>
          </w:tcPr>
          <w:p w14:paraId="1464EAE5"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747,1</w:t>
            </w:r>
          </w:p>
        </w:tc>
        <w:tc>
          <w:tcPr>
            <w:tcW w:w="723" w:type="pct"/>
            <w:shd w:val="clear" w:color="auto" w:fill="auto"/>
            <w:noWrap/>
            <w:vAlign w:val="center"/>
            <w:hideMark/>
          </w:tcPr>
          <w:p w14:paraId="7E9406AA"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745,6</w:t>
            </w:r>
          </w:p>
        </w:tc>
        <w:tc>
          <w:tcPr>
            <w:tcW w:w="692" w:type="pct"/>
            <w:shd w:val="clear" w:color="auto" w:fill="auto"/>
            <w:vAlign w:val="center"/>
            <w:hideMark/>
          </w:tcPr>
          <w:p w14:paraId="0FD09FCC"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-1,5</w:t>
            </w:r>
          </w:p>
        </w:tc>
        <w:tc>
          <w:tcPr>
            <w:tcW w:w="692" w:type="pct"/>
            <w:shd w:val="clear" w:color="auto" w:fill="auto"/>
            <w:vAlign w:val="center"/>
            <w:hideMark/>
          </w:tcPr>
          <w:p w14:paraId="518F0849"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-0,2</w:t>
            </w:r>
          </w:p>
        </w:tc>
        <w:tc>
          <w:tcPr>
            <w:tcW w:w="784" w:type="pct"/>
            <w:shd w:val="clear" w:color="auto" w:fill="auto"/>
            <w:noWrap/>
            <w:vAlign w:val="center"/>
            <w:hideMark/>
          </w:tcPr>
          <w:p w14:paraId="773DB4AE"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14,7</w:t>
            </w:r>
          </w:p>
        </w:tc>
      </w:tr>
      <w:tr w:rsidR="009877EB" w:rsidRPr="00A37BCE" w14:paraId="0EA9040B" w14:textId="77777777" w:rsidTr="003B0E3D">
        <w:trPr>
          <w:trHeight w:val="227"/>
        </w:trPr>
        <w:tc>
          <w:tcPr>
            <w:tcW w:w="1417" w:type="pct"/>
            <w:shd w:val="clear" w:color="auto" w:fill="auto"/>
            <w:noWrap/>
            <w:vAlign w:val="center"/>
            <w:hideMark/>
          </w:tcPr>
          <w:p w14:paraId="3B1E55CB"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од чега пензије</w:t>
            </w:r>
          </w:p>
        </w:tc>
        <w:tc>
          <w:tcPr>
            <w:tcW w:w="692" w:type="pct"/>
            <w:shd w:val="clear" w:color="auto" w:fill="auto"/>
            <w:vAlign w:val="center"/>
            <w:hideMark/>
          </w:tcPr>
          <w:p w14:paraId="15CE2D8E"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527,0</w:t>
            </w:r>
          </w:p>
        </w:tc>
        <w:tc>
          <w:tcPr>
            <w:tcW w:w="723" w:type="pct"/>
            <w:shd w:val="clear" w:color="auto" w:fill="auto"/>
            <w:noWrap/>
            <w:vAlign w:val="center"/>
            <w:hideMark/>
          </w:tcPr>
          <w:p w14:paraId="21B66E24"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528,3</w:t>
            </w:r>
          </w:p>
        </w:tc>
        <w:tc>
          <w:tcPr>
            <w:tcW w:w="692" w:type="pct"/>
            <w:shd w:val="clear" w:color="auto" w:fill="auto"/>
            <w:vAlign w:val="center"/>
            <w:hideMark/>
          </w:tcPr>
          <w:p w14:paraId="6EAC0E7A"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1,3</w:t>
            </w:r>
          </w:p>
        </w:tc>
        <w:tc>
          <w:tcPr>
            <w:tcW w:w="692" w:type="pct"/>
            <w:shd w:val="clear" w:color="auto" w:fill="auto"/>
            <w:vAlign w:val="center"/>
            <w:hideMark/>
          </w:tcPr>
          <w:p w14:paraId="59B44F63"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0,2</w:t>
            </w:r>
          </w:p>
        </w:tc>
        <w:tc>
          <w:tcPr>
            <w:tcW w:w="784" w:type="pct"/>
            <w:shd w:val="clear" w:color="auto" w:fill="auto"/>
            <w:noWrap/>
            <w:vAlign w:val="center"/>
            <w:hideMark/>
          </w:tcPr>
          <w:p w14:paraId="7556668C"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10,4</w:t>
            </w:r>
          </w:p>
        </w:tc>
      </w:tr>
      <w:tr w:rsidR="009877EB" w:rsidRPr="00A37BCE" w14:paraId="2A7F99DF" w14:textId="77777777" w:rsidTr="003B0E3D">
        <w:trPr>
          <w:trHeight w:val="227"/>
        </w:trPr>
        <w:tc>
          <w:tcPr>
            <w:tcW w:w="1417" w:type="pct"/>
            <w:shd w:val="clear" w:color="auto" w:fill="auto"/>
            <w:noWrap/>
            <w:vAlign w:val="center"/>
            <w:hideMark/>
          </w:tcPr>
          <w:p w14:paraId="050CE527"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Остали текући расходи</w:t>
            </w:r>
          </w:p>
        </w:tc>
        <w:tc>
          <w:tcPr>
            <w:tcW w:w="692" w:type="pct"/>
            <w:shd w:val="clear" w:color="auto" w:fill="auto"/>
            <w:vAlign w:val="center"/>
            <w:hideMark/>
          </w:tcPr>
          <w:p w14:paraId="5ABFC3C3"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68,8</w:t>
            </w:r>
          </w:p>
        </w:tc>
        <w:tc>
          <w:tcPr>
            <w:tcW w:w="723" w:type="pct"/>
            <w:shd w:val="clear" w:color="auto" w:fill="auto"/>
            <w:noWrap/>
            <w:vAlign w:val="center"/>
            <w:hideMark/>
          </w:tcPr>
          <w:p w14:paraId="09C5EB55"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73,7</w:t>
            </w:r>
          </w:p>
        </w:tc>
        <w:tc>
          <w:tcPr>
            <w:tcW w:w="692" w:type="pct"/>
            <w:shd w:val="clear" w:color="auto" w:fill="auto"/>
            <w:vAlign w:val="center"/>
            <w:hideMark/>
          </w:tcPr>
          <w:p w14:paraId="08E1C70B"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4,9</w:t>
            </w:r>
          </w:p>
        </w:tc>
        <w:tc>
          <w:tcPr>
            <w:tcW w:w="692" w:type="pct"/>
            <w:shd w:val="clear" w:color="auto" w:fill="auto"/>
            <w:vAlign w:val="center"/>
            <w:hideMark/>
          </w:tcPr>
          <w:p w14:paraId="589D9616"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7,1</w:t>
            </w:r>
          </w:p>
        </w:tc>
        <w:tc>
          <w:tcPr>
            <w:tcW w:w="784" w:type="pct"/>
            <w:shd w:val="clear" w:color="auto" w:fill="auto"/>
            <w:noWrap/>
            <w:vAlign w:val="center"/>
            <w:hideMark/>
          </w:tcPr>
          <w:p w14:paraId="3093A076"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1,5</w:t>
            </w:r>
          </w:p>
        </w:tc>
      </w:tr>
      <w:tr w:rsidR="009877EB" w:rsidRPr="00A37BCE" w14:paraId="0B7CD7B9" w14:textId="77777777" w:rsidTr="003B0E3D">
        <w:trPr>
          <w:trHeight w:val="227"/>
        </w:trPr>
        <w:tc>
          <w:tcPr>
            <w:tcW w:w="1417" w:type="pct"/>
            <w:shd w:val="clear" w:color="auto" w:fill="auto"/>
            <w:noWrap/>
            <w:vAlign w:val="center"/>
            <w:hideMark/>
          </w:tcPr>
          <w:p w14:paraId="7C3ED307"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Капитални расходи</w:t>
            </w:r>
          </w:p>
        </w:tc>
        <w:tc>
          <w:tcPr>
            <w:tcW w:w="692" w:type="pct"/>
            <w:shd w:val="clear" w:color="auto" w:fill="auto"/>
            <w:vAlign w:val="center"/>
            <w:hideMark/>
          </w:tcPr>
          <w:p w14:paraId="1132BDA4"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172,1</w:t>
            </w:r>
          </w:p>
        </w:tc>
        <w:tc>
          <w:tcPr>
            <w:tcW w:w="723" w:type="pct"/>
            <w:shd w:val="clear" w:color="auto" w:fill="auto"/>
            <w:noWrap/>
            <w:vAlign w:val="center"/>
            <w:hideMark/>
          </w:tcPr>
          <w:p w14:paraId="62A1E710"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183,7</w:t>
            </w:r>
          </w:p>
        </w:tc>
        <w:tc>
          <w:tcPr>
            <w:tcW w:w="692" w:type="pct"/>
            <w:shd w:val="clear" w:color="auto" w:fill="auto"/>
            <w:vAlign w:val="center"/>
            <w:hideMark/>
          </w:tcPr>
          <w:p w14:paraId="782A2A46"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11,6</w:t>
            </w:r>
          </w:p>
        </w:tc>
        <w:tc>
          <w:tcPr>
            <w:tcW w:w="692" w:type="pct"/>
            <w:shd w:val="clear" w:color="auto" w:fill="auto"/>
            <w:vAlign w:val="center"/>
            <w:hideMark/>
          </w:tcPr>
          <w:p w14:paraId="04A4BAFE"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6,8</w:t>
            </w:r>
          </w:p>
        </w:tc>
        <w:tc>
          <w:tcPr>
            <w:tcW w:w="784" w:type="pct"/>
            <w:shd w:val="clear" w:color="auto" w:fill="auto"/>
            <w:noWrap/>
            <w:vAlign w:val="center"/>
            <w:hideMark/>
          </w:tcPr>
          <w:p w14:paraId="3EA6439E"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3,6</w:t>
            </w:r>
          </w:p>
        </w:tc>
      </w:tr>
      <w:tr w:rsidR="009877EB" w:rsidRPr="00A37BCE" w14:paraId="34EF771A" w14:textId="77777777" w:rsidTr="003B0E3D">
        <w:trPr>
          <w:trHeight w:val="227"/>
        </w:trPr>
        <w:tc>
          <w:tcPr>
            <w:tcW w:w="1417" w:type="pct"/>
            <w:shd w:val="clear" w:color="auto" w:fill="auto"/>
            <w:noWrap/>
            <w:vAlign w:val="center"/>
            <w:hideMark/>
          </w:tcPr>
          <w:p w14:paraId="4F6C8715"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Нето буџетске позајмице</w:t>
            </w:r>
          </w:p>
        </w:tc>
        <w:tc>
          <w:tcPr>
            <w:tcW w:w="692" w:type="pct"/>
            <w:shd w:val="clear" w:color="auto" w:fill="auto"/>
            <w:vAlign w:val="center"/>
            <w:hideMark/>
          </w:tcPr>
          <w:p w14:paraId="11871749"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6,3</w:t>
            </w:r>
          </w:p>
        </w:tc>
        <w:tc>
          <w:tcPr>
            <w:tcW w:w="723" w:type="pct"/>
            <w:shd w:val="clear" w:color="auto" w:fill="auto"/>
            <w:noWrap/>
            <w:vAlign w:val="center"/>
            <w:hideMark/>
          </w:tcPr>
          <w:p w14:paraId="0694F928"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9,2</w:t>
            </w:r>
          </w:p>
        </w:tc>
        <w:tc>
          <w:tcPr>
            <w:tcW w:w="692" w:type="pct"/>
            <w:shd w:val="clear" w:color="auto" w:fill="auto"/>
            <w:vAlign w:val="center"/>
            <w:hideMark/>
          </w:tcPr>
          <w:p w14:paraId="1C271866"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2,9</w:t>
            </w:r>
          </w:p>
        </w:tc>
        <w:tc>
          <w:tcPr>
            <w:tcW w:w="692" w:type="pct"/>
            <w:shd w:val="clear" w:color="auto" w:fill="auto"/>
            <w:vAlign w:val="center"/>
            <w:hideMark/>
          </w:tcPr>
          <w:p w14:paraId="22DFC29E"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46,0</w:t>
            </w:r>
          </w:p>
        </w:tc>
        <w:tc>
          <w:tcPr>
            <w:tcW w:w="784" w:type="pct"/>
            <w:shd w:val="clear" w:color="auto" w:fill="auto"/>
            <w:noWrap/>
            <w:vAlign w:val="center"/>
            <w:hideMark/>
          </w:tcPr>
          <w:p w14:paraId="7D39FEC3"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0,2</w:t>
            </w:r>
          </w:p>
        </w:tc>
      </w:tr>
      <w:tr w:rsidR="009877EB" w:rsidRPr="00A37BCE" w14:paraId="48E1249D" w14:textId="77777777" w:rsidTr="003B0E3D">
        <w:trPr>
          <w:trHeight w:val="227"/>
        </w:trPr>
        <w:tc>
          <w:tcPr>
            <w:tcW w:w="1417" w:type="pct"/>
            <w:shd w:val="clear" w:color="auto" w:fill="auto"/>
            <w:noWrap/>
            <w:vAlign w:val="center"/>
            <w:hideMark/>
          </w:tcPr>
          <w:p w14:paraId="61B8E873"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Активиране гаранције</w:t>
            </w:r>
          </w:p>
        </w:tc>
        <w:tc>
          <w:tcPr>
            <w:tcW w:w="692" w:type="pct"/>
            <w:shd w:val="clear" w:color="auto" w:fill="auto"/>
            <w:vAlign w:val="center"/>
            <w:hideMark/>
          </w:tcPr>
          <w:p w14:paraId="0DBA72F9"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21,0</w:t>
            </w:r>
          </w:p>
        </w:tc>
        <w:tc>
          <w:tcPr>
            <w:tcW w:w="723" w:type="pct"/>
            <w:shd w:val="clear" w:color="auto" w:fill="auto"/>
            <w:noWrap/>
            <w:vAlign w:val="center"/>
            <w:hideMark/>
          </w:tcPr>
          <w:p w14:paraId="44D98336"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20,0</w:t>
            </w:r>
          </w:p>
        </w:tc>
        <w:tc>
          <w:tcPr>
            <w:tcW w:w="692" w:type="pct"/>
            <w:shd w:val="clear" w:color="auto" w:fill="auto"/>
            <w:vAlign w:val="center"/>
            <w:hideMark/>
          </w:tcPr>
          <w:p w14:paraId="678B96C4"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-1,0</w:t>
            </w:r>
          </w:p>
        </w:tc>
        <w:tc>
          <w:tcPr>
            <w:tcW w:w="692" w:type="pct"/>
            <w:shd w:val="clear" w:color="auto" w:fill="auto"/>
            <w:vAlign w:val="center"/>
            <w:hideMark/>
          </w:tcPr>
          <w:p w14:paraId="7123C979"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-4,8</w:t>
            </w:r>
          </w:p>
        </w:tc>
        <w:tc>
          <w:tcPr>
            <w:tcW w:w="784" w:type="pct"/>
            <w:shd w:val="clear" w:color="auto" w:fill="auto"/>
            <w:noWrap/>
            <w:vAlign w:val="center"/>
            <w:hideMark/>
          </w:tcPr>
          <w:p w14:paraId="04F512DC"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0,4</w:t>
            </w:r>
          </w:p>
        </w:tc>
      </w:tr>
      <w:tr w:rsidR="009877EB" w:rsidRPr="00A37BCE" w14:paraId="2868E0EE" w14:textId="77777777" w:rsidTr="003B0E3D">
        <w:trPr>
          <w:trHeight w:val="227"/>
        </w:trPr>
        <w:tc>
          <w:tcPr>
            <w:tcW w:w="1417" w:type="pct"/>
            <w:shd w:val="clear" w:color="auto" w:fill="E7E6E6" w:themeFill="background2"/>
            <w:noWrap/>
            <w:vAlign w:val="center"/>
            <w:hideMark/>
          </w:tcPr>
          <w:p w14:paraId="004678B3"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Резултат</w:t>
            </w:r>
          </w:p>
        </w:tc>
        <w:tc>
          <w:tcPr>
            <w:tcW w:w="692" w:type="pct"/>
            <w:shd w:val="clear" w:color="auto" w:fill="E7E6E6" w:themeFill="background2"/>
            <w:vAlign w:val="center"/>
            <w:hideMark/>
          </w:tcPr>
          <w:p w14:paraId="2A912074"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-32,0</w:t>
            </w:r>
          </w:p>
        </w:tc>
        <w:tc>
          <w:tcPr>
            <w:tcW w:w="723" w:type="pct"/>
            <w:shd w:val="clear" w:color="auto" w:fill="E7E6E6" w:themeFill="background2"/>
            <w:noWrap/>
            <w:vAlign w:val="center"/>
            <w:hideMark/>
          </w:tcPr>
          <w:p w14:paraId="1C96C92D"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28,0</w:t>
            </w:r>
          </w:p>
        </w:tc>
        <w:tc>
          <w:tcPr>
            <w:tcW w:w="692" w:type="pct"/>
            <w:shd w:val="clear" w:color="auto" w:fill="E7E6E6" w:themeFill="background2"/>
            <w:vAlign w:val="center"/>
            <w:hideMark/>
          </w:tcPr>
          <w:p w14:paraId="5FB08CB3"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59,9</w:t>
            </w:r>
          </w:p>
        </w:tc>
        <w:tc>
          <w:tcPr>
            <w:tcW w:w="692" w:type="pct"/>
            <w:shd w:val="clear" w:color="auto" w:fill="E7E6E6" w:themeFill="background2"/>
            <w:vAlign w:val="center"/>
            <w:hideMark/>
          </w:tcPr>
          <w:p w14:paraId="1312A890"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 </w:t>
            </w:r>
          </w:p>
        </w:tc>
        <w:tc>
          <w:tcPr>
            <w:tcW w:w="784" w:type="pct"/>
            <w:shd w:val="clear" w:color="auto" w:fill="E7E6E6" w:themeFill="background2"/>
            <w:noWrap/>
            <w:vAlign w:val="center"/>
            <w:hideMark/>
          </w:tcPr>
          <w:p w14:paraId="4DD9679D"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0,6</w:t>
            </w:r>
          </w:p>
        </w:tc>
      </w:tr>
      <w:tr w:rsidR="009877EB" w:rsidRPr="00A37BCE" w14:paraId="38F42660" w14:textId="77777777" w:rsidTr="003B0E3D">
        <w:trPr>
          <w:trHeight w:val="227"/>
        </w:trPr>
        <w:tc>
          <w:tcPr>
            <w:tcW w:w="1417" w:type="pct"/>
            <w:tcBorders>
              <w:bottom w:val="single" w:sz="4" w:space="0" w:color="002060"/>
            </w:tcBorders>
            <w:shd w:val="clear" w:color="auto" w:fill="auto"/>
            <w:noWrap/>
            <w:vAlign w:val="center"/>
            <w:hideMark/>
          </w:tcPr>
          <w:p w14:paraId="5A89DDB4"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Резултат у % БДП</w:t>
            </w:r>
          </w:p>
        </w:tc>
        <w:tc>
          <w:tcPr>
            <w:tcW w:w="692" w:type="pct"/>
            <w:tcBorders>
              <w:bottom w:val="single" w:sz="4" w:space="0" w:color="002060"/>
            </w:tcBorders>
            <w:shd w:val="clear" w:color="auto" w:fill="auto"/>
            <w:vAlign w:val="center"/>
            <w:hideMark/>
          </w:tcPr>
          <w:p w14:paraId="760B3B06"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-0,6</w:t>
            </w:r>
          </w:p>
        </w:tc>
        <w:tc>
          <w:tcPr>
            <w:tcW w:w="723" w:type="pct"/>
            <w:tcBorders>
              <w:bottom w:val="single" w:sz="4" w:space="0" w:color="002060"/>
            </w:tcBorders>
            <w:shd w:val="clear" w:color="auto" w:fill="auto"/>
            <w:vAlign w:val="center"/>
            <w:hideMark/>
          </w:tcPr>
          <w:p w14:paraId="27E43FF4"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0,6</w:t>
            </w:r>
          </w:p>
        </w:tc>
        <w:tc>
          <w:tcPr>
            <w:tcW w:w="692" w:type="pct"/>
            <w:tcBorders>
              <w:bottom w:val="single" w:sz="4" w:space="0" w:color="002060"/>
            </w:tcBorders>
            <w:shd w:val="clear" w:color="auto" w:fill="auto"/>
            <w:vAlign w:val="center"/>
            <w:hideMark/>
          </w:tcPr>
          <w:p w14:paraId="7A764755"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1,2</w:t>
            </w:r>
          </w:p>
        </w:tc>
        <w:tc>
          <w:tcPr>
            <w:tcW w:w="692" w:type="pct"/>
            <w:tcBorders>
              <w:bottom w:val="single" w:sz="4" w:space="0" w:color="002060"/>
            </w:tcBorders>
            <w:shd w:val="clear" w:color="auto" w:fill="auto"/>
            <w:vAlign w:val="center"/>
            <w:hideMark/>
          </w:tcPr>
          <w:p w14:paraId="269B83F6"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 </w:t>
            </w:r>
          </w:p>
        </w:tc>
        <w:tc>
          <w:tcPr>
            <w:tcW w:w="784" w:type="pct"/>
            <w:tcBorders>
              <w:bottom w:val="single" w:sz="4" w:space="0" w:color="002060"/>
            </w:tcBorders>
            <w:shd w:val="clear" w:color="auto" w:fill="auto"/>
            <w:vAlign w:val="center"/>
            <w:hideMark/>
          </w:tcPr>
          <w:p w14:paraId="3722466A"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 </w:t>
            </w:r>
          </w:p>
        </w:tc>
      </w:tr>
    </w:tbl>
    <w:p w14:paraId="097110DD" w14:textId="77777777" w:rsidR="009877EB" w:rsidRPr="00A37BCE" w:rsidRDefault="009877EB" w:rsidP="009877EB">
      <w:pPr>
        <w:spacing w:after="120" w:line="240" w:lineRule="auto"/>
        <w:jc w:val="both"/>
        <w:rPr>
          <w:rFonts w:eastAsia="MS PGothic" w:cstheme="minorHAnsi"/>
          <w:color w:val="000000" w:themeColor="text1"/>
          <w:sz w:val="20"/>
          <w:szCs w:val="20"/>
          <w:lang w:val="sr-Cyrl-RS" w:eastAsia="ja-JP"/>
        </w:rPr>
        <w:sectPr w:rsidR="009877EB" w:rsidRPr="00A37BCE" w:rsidSect="00BA4876">
          <w:type w:val="continuous"/>
          <w:pgSz w:w="12240" w:h="15840"/>
          <w:pgMar w:top="1440" w:right="1440" w:bottom="1440" w:left="1440" w:header="720" w:footer="720" w:gutter="0"/>
          <w:cols w:space="720"/>
          <w:docGrid w:linePitch="360"/>
        </w:sectPr>
      </w:pPr>
      <w:r w:rsidRPr="00A37BCE">
        <w:rPr>
          <w:rFonts w:eastAsia="Calibri" w:cstheme="minorHAnsi"/>
          <w:bCs/>
          <w:color w:val="44546A" w:themeColor="text2"/>
          <w:sz w:val="16"/>
          <w:szCs w:val="20"/>
          <w:lang w:val="sr-Cyrl-RS" w:eastAsia="ja-JP"/>
        </w:rPr>
        <w:t xml:space="preserve">Извор: </w:t>
      </w:r>
      <w:r w:rsidRPr="00A37BCE">
        <w:rPr>
          <w:rFonts w:cstheme="minorHAnsi"/>
          <w:color w:val="44546A" w:themeColor="text2"/>
          <w:sz w:val="16"/>
          <w:szCs w:val="20"/>
          <w:lang w:val="sr-Cyrl-RS"/>
        </w:rPr>
        <w:t>Министарство финансија</w:t>
      </w:r>
    </w:p>
    <w:p w14:paraId="51A0958C" w14:textId="492237DC" w:rsidR="009877EB" w:rsidRPr="00A37BCE" w:rsidRDefault="009877EB" w:rsidP="009877EB">
      <w:pPr>
        <w:widowControl w:val="0"/>
        <w:spacing w:after="120" w:line="276" w:lineRule="auto"/>
        <w:jc w:val="both"/>
        <w:rPr>
          <w:rFonts w:eastAsia="MS PGothic" w:cstheme="minorHAnsi"/>
          <w:color w:val="44546A" w:themeColor="text2"/>
          <w:sz w:val="20"/>
          <w:szCs w:val="20"/>
          <w:lang w:val="sr-Cyrl-RS" w:eastAsia="ja-JP"/>
        </w:rPr>
      </w:pPr>
      <w:bookmarkStart w:id="12" w:name="_Hlk529657292"/>
      <w:r w:rsidRPr="00A37BCE">
        <w:rPr>
          <w:rFonts w:eastAsia="MS PGothic" w:cstheme="minorHAnsi"/>
          <w:color w:val="44546A" w:themeColor="text2"/>
          <w:sz w:val="20"/>
          <w:szCs w:val="20"/>
          <w:lang w:val="sr-Cyrl-RS" w:eastAsia="ja-JP"/>
        </w:rPr>
        <w:lastRenderedPageBreak/>
        <w:t xml:space="preserve">Кретања на тржишту рада током 2018. године, раст просечних зарада, запослености, и последично </w:t>
      </w:r>
      <w:r w:rsidRPr="00A37BCE">
        <w:rPr>
          <w:rFonts w:eastAsia="MS PGothic" w:cstheme="minorHAnsi"/>
          <w:color w:val="44546A" w:themeColor="text2"/>
          <w:sz w:val="20"/>
          <w:szCs w:val="20"/>
          <w:lang w:val="sr-Cyrl-RS" w:eastAsia="ja-JP"/>
        </w:rPr>
        <w:lastRenderedPageBreak/>
        <w:t>раст потрошње, утицал</w:t>
      </w:r>
      <w:r w:rsidR="00BB1858" w:rsidRPr="00A37BCE">
        <w:rPr>
          <w:rFonts w:eastAsia="MS PGothic" w:cstheme="minorHAnsi"/>
          <w:color w:val="44546A" w:themeColor="text2"/>
          <w:sz w:val="20"/>
          <w:szCs w:val="20"/>
          <w:lang w:val="sr-Cyrl-RS" w:eastAsia="ja-JP"/>
        </w:rPr>
        <w:t>и</w:t>
      </w:r>
      <w:r w:rsidRPr="00A37BCE">
        <w:rPr>
          <w:rFonts w:eastAsia="MS PGothic" w:cstheme="minorHAnsi"/>
          <w:color w:val="44546A" w:themeColor="text2"/>
          <w:sz w:val="20"/>
          <w:szCs w:val="20"/>
          <w:lang w:val="sr-Cyrl-RS" w:eastAsia="ja-JP"/>
        </w:rPr>
        <w:t xml:space="preserve"> су позитивно на приходе по основу пореза на доходак и доприноса за </w:t>
      </w:r>
      <w:r w:rsidRPr="00A37BCE">
        <w:rPr>
          <w:rFonts w:eastAsia="MS PGothic" w:cstheme="minorHAnsi"/>
          <w:color w:val="44546A" w:themeColor="text2"/>
          <w:sz w:val="20"/>
          <w:szCs w:val="20"/>
          <w:lang w:val="sr-Cyrl-RS" w:eastAsia="ja-JP"/>
        </w:rPr>
        <w:lastRenderedPageBreak/>
        <w:t>обавезно социјално осигурање. Раст исплаћене масе зарада током осам месеци 2018. године од преко 9% у складу је са оствареним растом прихода од доприноса за обавезно социјално осигурање и пореза на зараде. Изузимајући сезонска кретања, месечне стопе раста ових приходних облика бележиле су стабилну узлазну путању. До краја 2018. године процењује се укупна наплата на нивоу вишем од прв</w:t>
      </w:r>
      <w:r w:rsidR="004201B0">
        <w:rPr>
          <w:rFonts w:eastAsia="MS PGothic" w:cstheme="minorHAnsi"/>
          <w:color w:val="44546A" w:themeColor="text2"/>
          <w:sz w:val="20"/>
          <w:szCs w:val="20"/>
          <w:lang w:val="sr-Cyrl-RS" w:eastAsia="ja-JP"/>
        </w:rPr>
        <w:t>обитног плана за 21,1 млрд РСД.</w:t>
      </w:r>
    </w:p>
    <w:p w14:paraId="1895FC98" w14:textId="40626B21" w:rsidR="009877EB" w:rsidRPr="00A37BCE" w:rsidRDefault="009877EB" w:rsidP="009877EB">
      <w:pPr>
        <w:widowControl w:val="0"/>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У домену контроле и побољшања ефикасности наплате ПДВ постигнути су одлични резултати, током 2015. и 2016. године, док је током 2017. и 2018. године ефикасност наплате стабилизована на достигнутом нивоу. Главне детерминанте наплате ПДВ су укупна висина потрошње (C), ефективна пореска стопа и ефикасност наплате (C-efficiency). ПДВ је по величини други порески облик у укупним јавним приходима, а на његово кретање утичу и фактори као што су кредитна активност, кретање осталих извора дохотка, ефикасност наплате и обим сиве економије, структура потро</w:t>
      </w:r>
      <w:r w:rsidR="004201B0">
        <w:rPr>
          <w:rFonts w:eastAsia="MS PGothic" w:cstheme="minorHAnsi"/>
          <w:color w:val="44546A" w:themeColor="text2"/>
          <w:sz w:val="20"/>
          <w:szCs w:val="20"/>
          <w:lang w:val="sr-Cyrl-RS" w:eastAsia="ja-JP"/>
        </w:rPr>
        <w:t>шње и спољнотрговинске размене.</w:t>
      </w:r>
    </w:p>
    <w:p w14:paraId="4D0819CD" w14:textId="427A5FA7" w:rsidR="009877EB" w:rsidRPr="00A37BCE" w:rsidRDefault="009877EB" w:rsidP="009877EB">
      <w:pPr>
        <w:widowControl w:val="0"/>
        <w:tabs>
          <w:tab w:val="left" w:pos="0"/>
        </w:tabs>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Бруто наплата ПДВ забележиће у 2018. години раст од преко 8%, што је у оквирима раста масе исплаћених зарада и у мањој мери превазилази очекивања. Зараде нису једини извор расположивог дохотка већ су то и пензије, кредити, дознаке, штедња, социјална давања, приходи паушалних обвезника, приходи од туризма, транзита итд. Кретање бруто наплате такође је, у доброј мери, вођено и извозном тражњом и то преко домаће и увозне компоненте у реализованом извозу. Приметно је да значај осталих извора дохотка, односно потрошње у целини, постепено расте. То су позитивне промене које указују и на степен отворености домаће економије. Са друге стране ту лежи и известан ризик по наплату у будућем периоду уколико би дошло до успоравања економске активности која је под утицајем екстерних фактора. Важну групу фактора која делује на бруто наплату ПДВ чине и структура потрошње (ефективна пореска стопа) и ефикасност наплате (</w:t>
      </w:r>
      <w:r w:rsidRPr="00231623">
        <w:rPr>
          <w:rFonts w:eastAsia="MS PGothic" w:cstheme="minorHAnsi"/>
          <w:i/>
          <w:color w:val="44546A" w:themeColor="text2"/>
          <w:sz w:val="20"/>
          <w:szCs w:val="20"/>
          <w:lang w:val="sr-Cyrl-RS" w:eastAsia="ja-JP"/>
        </w:rPr>
        <w:t>C-efficiency</w:t>
      </w:r>
      <w:r w:rsidRPr="00A37BCE">
        <w:rPr>
          <w:rFonts w:eastAsia="MS PGothic" w:cstheme="minorHAnsi"/>
          <w:color w:val="44546A" w:themeColor="text2"/>
          <w:sz w:val="20"/>
          <w:szCs w:val="20"/>
          <w:lang w:val="sr-Cyrl-RS" w:eastAsia="ja-JP"/>
        </w:rPr>
        <w:t xml:space="preserve">). Ефективна </w:t>
      </w:r>
      <w:r w:rsidRPr="00A37BCE">
        <w:rPr>
          <w:rFonts w:eastAsia="MS PGothic" w:cstheme="minorHAnsi"/>
          <w:color w:val="44546A" w:themeColor="text2"/>
          <w:sz w:val="20"/>
          <w:szCs w:val="20"/>
          <w:lang w:val="sr-Cyrl-RS" w:eastAsia="ja-JP"/>
        </w:rPr>
        <w:lastRenderedPageBreak/>
        <w:t>пореска стопа бележи благи тренд раста, што између осталог указује да се структура потрошње повећава у корист производа са општом ПДВ стопом. Имајући у виду да се пореска политика у овом домену није значајније мењала у последњих пет година, благи раст ефективне пореске стопе резултат је повећања ж</w:t>
      </w:r>
      <w:r w:rsidR="004201B0">
        <w:rPr>
          <w:rFonts w:eastAsia="MS PGothic" w:cstheme="minorHAnsi"/>
          <w:color w:val="44546A" w:themeColor="text2"/>
          <w:sz w:val="20"/>
          <w:szCs w:val="20"/>
          <w:lang w:val="sr-Cyrl-RS" w:eastAsia="ja-JP"/>
        </w:rPr>
        <w:t>ивотног стандарда становништва.</w:t>
      </w:r>
    </w:p>
    <w:p w14:paraId="4AD2AB5C" w14:textId="448AAEE0" w:rsidR="009877EB" w:rsidRPr="00A37BCE" w:rsidRDefault="009877EB" w:rsidP="009877EB">
      <w:pPr>
        <w:widowControl w:val="0"/>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Пројекција прихода од ПДВ није промењена у односу на буџетски план за 2018. годину. Нето приход од ПДВ биће на нивоу плана за 2018. годину, док ће део раста бруто наплате изнад планираног бити компензован променама у динамици исплате ПДВ повраћаја. Један део обавеза по основу ПДВ повраћаја је, по календару и роковима доспећа, исплаћен на почетку 2018. године. Убрзање исплате резултат је повећане ефикасности и боље орган</w:t>
      </w:r>
      <w:r w:rsidR="004201B0">
        <w:rPr>
          <w:rFonts w:eastAsia="MS PGothic" w:cstheme="minorHAnsi"/>
          <w:color w:val="44546A" w:themeColor="text2"/>
          <w:sz w:val="20"/>
          <w:szCs w:val="20"/>
          <w:lang w:val="sr-Cyrl-RS" w:eastAsia="ja-JP"/>
        </w:rPr>
        <w:t>изоване контроле у овом домену.</w:t>
      </w:r>
    </w:p>
    <w:p w14:paraId="0F04B2C1" w14:textId="3AAAC2D3" w:rsidR="009877EB" w:rsidRPr="00A37BCE" w:rsidRDefault="009877EB" w:rsidP="009877EB">
      <w:pPr>
        <w:widowControl w:val="0"/>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Наплата прихода од акциза је на нивоу који је био планиран буџетом за 2018. годину. И по висини и по структури, приходи од акциза, уз мање осцилације, у 2018. години одговарају првобитно процењеним. Претпоставке које су коришћене приликом пројекција су биле конзервативне и у овом случају су се показале као оправдане. Приходи од акциза обухватају четири главне категорије и то: акцизе на нафтне деривате, дуванске производе, електричну енергију и остале (алкохол и кафа). Буџетска пројекција прихода за 2018. годину није претпостављала раст потрошње акцизних производа, већ се заснивала на редовном у</w:t>
      </w:r>
      <w:r w:rsidR="004201B0">
        <w:rPr>
          <w:rFonts w:eastAsia="MS PGothic" w:cstheme="minorHAnsi"/>
          <w:color w:val="44546A" w:themeColor="text2"/>
          <w:sz w:val="20"/>
          <w:szCs w:val="20"/>
          <w:lang w:val="sr-Cyrl-RS" w:eastAsia="ja-JP"/>
        </w:rPr>
        <w:t>склађивању акцизног оптерећења.</w:t>
      </w:r>
    </w:p>
    <w:p w14:paraId="424A50C8" w14:textId="429F22A3" w:rsidR="009877EB" w:rsidRPr="00A37BCE" w:rsidRDefault="009877EB" w:rsidP="009877EB">
      <w:pPr>
        <w:widowControl w:val="0"/>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 xml:space="preserve">Приходи од царине бележе планиран раст, а њихова динамика не прати у потпуности кретање увозног ПДВ. Приходи од царина, у случају да нема измена у царинским стопама, стандардно прате кретање увоза и промене девизног курса. Међутим, током 2017. и 2018. године стопа раста прихода од царина нижа је од раста увозног ПДВ. Док увозни ПДВ прати динамику увоза и зависи како од обима, тако и од увозних цена и међувалутних односа, код оцене кретања прихода од царина значајан фактор је и сама структура увоза. Наиме, различити трговински уговори, </w:t>
      </w:r>
      <w:r w:rsidRPr="00A37BCE">
        <w:rPr>
          <w:rFonts w:eastAsia="MS PGothic" w:cstheme="minorHAnsi"/>
          <w:color w:val="44546A" w:themeColor="text2"/>
          <w:sz w:val="20"/>
          <w:szCs w:val="20"/>
          <w:lang w:val="sr-Cyrl-RS" w:eastAsia="ja-JP"/>
        </w:rPr>
        <w:lastRenderedPageBreak/>
        <w:t>режими бесцаринског увоза одређених категорија роба, измене царинске тарифе и сл., као и промена у структури увоза, делују на ниво наплате прихода од царина. У претходном периоду дошло је до раста увоза робе на коју се не наплаћују царинске дажбине, па је стога одступање од укупне стопе раста увоза</w:t>
      </w:r>
      <w:r w:rsidR="00F7377B">
        <w:rPr>
          <w:rFonts w:eastAsia="MS PGothic" w:cstheme="minorHAnsi"/>
          <w:color w:val="44546A" w:themeColor="text2"/>
          <w:sz w:val="20"/>
          <w:szCs w:val="20"/>
          <w:lang w:val="sr-Cyrl-RS" w:eastAsia="ja-JP"/>
        </w:rPr>
        <w:t xml:space="preserve"> и стопе раста ПДВ знатно веће.</w:t>
      </w:r>
    </w:p>
    <w:p w14:paraId="3809EB1D" w14:textId="395F4603" w:rsidR="009877EB" w:rsidRPr="00A37BCE" w:rsidRDefault="009877EB" w:rsidP="009877EB">
      <w:pPr>
        <w:widowControl w:val="0"/>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 xml:space="preserve">Пројекција пореза на добит правних лица значајније је повећана у односу на план, те ће наплата овог пореског облика бити већа за 19 млрд динара. Порез на добит је најволатилнија ставка јавних прихода и привредни раст није увек најпоузданији индикатор наплате овог пореског облика. Пошто коначни подаци о профитабилности нису познати током израде пројекција за наредну годину, пракса је да се у те сврхе претпостави да је она непромењена, и да се прихвати одређена доза ризика у </w:t>
      </w:r>
      <w:r w:rsidR="00F7377B">
        <w:rPr>
          <w:rFonts w:eastAsia="MS PGothic" w:cstheme="minorHAnsi"/>
          <w:color w:val="44546A" w:themeColor="text2"/>
          <w:sz w:val="20"/>
          <w:szCs w:val="20"/>
          <w:lang w:val="sr-Cyrl-RS" w:eastAsia="ja-JP"/>
        </w:rPr>
        <w:t>остварењу овог пореског облика.</w:t>
      </w:r>
    </w:p>
    <w:p w14:paraId="6F8D84EF" w14:textId="3F66B8E4" w:rsidR="009877EB" w:rsidRPr="00A37BCE" w:rsidRDefault="009877EB" w:rsidP="009877EB">
      <w:pPr>
        <w:widowControl w:val="0"/>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Према подацима Агенције за привредне регистре укупна бруто добит остварена у 2017. години износила је 666,6 млрд динара и већа је у односу на 2016. годину за 24,7%. Динамика уплате током прве половине године, као и уплата по коначном обрачуну пореске обавезе у јуну 2018. године, указала је на то да ће годишњи приход знатно премашити план. Наплата пореза на добит премашиће и укупан приход из претходне године. Промене у стопи раста профитабилности и наплати пореза на добит правних лица проистичу из пореског третмана појединих категорија расхода и још увек важећих пореских олакшица, као и од висине пореских кредита и повраћаја који се реализују у периоду пре подношења завршних рачун</w:t>
      </w:r>
      <w:r w:rsidR="00F7377B">
        <w:rPr>
          <w:rFonts w:eastAsia="MS PGothic" w:cstheme="minorHAnsi"/>
          <w:color w:val="44546A" w:themeColor="text2"/>
          <w:sz w:val="20"/>
          <w:szCs w:val="20"/>
          <w:lang w:val="sr-Cyrl-RS" w:eastAsia="ja-JP"/>
        </w:rPr>
        <w:t>а за претходну пословну годину.</w:t>
      </w:r>
    </w:p>
    <w:p w14:paraId="2331B704" w14:textId="170DA68D" w:rsidR="009877EB" w:rsidRPr="00A37BCE" w:rsidRDefault="009877EB" w:rsidP="009877EB">
      <w:pPr>
        <w:widowControl w:val="0"/>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 xml:space="preserve">Непорески приходи су категорија прихода чији је план ревидиран навише у износу од 34,1 млрд динара. Првобитна годишња пројекција непореских прихода за 2018. годину садржала је структурни, тј. трајни део непореских прихода који се односио на дивиденде буџета и добит јавних предузећа у износу од 17 млрд динара. Ревидирана је процена наплате непореских прихода који припадају републичком буџету у </w:t>
      </w:r>
      <w:r w:rsidRPr="00A37BCE">
        <w:rPr>
          <w:rFonts w:eastAsia="MS PGothic" w:cstheme="minorHAnsi"/>
          <w:color w:val="44546A" w:themeColor="text2"/>
          <w:sz w:val="20"/>
          <w:szCs w:val="20"/>
          <w:lang w:val="sr-Cyrl-RS" w:eastAsia="ja-JP"/>
        </w:rPr>
        <w:lastRenderedPageBreak/>
        <w:t xml:space="preserve">износу од 28,3 млрд динара због истовремено боље наплате редовних непореских прихода (таксе, казне и накнаде) али и због уплата добити ЈП ЕПС и ЕДБ, наплаћених потраживања Агенције за осигурање депозита, </w:t>
      </w:r>
      <w:r w:rsidR="00BB1858" w:rsidRPr="00A37BCE">
        <w:rPr>
          <w:rFonts w:eastAsia="MS PGothic" w:cstheme="minorHAnsi"/>
          <w:color w:val="44546A" w:themeColor="text2"/>
          <w:sz w:val="20"/>
          <w:szCs w:val="20"/>
          <w:lang w:val="sr-Cyrl-RS" w:eastAsia="ja-JP"/>
        </w:rPr>
        <w:t xml:space="preserve">као и </w:t>
      </w:r>
      <w:r w:rsidRPr="00A37BCE">
        <w:rPr>
          <w:rFonts w:eastAsia="MS PGothic" w:cstheme="minorHAnsi"/>
          <w:color w:val="44546A" w:themeColor="text2"/>
          <w:sz w:val="20"/>
          <w:szCs w:val="20"/>
          <w:lang w:val="sr-Cyrl-RS" w:eastAsia="ja-JP"/>
        </w:rPr>
        <w:t>уплата премија по основу емисије обвезница. Процена наплате непореских прихода локалног нивоа власти је повећана због боље наплате редовних непореских прихода, пре свега локалних такси, док значајнијих уплата једнократних прихода на овом нивоу није било. За разлику од претходних периода, током 2018. године није било методолошких промена које би утицале</w:t>
      </w:r>
      <w:r w:rsidR="00F7377B">
        <w:rPr>
          <w:rFonts w:eastAsia="MS PGothic" w:cstheme="minorHAnsi"/>
          <w:color w:val="44546A" w:themeColor="text2"/>
          <w:sz w:val="20"/>
          <w:szCs w:val="20"/>
          <w:lang w:val="sr-Cyrl-RS" w:eastAsia="ja-JP"/>
        </w:rPr>
        <w:t xml:space="preserve"> на обухват непореских прихода.</w:t>
      </w:r>
    </w:p>
    <w:p w14:paraId="4546E766" w14:textId="75090639" w:rsidR="009877EB" w:rsidRPr="00A37BCE" w:rsidRDefault="009877EB" w:rsidP="009877EB">
      <w:pPr>
        <w:widowControl w:val="0"/>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 xml:space="preserve">Према новој процени јавних расхода, укупан ниво расхода ће бити виши за 10,7 млрд динара или 0,5%. Промењена је и структура расхода у односу на буџетски план за 2018. годину. Највеће смањење у односу на план бележе расходи за камате, док ће капитални издаци, расходи за куповину роба и услуга и остали текући расходи бити већи </w:t>
      </w:r>
      <w:r w:rsidR="00CA4461">
        <w:rPr>
          <w:rFonts w:eastAsia="MS PGothic" w:cstheme="minorHAnsi"/>
          <w:color w:val="44546A" w:themeColor="text2"/>
          <w:sz w:val="20"/>
          <w:szCs w:val="20"/>
          <w:lang w:val="sr-Cyrl-RS" w:eastAsia="ja-JP"/>
        </w:rPr>
        <w:t>од планираних. У периоду јануар</w:t>
      </w:r>
      <w:r w:rsidRPr="00A37BCE">
        <w:rPr>
          <w:rFonts w:eastAsia="MS PGothic" w:cstheme="minorHAnsi"/>
          <w:color w:val="44546A" w:themeColor="text2"/>
          <w:sz w:val="20"/>
          <w:szCs w:val="20"/>
          <w:lang w:val="sr-Cyrl-RS" w:eastAsia="ja-JP"/>
        </w:rPr>
        <w:t>–септембар, јавни расходи расту по стопи 8,3%, у односу на исти период 2017. године, али се до краја 2018. године очекује успоравање раста, с обзиром на већу исплату једнократних расхода прош</w:t>
      </w:r>
      <w:r w:rsidR="00F7377B">
        <w:rPr>
          <w:rFonts w:eastAsia="MS PGothic" w:cstheme="minorHAnsi"/>
          <w:color w:val="44546A" w:themeColor="text2"/>
          <w:sz w:val="20"/>
          <w:szCs w:val="20"/>
          <w:lang w:val="sr-Cyrl-RS" w:eastAsia="ja-JP"/>
        </w:rPr>
        <w:t>ле године у последњем кварталу.</w:t>
      </w:r>
    </w:p>
    <w:p w14:paraId="4C2810D1" w14:textId="2890D4FD" w:rsidR="009877EB" w:rsidRPr="00A37BCE" w:rsidRDefault="009877EB" w:rsidP="009877EB">
      <w:pPr>
        <w:widowControl w:val="0"/>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Реализација расхода за запослене је у складу је са планом. Претходних година је ниво ових расхода значајно снижен смањењем зарада, рационализацијом броја запослених и контролом запошљавања тако да је тренутно учешће укупних зарада у БДП на нивоу од 9,2%, док су зараде без доприноса на терет послодавца на нивоу од 7,8% БДП. Законом о буџетском систему предвиђено је снижавање нивоа зарада без доприноса на терет послодавца до 7% БДП, међутим, чини се да је тако таргетиран ниво зарада постављен доста ниско, с обзиром да је просек укупних зарада на нивоу Европске уније око 10%</w:t>
      </w:r>
      <w:r w:rsidR="00CE52F1" w:rsidRPr="00A37BCE">
        <w:rPr>
          <w:rFonts w:eastAsia="MS PGothic" w:cstheme="minorHAnsi"/>
          <w:color w:val="44546A" w:themeColor="text2"/>
          <w:sz w:val="20"/>
          <w:szCs w:val="20"/>
          <w:lang w:val="sr-Cyrl-RS" w:eastAsia="ja-JP"/>
        </w:rPr>
        <w:t xml:space="preserve"> </w:t>
      </w:r>
      <w:r w:rsidRPr="00A37BCE">
        <w:rPr>
          <w:rFonts w:eastAsia="MS PGothic" w:cstheme="minorHAnsi"/>
          <w:color w:val="44546A" w:themeColor="text2"/>
          <w:sz w:val="20"/>
          <w:szCs w:val="20"/>
          <w:lang w:val="sr-Cyrl-RS" w:eastAsia="ja-JP"/>
        </w:rPr>
        <w:t>БДП.</w:t>
      </w:r>
    </w:p>
    <w:p w14:paraId="3819F6D2" w14:textId="77A14778" w:rsidR="009877EB" w:rsidRPr="00A37BCE" w:rsidRDefault="009877EB" w:rsidP="009877EB">
      <w:pPr>
        <w:widowControl w:val="0"/>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Расходи за куповину роба и услуга оствариће се у нешто већем износу у односу на буџетски план за 2018. годину. Извршења ове категорије расхода биће веће од плана код локалног нивоа вла</w:t>
      </w:r>
      <w:r w:rsidR="00F7377B">
        <w:rPr>
          <w:rFonts w:eastAsia="MS PGothic" w:cstheme="minorHAnsi"/>
          <w:color w:val="44546A" w:themeColor="text2"/>
          <w:sz w:val="20"/>
          <w:szCs w:val="20"/>
          <w:lang w:val="sr-Cyrl-RS" w:eastAsia="ja-JP"/>
        </w:rPr>
        <w:t>сти, РФЗО и ЈП „Путеви Србије</w:t>
      </w:r>
      <w:r w:rsidR="00231623" w:rsidRPr="00231623">
        <w:rPr>
          <w:rFonts w:eastAsia="MS PGothic" w:cstheme="minorHAnsi"/>
          <w:color w:val="44546A" w:themeColor="text2"/>
          <w:sz w:val="20"/>
          <w:szCs w:val="20"/>
          <w:lang w:val="sr-Cyrl-RS" w:eastAsia="ja-JP"/>
        </w:rPr>
        <w:t>ˮ</w:t>
      </w:r>
      <w:r w:rsidR="00F7377B">
        <w:rPr>
          <w:rFonts w:eastAsia="MS PGothic" w:cstheme="minorHAnsi"/>
          <w:color w:val="44546A" w:themeColor="text2"/>
          <w:sz w:val="20"/>
          <w:szCs w:val="20"/>
          <w:lang w:val="sr-Cyrl-RS" w:eastAsia="ja-JP"/>
        </w:rPr>
        <w:t>.</w:t>
      </w:r>
    </w:p>
    <w:p w14:paraId="571EA869" w14:textId="1C8D23AC" w:rsidR="009877EB" w:rsidRPr="00A37BCE" w:rsidRDefault="009877EB" w:rsidP="009877EB">
      <w:pPr>
        <w:widowControl w:val="0"/>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lastRenderedPageBreak/>
        <w:t>Значајне уштеде у односу на буџетом планиран износ бележе се код издатака за камате. Кретање укупног фискалног резултата посредно делује и на кретање издатака за камате. Поред тога, на износ камата утиче и каматни и ризик девизног курса за обавезе изражене у страној валути. Приликом планирања издатака за камате сви наведени ризици узети су у обзир. Бољи фискални резултат утицао је и на нижи ниво задужива</w:t>
      </w:r>
      <w:r w:rsidR="00F7377B">
        <w:rPr>
          <w:rFonts w:eastAsia="MS PGothic" w:cstheme="minorHAnsi"/>
          <w:color w:val="44546A" w:themeColor="text2"/>
          <w:sz w:val="20"/>
          <w:szCs w:val="20"/>
          <w:lang w:val="sr-Cyrl-RS" w:eastAsia="ja-JP"/>
        </w:rPr>
        <w:t>ња.</w:t>
      </w:r>
    </w:p>
    <w:p w14:paraId="4E2FA0FB" w14:textId="2089A575" w:rsidR="009877EB" w:rsidRPr="00A37BCE" w:rsidRDefault="009877EB" w:rsidP="009877EB">
      <w:pPr>
        <w:widowControl w:val="0"/>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Издаци за пензије су ревидирани навише због напуштања кризних мера које су важиле током програма фискалне консолидације. Ефекти ове мере у последња два месеца 2018. године износе 6,6 млрд динара. Учешће расхода за пензије у БДП тренутно се налази на нивоу од 10,4%</w:t>
      </w:r>
      <w:r w:rsidR="00F7377B">
        <w:rPr>
          <w:rFonts w:eastAsia="MS PGothic" w:cstheme="minorHAnsi"/>
          <w:color w:val="44546A" w:themeColor="text2"/>
          <w:sz w:val="20"/>
          <w:szCs w:val="20"/>
          <w:lang w:val="sr-Cyrl-RS" w:eastAsia="ja-JP"/>
        </w:rPr>
        <w:t xml:space="preserve"> који је одржив у средњем року.</w:t>
      </w:r>
    </w:p>
    <w:p w14:paraId="66DF2F5C" w14:textId="77777777" w:rsidR="009877EB" w:rsidRPr="00A37BCE" w:rsidRDefault="009877EB" w:rsidP="009877EB">
      <w:pPr>
        <w:widowControl w:val="0"/>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lastRenderedPageBreak/>
        <w:t>Расходи за субвенције ће бити нижи у односу на планирани износ услед очекивано мањег издвајања на нивоу локалних самоуправа.</w:t>
      </w:r>
    </w:p>
    <w:p w14:paraId="1B28B9A3" w14:textId="1B991E5E" w:rsidR="009877EB" w:rsidRPr="00A37BCE" w:rsidRDefault="009877EB" w:rsidP="009877EB">
      <w:pPr>
        <w:widowControl w:val="0"/>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 xml:space="preserve">Укупна отплата по основу гаранција и расходи за буџетске позајмице ће одступити у односу на износе планиране буџетом за око 2 млрд динара. Ове две категорије се крећу различито у односу на планске износе. Расходи по гаранцијама нижи су у односу на план и то за 1 млрд динара, док ће буџетске позајмице </w:t>
      </w:r>
      <w:r w:rsidR="00F7377B">
        <w:rPr>
          <w:rFonts w:eastAsia="MS PGothic" w:cstheme="minorHAnsi"/>
          <w:color w:val="44546A" w:themeColor="text2"/>
          <w:sz w:val="20"/>
          <w:szCs w:val="20"/>
          <w:lang w:val="sr-Cyrl-RS" w:eastAsia="ja-JP"/>
        </w:rPr>
        <w:t>бити веће за око 3 млрд динара.</w:t>
      </w:r>
    </w:p>
    <w:p w14:paraId="04665432" w14:textId="62251150" w:rsidR="009877EB" w:rsidRPr="00A37BCE" w:rsidRDefault="009877EB" w:rsidP="009877EB">
      <w:pPr>
        <w:widowControl w:val="0"/>
        <w:spacing w:after="120" w:line="276" w:lineRule="auto"/>
        <w:jc w:val="both"/>
        <w:rPr>
          <w:rFonts w:eastAsia="MS PGothic" w:cstheme="minorHAnsi"/>
          <w:color w:val="44546A" w:themeColor="text2"/>
          <w:sz w:val="20"/>
          <w:szCs w:val="20"/>
          <w:lang w:val="sr-Cyrl-RS" w:eastAsia="ja-JP"/>
        </w:rPr>
        <w:sectPr w:rsidR="009877EB" w:rsidRPr="00A37BCE" w:rsidSect="00BA4876">
          <w:type w:val="continuous"/>
          <w:pgSz w:w="12240" w:h="15840"/>
          <w:pgMar w:top="1440" w:right="1440" w:bottom="1440" w:left="1440" w:header="720" w:footer="720" w:gutter="0"/>
          <w:cols w:num="2" w:space="720"/>
          <w:docGrid w:linePitch="360"/>
        </w:sectPr>
      </w:pPr>
      <w:r w:rsidRPr="00A37BCE">
        <w:rPr>
          <w:rFonts w:eastAsia="MS PGothic" w:cstheme="minorHAnsi"/>
          <w:color w:val="44546A" w:themeColor="text2"/>
          <w:sz w:val="20"/>
          <w:szCs w:val="20"/>
          <w:lang w:val="sr-Cyrl-RS" w:eastAsia="ja-JP"/>
        </w:rPr>
        <w:t xml:space="preserve">Остали текући расходи су повећани у односу на буџетски план због отплате обавезе према компанији </w:t>
      </w:r>
      <w:r w:rsidR="000F4F17" w:rsidRPr="000F4F17">
        <w:rPr>
          <w:rFonts w:eastAsia="MS PGothic" w:cstheme="minorHAnsi"/>
          <w:color w:val="44546A" w:themeColor="text2"/>
          <w:sz w:val="20"/>
          <w:szCs w:val="20"/>
          <w:lang w:val="sr-Cyrl-RS" w:eastAsia="ja-JP"/>
        </w:rPr>
        <w:t>„</w:t>
      </w:r>
      <w:r w:rsidRPr="000F4F17">
        <w:rPr>
          <w:rFonts w:eastAsia="MS PGothic" w:cstheme="minorHAnsi"/>
          <w:color w:val="44546A" w:themeColor="text2"/>
          <w:sz w:val="20"/>
          <w:szCs w:val="20"/>
          <w:lang w:val="sr-Cyrl-RS" w:eastAsia="ja-JP"/>
        </w:rPr>
        <w:t>Митилинеос</w:t>
      </w:r>
      <w:r w:rsidR="000F4F17" w:rsidRPr="000F4F17">
        <w:rPr>
          <w:rFonts w:eastAsia="MS PGothic" w:cstheme="minorHAnsi"/>
          <w:color w:val="44546A" w:themeColor="text2"/>
          <w:sz w:val="20"/>
          <w:szCs w:val="20"/>
          <w:lang w:val="sr-Cyrl-RS" w:eastAsia="ja-JP"/>
        </w:rPr>
        <w:t>ˮ</w:t>
      </w:r>
      <w:r w:rsidRPr="00A37BCE">
        <w:rPr>
          <w:rFonts w:eastAsia="MS PGothic" w:cstheme="minorHAnsi"/>
          <w:color w:val="44546A" w:themeColor="text2"/>
          <w:sz w:val="20"/>
          <w:szCs w:val="20"/>
          <w:lang w:val="sr-Cyrl-RS" w:eastAsia="ja-JP"/>
        </w:rPr>
        <w:t xml:space="preserve"> која се очекује до краја године.</w:t>
      </w:r>
      <w:bookmarkEnd w:id="12"/>
    </w:p>
    <w:p w14:paraId="64B8BB8F" w14:textId="08995C05" w:rsidR="009877EB" w:rsidRPr="00A37BCE" w:rsidRDefault="005B01D9" w:rsidP="009877EB">
      <w:pPr>
        <w:jc w:val="center"/>
        <w:rPr>
          <w:rFonts w:eastAsia="MS PGothic" w:cstheme="minorHAnsi"/>
          <w:b/>
          <w:color w:val="002060"/>
          <w:sz w:val="20"/>
          <w:szCs w:val="20"/>
          <w:lang w:val="sr-Cyrl-RS" w:eastAsia="ja-JP"/>
        </w:rPr>
      </w:pPr>
      <w:r w:rsidRPr="00A37BCE">
        <w:rPr>
          <w:rFonts w:eastAsia="MS PGothic" w:cstheme="minorHAnsi"/>
          <w:b/>
          <w:color w:val="002060"/>
          <w:sz w:val="20"/>
          <w:szCs w:val="20"/>
          <w:lang w:val="sr-Cyrl-RS" w:eastAsia="ja-JP"/>
        </w:rPr>
        <w:lastRenderedPageBreak/>
        <w:t>Табела 6</w:t>
      </w:r>
      <w:r w:rsidR="009877EB" w:rsidRPr="00A37BCE">
        <w:rPr>
          <w:rFonts w:eastAsia="MS PGothic" w:cstheme="minorHAnsi"/>
          <w:b/>
          <w:color w:val="002060"/>
          <w:sz w:val="20"/>
          <w:szCs w:val="20"/>
          <w:lang w:val="sr-Cyrl-RS" w:eastAsia="ja-JP"/>
        </w:rPr>
        <w:t>. Приходи, расходи и ре</w:t>
      </w:r>
      <w:r w:rsidR="00B3546C">
        <w:rPr>
          <w:rFonts w:eastAsia="MS PGothic" w:cstheme="minorHAnsi"/>
          <w:b/>
          <w:color w:val="002060"/>
          <w:sz w:val="20"/>
          <w:szCs w:val="20"/>
          <w:lang w:val="sr-Cyrl-RS" w:eastAsia="ja-JP"/>
        </w:rPr>
        <w:t>зултат сектора државе, јануар–септембар</w:t>
      </w:r>
      <w:r w:rsidR="009877EB" w:rsidRPr="00A37BCE">
        <w:rPr>
          <w:rFonts w:eastAsia="MS PGothic" w:cstheme="minorHAnsi"/>
          <w:b/>
          <w:color w:val="002060"/>
          <w:sz w:val="20"/>
          <w:szCs w:val="20"/>
          <w:lang w:val="sr-Cyrl-RS" w:eastAsia="ja-JP"/>
        </w:rPr>
        <w:t>, у млрд динара</w:t>
      </w:r>
    </w:p>
    <w:tbl>
      <w:tblPr>
        <w:tblW w:w="5000" w:type="pct"/>
        <w:tblLook w:val="04A0" w:firstRow="1" w:lastRow="0" w:firstColumn="1" w:lastColumn="0" w:noHBand="0" w:noVBand="1"/>
      </w:tblPr>
      <w:tblGrid>
        <w:gridCol w:w="4010"/>
        <w:gridCol w:w="1784"/>
        <w:gridCol w:w="1784"/>
        <w:gridCol w:w="1782"/>
      </w:tblGrid>
      <w:tr w:rsidR="009877EB" w:rsidRPr="00A37BCE" w14:paraId="32C73371" w14:textId="77777777" w:rsidTr="003B0E3D">
        <w:trPr>
          <w:trHeight w:val="229"/>
          <w:tblHeader/>
        </w:trPr>
        <w:tc>
          <w:tcPr>
            <w:tcW w:w="2142" w:type="pct"/>
            <w:tcBorders>
              <w:top w:val="single" w:sz="4" w:space="0" w:color="002060"/>
            </w:tcBorders>
            <w:shd w:val="clear" w:color="auto" w:fill="auto"/>
            <w:noWrap/>
            <w:vAlign w:val="center"/>
            <w:hideMark/>
          </w:tcPr>
          <w:p w14:paraId="1E003C09"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 </w:t>
            </w:r>
          </w:p>
        </w:tc>
        <w:tc>
          <w:tcPr>
            <w:tcW w:w="953" w:type="pct"/>
            <w:tcBorders>
              <w:top w:val="single" w:sz="4" w:space="0" w:color="002060"/>
              <w:bottom w:val="single" w:sz="4" w:space="0" w:color="002060"/>
            </w:tcBorders>
            <w:shd w:val="clear" w:color="auto" w:fill="auto"/>
            <w:vAlign w:val="center"/>
            <w:hideMark/>
          </w:tcPr>
          <w:p w14:paraId="0A0BEC01" w14:textId="6406C963"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I</w:t>
            </w:r>
            <w:r w:rsidR="00B3546C" w:rsidRPr="00B3546C">
              <w:rPr>
                <w:rFonts w:cstheme="minorHAnsi"/>
                <w:color w:val="002060"/>
                <w:sz w:val="18"/>
                <w:szCs w:val="18"/>
                <w:lang w:val="sr-Cyrl-RS"/>
              </w:rPr>
              <w:t>–</w:t>
            </w:r>
            <w:r w:rsidRPr="00A37BCE">
              <w:rPr>
                <w:rFonts w:cstheme="minorHAnsi"/>
                <w:color w:val="002060"/>
                <w:sz w:val="18"/>
                <w:szCs w:val="18"/>
                <w:lang w:val="sr-Cyrl-RS"/>
              </w:rPr>
              <w:t>IX 2017</w:t>
            </w:r>
          </w:p>
        </w:tc>
        <w:tc>
          <w:tcPr>
            <w:tcW w:w="953" w:type="pct"/>
            <w:tcBorders>
              <w:top w:val="single" w:sz="4" w:space="0" w:color="002060"/>
              <w:bottom w:val="single" w:sz="4" w:space="0" w:color="002060"/>
            </w:tcBorders>
            <w:shd w:val="clear" w:color="auto" w:fill="auto"/>
            <w:vAlign w:val="center"/>
            <w:hideMark/>
          </w:tcPr>
          <w:p w14:paraId="0669A7D3" w14:textId="7E451910"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I</w:t>
            </w:r>
            <w:r w:rsidR="00B3546C" w:rsidRPr="00B3546C">
              <w:rPr>
                <w:rFonts w:cstheme="minorHAnsi"/>
                <w:color w:val="002060"/>
                <w:sz w:val="18"/>
                <w:szCs w:val="18"/>
                <w:lang w:val="sr-Cyrl-RS"/>
              </w:rPr>
              <w:t>–</w:t>
            </w:r>
            <w:r w:rsidRPr="00A37BCE">
              <w:rPr>
                <w:rFonts w:cstheme="minorHAnsi"/>
                <w:color w:val="002060"/>
                <w:sz w:val="18"/>
                <w:szCs w:val="18"/>
                <w:lang w:val="sr-Cyrl-RS"/>
              </w:rPr>
              <w:t>IX 2018</w:t>
            </w:r>
          </w:p>
        </w:tc>
        <w:tc>
          <w:tcPr>
            <w:tcW w:w="952" w:type="pct"/>
            <w:tcBorders>
              <w:top w:val="single" w:sz="4" w:space="0" w:color="002060"/>
              <w:bottom w:val="single" w:sz="4" w:space="0" w:color="002060"/>
            </w:tcBorders>
            <w:shd w:val="clear" w:color="auto" w:fill="auto"/>
            <w:vAlign w:val="center"/>
            <w:hideMark/>
          </w:tcPr>
          <w:p w14:paraId="1E580BBE" w14:textId="7D5503EC"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I</w:t>
            </w:r>
            <w:r w:rsidR="00B3546C" w:rsidRPr="00B3546C">
              <w:rPr>
                <w:rFonts w:cstheme="minorHAnsi"/>
                <w:color w:val="002060"/>
                <w:sz w:val="18"/>
                <w:szCs w:val="18"/>
                <w:lang w:val="sr-Cyrl-RS"/>
              </w:rPr>
              <w:t>–</w:t>
            </w:r>
            <w:r w:rsidRPr="00A37BCE">
              <w:rPr>
                <w:rFonts w:cstheme="minorHAnsi"/>
                <w:color w:val="002060"/>
                <w:sz w:val="18"/>
                <w:szCs w:val="18"/>
                <w:lang w:val="sr-Cyrl-RS"/>
              </w:rPr>
              <w:t xml:space="preserve">IX стопа у % </w:t>
            </w:r>
          </w:p>
        </w:tc>
      </w:tr>
      <w:tr w:rsidR="009877EB" w:rsidRPr="00A37BCE" w14:paraId="2F08EE97" w14:textId="77777777" w:rsidTr="003B0E3D">
        <w:trPr>
          <w:trHeight w:val="229"/>
          <w:tblHeader/>
        </w:trPr>
        <w:tc>
          <w:tcPr>
            <w:tcW w:w="2142" w:type="pct"/>
            <w:shd w:val="clear" w:color="auto" w:fill="E7E6E6" w:themeFill="background2"/>
            <w:noWrap/>
            <w:vAlign w:val="center"/>
            <w:hideMark/>
          </w:tcPr>
          <w:p w14:paraId="1F0D5177"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ЈАВНИ ПРИХОДИ</w:t>
            </w:r>
          </w:p>
        </w:tc>
        <w:tc>
          <w:tcPr>
            <w:tcW w:w="953" w:type="pct"/>
            <w:tcBorders>
              <w:top w:val="single" w:sz="4" w:space="0" w:color="002060"/>
            </w:tcBorders>
            <w:shd w:val="clear" w:color="auto" w:fill="E7E6E6" w:themeFill="background2"/>
            <w:vAlign w:val="center"/>
            <w:hideMark/>
          </w:tcPr>
          <w:p w14:paraId="5CFB0CC8"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1.451,3</w:t>
            </w:r>
          </w:p>
        </w:tc>
        <w:tc>
          <w:tcPr>
            <w:tcW w:w="953" w:type="pct"/>
            <w:tcBorders>
              <w:top w:val="single" w:sz="4" w:space="0" w:color="002060"/>
            </w:tcBorders>
            <w:shd w:val="clear" w:color="auto" w:fill="E7E6E6" w:themeFill="background2"/>
            <w:vAlign w:val="center"/>
            <w:hideMark/>
          </w:tcPr>
          <w:p w14:paraId="26264A98"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1.537,6</w:t>
            </w:r>
          </w:p>
        </w:tc>
        <w:tc>
          <w:tcPr>
            <w:tcW w:w="952" w:type="pct"/>
            <w:tcBorders>
              <w:top w:val="single" w:sz="4" w:space="0" w:color="002060"/>
            </w:tcBorders>
            <w:shd w:val="clear" w:color="auto" w:fill="E7E6E6" w:themeFill="background2"/>
            <w:vAlign w:val="center"/>
            <w:hideMark/>
          </w:tcPr>
          <w:p w14:paraId="26087F50"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5,9</w:t>
            </w:r>
          </w:p>
        </w:tc>
      </w:tr>
      <w:tr w:rsidR="009877EB" w:rsidRPr="00A37BCE" w14:paraId="4DE17CFD" w14:textId="77777777" w:rsidTr="003B0E3D">
        <w:trPr>
          <w:trHeight w:val="229"/>
          <w:tblHeader/>
        </w:trPr>
        <w:tc>
          <w:tcPr>
            <w:tcW w:w="2142" w:type="pct"/>
            <w:shd w:val="clear" w:color="auto" w:fill="auto"/>
            <w:noWrap/>
            <w:vAlign w:val="center"/>
            <w:hideMark/>
          </w:tcPr>
          <w:p w14:paraId="04B5D81F"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Текући приходи</w:t>
            </w:r>
          </w:p>
        </w:tc>
        <w:tc>
          <w:tcPr>
            <w:tcW w:w="953" w:type="pct"/>
            <w:shd w:val="clear" w:color="auto" w:fill="auto"/>
            <w:vAlign w:val="center"/>
            <w:hideMark/>
          </w:tcPr>
          <w:p w14:paraId="4F30D8C1"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1.446,9</w:t>
            </w:r>
          </w:p>
        </w:tc>
        <w:tc>
          <w:tcPr>
            <w:tcW w:w="953" w:type="pct"/>
            <w:shd w:val="clear" w:color="auto" w:fill="auto"/>
            <w:noWrap/>
            <w:vAlign w:val="center"/>
            <w:hideMark/>
          </w:tcPr>
          <w:p w14:paraId="1FF8467F"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1.531,9</w:t>
            </w:r>
          </w:p>
        </w:tc>
        <w:tc>
          <w:tcPr>
            <w:tcW w:w="952" w:type="pct"/>
            <w:shd w:val="clear" w:color="auto" w:fill="auto"/>
            <w:vAlign w:val="center"/>
            <w:hideMark/>
          </w:tcPr>
          <w:p w14:paraId="12B53C93"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5,9</w:t>
            </w:r>
          </w:p>
        </w:tc>
      </w:tr>
      <w:tr w:rsidR="009877EB" w:rsidRPr="00A37BCE" w14:paraId="0F668FA9" w14:textId="77777777" w:rsidTr="003B0E3D">
        <w:trPr>
          <w:trHeight w:val="229"/>
          <w:tblHeader/>
        </w:trPr>
        <w:tc>
          <w:tcPr>
            <w:tcW w:w="2142" w:type="pct"/>
            <w:shd w:val="clear" w:color="auto" w:fill="auto"/>
            <w:noWrap/>
            <w:vAlign w:val="center"/>
            <w:hideMark/>
          </w:tcPr>
          <w:p w14:paraId="5E84C87B"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Порески приходи</w:t>
            </w:r>
          </w:p>
        </w:tc>
        <w:tc>
          <w:tcPr>
            <w:tcW w:w="953" w:type="pct"/>
            <w:shd w:val="clear" w:color="auto" w:fill="auto"/>
            <w:vAlign w:val="center"/>
            <w:hideMark/>
          </w:tcPr>
          <w:p w14:paraId="270BF6F8"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1.270,0</w:t>
            </w:r>
          </w:p>
        </w:tc>
        <w:tc>
          <w:tcPr>
            <w:tcW w:w="953" w:type="pct"/>
            <w:shd w:val="clear" w:color="auto" w:fill="auto"/>
            <w:vAlign w:val="center"/>
            <w:hideMark/>
          </w:tcPr>
          <w:p w14:paraId="110E4B3C"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1.341,7</w:t>
            </w:r>
          </w:p>
        </w:tc>
        <w:tc>
          <w:tcPr>
            <w:tcW w:w="952" w:type="pct"/>
            <w:shd w:val="clear" w:color="auto" w:fill="auto"/>
            <w:vAlign w:val="center"/>
            <w:hideMark/>
          </w:tcPr>
          <w:p w14:paraId="6C68E6AE"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5,6</w:t>
            </w:r>
          </w:p>
        </w:tc>
      </w:tr>
      <w:tr w:rsidR="009877EB" w:rsidRPr="00A37BCE" w14:paraId="0117CDD6" w14:textId="77777777" w:rsidTr="003B0E3D">
        <w:trPr>
          <w:trHeight w:val="229"/>
          <w:tblHeader/>
        </w:trPr>
        <w:tc>
          <w:tcPr>
            <w:tcW w:w="2142" w:type="pct"/>
            <w:shd w:val="clear" w:color="auto" w:fill="auto"/>
            <w:noWrap/>
            <w:vAlign w:val="center"/>
            <w:hideMark/>
          </w:tcPr>
          <w:p w14:paraId="6CA1EFFA"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Порез на доходак грађана</w:t>
            </w:r>
          </w:p>
        </w:tc>
        <w:tc>
          <w:tcPr>
            <w:tcW w:w="953" w:type="pct"/>
            <w:shd w:val="clear" w:color="auto" w:fill="auto"/>
            <w:vAlign w:val="center"/>
            <w:hideMark/>
          </w:tcPr>
          <w:p w14:paraId="1B8042C2"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121,6</w:t>
            </w:r>
          </w:p>
        </w:tc>
        <w:tc>
          <w:tcPr>
            <w:tcW w:w="953" w:type="pct"/>
            <w:shd w:val="clear" w:color="auto" w:fill="auto"/>
            <w:vAlign w:val="center"/>
            <w:hideMark/>
          </w:tcPr>
          <w:p w14:paraId="228DC68C"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129,0</w:t>
            </w:r>
          </w:p>
        </w:tc>
        <w:tc>
          <w:tcPr>
            <w:tcW w:w="952" w:type="pct"/>
            <w:shd w:val="clear" w:color="auto" w:fill="auto"/>
            <w:vAlign w:val="center"/>
            <w:hideMark/>
          </w:tcPr>
          <w:p w14:paraId="3406B9EF"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6,1</w:t>
            </w:r>
          </w:p>
        </w:tc>
      </w:tr>
      <w:tr w:rsidR="009877EB" w:rsidRPr="00A37BCE" w14:paraId="686A97CE" w14:textId="77777777" w:rsidTr="003B0E3D">
        <w:trPr>
          <w:trHeight w:val="229"/>
          <w:tblHeader/>
        </w:trPr>
        <w:tc>
          <w:tcPr>
            <w:tcW w:w="2142" w:type="pct"/>
            <w:shd w:val="clear" w:color="auto" w:fill="auto"/>
            <w:noWrap/>
            <w:vAlign w:val="center"/>
            <w:hideMark/>
          </w:tcPr>
          <w:p w14:paraId="09402D36"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Порез на добит правних лица</w:t>
            </w:r>
          </w:p>
        </w:tc>
        <w:tc>
          <w:tcPr>
            <w:tcW w:w="953" w:type="pct"/>
            <w:shd w:val="clear" w:color="auto" w:fill="auto"/>
            <w:vAlign w:val="center"/>
            <w:hideMark/>
          </w:tcPr>
          <w:p w14:paraId="7E13395F"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89,5</w:t>
            </w:r>
          </w:p>
        </w:tc>
        <w:tc>
          <w:tcPr>
            <w:tcW w:w="953" w:type="pct"/>
            <w:shd w:val="clear" w:color="auto" w:fill="auto"/>
            <w:vAlign w:val="center"/>
            <w:hideMark/>
          </w:tcPr>
          <w:p w14:paraId="428CE52A"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90,4</w:t>
            </w:r>
          </w:p>
        </w:tc>
        <w:tc>
          <w:tcPr>
            <w:tcW w:w="952" w:type="pct"/>
            <w:shd w:val="clear" w:color="auto" w:fill="auto"/>
            <w:vAlign w:val="center"/>
            <w:hideMark/>
          </w:tcPr>
          <w:p w14:paraId="324050DA"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1,0</w:t>
            </w:r>
          </w:p>
        </w:tc>
      </w:tr>
      <w:tr w:rsidR="009877EB" w:rsidRPr="00A37BCE" w14:paraId="596035E0" w14:textId="77777777" w:rsidTr="003B0E3D">
        <w:trPr>
          <w:trHeight w:val="229"/>
          <w:tblHeader/>
        </w:trPr>
        <w:tc>
          <w:tcPr>
            <w:tcW w:w="2142" w:type="pct"/>
            <w:shd w:val="clear" w:color="auto" w:fill="auto"/>
            <w:noWrap/>
            <w:vAlign w:val="center"/>
            <w:hideMark/>
          </w:tcPr>
          <w:p w14:paraId="5C4EA728"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Порез на додату вредност</w:t>
            </w:r>
          </w:p>
        </w:tc>
        <w:tc>
          <w:tcPr>
            <w:tcW w:w="953" w:type="pct"/>
            <w:shd w:val="clear" w:color="auto" w:fill="auto"/>
            <w:vAlign w:val="center"/>
            <w:hideMark/>
          </w:tcPr>
          <w:p w14:paraId="506F83E5"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356,1</w:t>
            </w:r>
          </w:p>
        </w:tc>
        <w:tc>
          <w:tcPr>
            <w:tcW w:w="953" w:type="pct"/>
            <w:shd w:val="clear" w:color="auto" w:fill="auto"/>
            <w:vAlign w:val="center"/>
            <w:hideMark/>
          </w:tcPr>
          <w:p w14:paraId="6123C447"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375,6</w:t>
            </w:r>
          </w:p>
        </w:tc>
        <w:tc>
          <w:tcPr>
            <w:tcW w:w="952" w:type="pct"/>
            <w:shd w:val="clear" w:color="auto" w:fill="auto"/>
            <w:vAlign w:val="center"/>
            <w:hideMark/>
          </w:tcPr>
          <w:p w14:paraId="342DBAB3"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5,5</w:t>
            </w:r>
          </w:p>
        </w:tc>
      </w:tr>
      <w:tr w:rsidR="009877EB" w:rsidRPr="00A37BCE" w14:paraId="7295D3D4" w14:textId="77777777" w:rsidTr="003B0E3D">
        <w:trPr>
          <w:trHeight w:val="229"/>
          <w:tblHeader/>
        </w:trPr>
        <w:tc>
          <w:tcPr>
            <w:tcW w:w="2142" w:type="pct"/>
            <w:shd w:val="clear" w:color="auto" w:fill="auto"/>
            <w:noWrap/>
            <w:vAlign w:val="center"/>
            <w:hideMark/>
          </w:tcPr>
          <w:p w14:paraId="5AFFABD7"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Акцизе</w:t>
            </w:r>
          </w:p>
        </w:tc>
        <w:tc>
          <w:tcPr>
            <w:tcW w:w="953" w:type="pct"/>
            <w:shd w:val="clear" w:color="auto" w:fill="auto"/>
            <w:vAlign w:val="center"/>
            <w:hideMark/>
          </w:tcPr>
          <w:p w14:paraId="1D702C4D"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208,4</w:t>
            </w:r>
          </w:p>
        </w:tc>
        <w:tc>
          <w:tcPr>
            <w:tcW w:w="953" w:type="pct"/>
            <w:shd w:val="clear" w:color="auto" w:fill="auto"/>
            <w:vAlign w:val="center"/>
            <w:hideMark/>
          </w:tcPr>
          <w:p w14:paraId="73604D9A"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210,6</w:t>
            </w:r>
          </w:p>
        </w:tc>
        <w:tc>
          <w:tcPr>
            <w:tcW w:w="952" w:type="pct"/>
            <w:shd w:val="clear" w:color="auto" w:fill="auto"/>
            <w:vAlign w:val="center"/>
            <w:hideMark/>
          </w:tcPr>
          <w:p w14:paraId="508DFFA9"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1,1</w:t>
            </w:r>
          </w:p>
        </w:tc>
      </w:tr>
      <w:tr w:rsidR="009877EB" w:rsidRPr="00A37BCE" w14:paraId="43CD625B" w14:textId="77777777" w:rsidTr="003B0E3D">
        <w:trPr>
          <w:trHeight w:val="229"/>
          <w:tblHeader/>
        </w:trPr>
        <w:tc>
          <w:tcPr>
            <w:tcW w:w="2142" w:type="pct"/>
            <w:shd w:val="clear" w:color="auto" w:fill="auto"/>
            <w:noWrap/>
            <w:vAlign w:val="center"/>
            <w:hideMark/>
          </w:tcPr>
          <w:p w14:paraId="78EC5942"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Царине</w:t>
            </w:r>
          </w:p>
        </w:tc>
        <w:tc>
          <w:tcPr>
            <w:tcW w:w="953" w:type="pct"/>
            <w:shd w:val="clear" w:color="auto" w:fill="auto"/>
            <w:vAlign w:val="center"/>
            <w:hideMark/>
          </w:tcPr>
          <w:p w14:paraId="1E2932E3"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28,9</w:t>
            </w:r>
          </w:p>
        </w:tc>
        <w:tc>
          <w:tcPr>
            <w:tcW w:w="953" w:type="pct"/>
            <w:shd w:val="clear" w:color="auto" w:fill="auto"/>
            <w:vAlign w:val="center"/>
            <w:hideMark/>
          </w:tcPr>
          <w:p w14:paraId="2D91F653"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31,3</w:t>
            </w:r>
          </w:p>
        </w:tc>
        <w:tc>
          <w:tcPr>
            <w:tcW w:w="952" w:type="pct"/>
            <w:shd w:val="clear" w:color="auto" w:fill="auto"/>
            <w:vAlign w:val="center"/>
            <w:hideMark/>
          </w:tcPr>
          <w:p w14:paraId="53A3890C"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8,3</w:t>
            </w:r>
          </w:p>
        </w:tc>
      </w:tr>
      <w:tr w:rsidR="009877EB" w:rsidRPr="00A37BCE" w14:paraId="6DC8D042" w14:textId="77777777" w:rsidTr="003B0E3D">
        <w:trPr>
          <w:trHeight w:val="229"/>
          <w:tblHeader/>
        </w:trPr>
        <w:tc>
          <w:tcPr>
            <w:tcW w:w="2142" w:type="pct"/>
            <w:shd w:val="clear" w:color="auto" w:fill="auto"/>
            <w:noWrap/>
            <w:vAlign w:val="center"/>
            <w:hideMark/>
          </w:tcPr>
          <w:p w14:paraId="39432476"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Остали порески приходи</w:t>
            </w:r>
          </w:p>
        </w:tc>
        <w:tc>
          <w:tcPr>
            <w:tcW w:w="953" w:type="pct"/>
            <w:shd w:val="clear" w:color="auto" w:fill="auto"/>
            <w:vAlign w:val="center"/>
            <w:hideMark/>
          </w:tcPr>
          <w:p w14:paraId="5FDA8FD1"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52,9</w:t>
            </w:r>
          </w:p>
        </w:tc>
        <w:tc>
          <w:tcPr>
            <w:tcW w:w="953" w:type="pct"/>
            <w:shd w:val="clear" w:color="auto" w:fill="auto"/>
            <w:vAlign w:val="center"/>
            <w:hideMark/>
          </w:tcPr>
          <w:p w14:paraId="5ECC33AB"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55,1</w:t>
            </w:r>
          </w:p>
        </w:tc>
        <w:tc>
          <w:tcPr>
            <w:tcW w:w="952" w:type="pct"/>
            <w:shd w:val="clear" w:color="auto" w:fill="auto"/>
            <w:vAlign w:val="center"/>
            <w:hideMark/>
          </w:tcPr>
          <w:p w14:paraId="5AE712CB"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4,2</w:t>
            </w:r>
          </w:p>
        </w:tc>
      </w:tr>
      <w:tr w:rsidR="009877EB" w:rsidRPr="00A37BCE" w14:paraId="3594B4FA" w14:textId="77777777" w:rsidTr="003B0E3D">
        <w:trPr>
          <w:trHeight w:val="229"/>
          <w:tblHeader/>
        </w:trPr>
        <w:tc>
          <w:tcPr>
            <w:tcW w:w="2142" w:type="pct"/>
            <w:shd w:val="clear" w:color="auto" w:fill="auto"/>
            <w:noWrap/>
            <w:vAlign w:val="center"/>
            <w:hideMark/>
          </w:tcPr>
          <w:p w14:paraId="4BEA5E00"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Доприноси</w:t>
            </w:r>
          </w:p>
        </w:tc>
        <w:tc>
          <w:tcPr>
            <w:tcW w:w="953" w:type="pct"/>
            <w:shd w:val="clear" w:color="auto" w:fill="auto"/>
            <w:vAlign w:val="center"/>
            <w:hideMark/>
          </w:tcPr>
          <w:p w14:paraId="792500BC"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412,7</w:t>
            </w:r>
          </w:p>
        </w:tc>
        <w:tc>
          <w:tcPr>
            <w:tcW w:w="953" w:type="pct"/>
            <w:shd w:val="clear" w:color="auto" w:fill="auto"/>
            <w:vAlign w:val="center"/>
            <w:hideMark/>
          </w:tcPr>
          <w:p w14:paraId="1B9A2B3A"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449,7</w:t>
            </w:r>
          </w:p>
        </w:tc>
        <w:tc>
          <w:tcPr>
            <w:tcW w:w="952" w:type="pct"/>
            <w:shd w:val="clear" w:color="auto" w:fill="auto"/>
            <w:vAlign w:val="center"/>
            <w:hideMark/>
          </w:tcPr>
          <w:p w14:paraId="04791E86"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9,0</w:t>
            </w:r>
          </w:p>
        </w:tc>
      </w:tr>
      <w:tr w:rsidR="009877EB" w:rsidRPr="00A37BCE" w14:paraId="6B705885" w14:textId="77777777" w:rsidTr="003B0E3D">
        <w:trPr>
          <w:trHeight w:val="229"/>
          <w:tblHeader/>
        </w:trPr>
        <w:tc>
          <w:tcPr>
            <w:tcW w:w="2142" w:type="pct"/>
            <w:shd w:val="clear" w:color="auto" w:fill="auto"/>
            <w:noWrap/>
            <w:vAlign w:val="center"/>
            <w:hideMark/>
          </w:tcPr>
          <w:p w14:paraId="24EF9A70"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Непорески приходи</w:t>
            </w:r>
          </w:p>
        </w:tc>
        <w:tc>
          <w:tcPr>
            <w:tcW w:w="953" w:type="pct"/>
            <w:shd w:val="clear" w:color="auto" w:fill="auto"/>
            <w:vAlign w:val="center"/>
            <w:hideMark/>
          </w:tcPr>
          <w:p w14:paraId="17047655"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176,9</w:t>
            </w:r>
          </w:p>
        </w:tc>
        <w:tc>
          <w:tcPr>
            <w:tcW w:w="953" w:type="pct"/>
            <w:shd w:val="clear" w:color="auto" w:fill="auto"/>
            <w:vAlign w:val="center"/>
            <w:hideMark/>
          </w:tcPr>
          <w:p w14:paraId="213C64D6"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190,2</w:t>
            </w:r>
          </w:p>
        </w:tc>
        <w:tc>
          <w:tcPr>
            <w:tcW w:w="952" w:type="pct"/>
            <w:shd w:val="clear" w:color="auto" w:fill="auto"/>
            <w:vAlign w:val="center"/>
            <w:hideMark/>
          </w:tcPr>
          <w:p w14:paraId="24F523EF"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7,5</w:t>
            </w:r>
          </w:p>
        </w:tc>
      </w:tr>
      <w:tr w:rsidR="009877EB" w:rsidRPr="00A37BCE" w14:paraId="66EF54CD" w14:textId="77777777" w:rsidTr="003B0E3D">
        <w:trPr>
          <w:trHeight w:val="229"/>
          <w:tblHeader/>
        </w:trPr>
        <w:tc>
          <w:tcPr>
            <w:tcW w:w="2142" w:type="pct"/>
            <w:shd w:val="clear" w:color="auto" w:fill="auto"/>
            <w:noWrap/>
            <w:vAlign w:val="center"/>
            <w:hideMark/>
          </w:tcPr>
          <w:p w14:paraId="5000D835"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Донације</w:t>
            </w:r>
          </w:p>
        </w:tc>
        <w:tc>
          <w:tcPr>
            <w:tcW w:w="953" w:type="pct"/>
            <w:shd w:val="clear" w:color="auto" w:fill="auto"/>
            <w:vAlign w:val="center"/>
            <w:hideMark/>
          </w:tcPr>
          <w:p w14:paraId="4B7346B0"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4,4</w:t>
            </w:r>
          </w:p>
        </w:tc>
        <w:tc>
          <w:tcPr>
            <w:tcW w:w="953" w:type="pct"/>
            <w:shd w:val="clear" w:color="auto" w:fill="auto"/>
            <w:vAlign w:val="center"/>
            <w:hideMark/>
          </w:tcPr>
          <w:p w14:paraId="206BBB2F"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5,7</w:t>
            </w:r>
          </w:p>
        </w:tc>
        <w:tc>
          <w:tcPr>
            <w:tcW w:w="952" w:type="pct"/>
            <w:shd w:val="clear" w:color="auto" w:fill="auto"/>
            <w:vAlign w:val="center"/>
            <w:hideMark/>
          </w:tcPr>
          <w:p w14:paraId="5FF8CD78"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31,3</w:t>
            </w:r>
          </w:p>
        </w:tc>
      </w:tr>
      <w:tr w:rsidR="009877EB" w:rsidRPr="00A37BCE" w14:paraId="6EE74CD0" w14:textId="77777777" w:rsidTr="003B0E3D">
        <w:trPr>
          <w:trHeight w:val="229"/>
          <w:tblHeader/>
        </w:trPr>
        <w:tc>
          <w:tcPr>
            <w:tcW w:w="2142" w:type="pct"/>
            <w:shd w:val="clear" w:color="auto" w:fill="E7E6E6" w:themeFill="background2"/>
            <w:noWrap/>
            <w:vAlign w:val="center"/>
            <w:hideMark/>
          </w:tcPr>
          <w:p w14:paraId="06951F02"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ЈАВНИ РАСХОДИ</w:t>
            </w:r>
          </w:p>
        </w:tc>
        <w:tc>
          <w:tcPr>
            <w:tcW w:w="953" w:type="pct"/>
            <w:shd w:val="clear" w:color="auto" w:fill="E7E6E6" w:themeFill="background2"/>
            <w:vAlign w:val="center"/>
            <w:hideMark/>
          </w:tcPr>
          <w:p w14:paraId="21D33DBC"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1.369,2</w:t>
            </w:r>
          </w:p>
        </w:tc>
        <w:tc>
          <w:tcPr>
            <w:tcW w:w="953" w:type="pct"/>
            <w:shd w:val="clear" w:color="auto" w:fill="E7E6E6" w:themeFill="background2"/>
            <w:noWrap/>
            <w:vAlign w:val="center"/>
            <w:hideMark/>
          </w:tcPr>
          <w:p w14:paraId="3FF41D01"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1.483,1</w:t>
            </w:r>
          </w:p>
        </w:tc>
        <w:tc>
          <w:tcPr>
            <w:tcW w:w="952" w:type="pct"/>
            <w:shd w:val="clear" w:color="auto" w:fill="E7E6E6" w:themeFill="background2"/>
            <w:vAlign w:val="center"/>
            <w:hideMark/>
          </w:tcPr>
          <w:p w14:paraId="130982B0"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8,3</w:t>
            </w:r>
          </w:p>
        </w:tc>
      </w:tr>
      <w:tr w:rsidR="009877EB" w:rsidRPr="00A37BCE" w14:paraId="31CB014B" w14:textId="77777777" w:rsidTr="003B0E3D">
        <w:trPr>
          <w:trHeight w:val="229"/>
          <w:tblHeader/>
        </w:trPr>
        <w:tc>
          <w:tcPr>
            <w:tcW w:w="2142" w:type="pct"/>
            <w:shd w:val="clear" w:color="auto" w:fill="auto"/>
            <w:noWrap/>
            <w:vAlign w:val="center"/>
            <w:hideMark/>
          </w:tcPr>
          <w:p w14:paraId="3A7AAE37"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Текући расходи</w:t>
            </w:r>
          </w:p>
        </w:tc>
        <w:tc>
          <w:tcPr>
            <w:tcW w:w="953" w:type="pct"/>
            <w:shd w:val="clear" w:color="auto" w:fill="auto"/>
            <w:vAlign w:val="center"/>
            <w:hideMark/>
          </w:tcPr>
          <w:p w14:paraId="0F7A4821"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1.260,7</w:t>
            </w:r>
          </w:p>
        </w:tc>
        <w:tc>
          <w:tcPr>
            <w:tcW w:w="953" w:type="pct"/>
            <w:shd w:val="clear" w:color="auto" w:fill="auto"/>
            <w:noWrap/>
            <w:vAlign w:val="center"/>
            <w:hideMark/>
          </w:tcPr>
          <w:p w14:paraId="612DCCCA"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1.338,8</w:t>
            </w:r>
          </w:p>
        </w:tc>
        <w:tc>
          <w:tcPr>
            <w:tcW w:w="952" w:type="pct"/>
            <w:shd w:val="clear" w:color="auto" w:fill="auto"/>
            <w:vAlign w:val="center"/>
            <w:hideMark/>
          </w:tcPr>
          <w:p w14:paraId="35164111"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6,2</w:t>
            </w:r>
          </w:p>
        </w:tc>
      </w:tr>
      <w:tr w:rsidR="009877EB" w:rsidRPr="00A37BCE" w14:paraId="1C0CACDD" w14:textId="77777777" w:rsidTr="003B0E3D">
        <w:trPr>
          <w:trHeight w:val="229"/>
          <w:tblHeader/>
        </w:trPr>
        <w:tc>
          <w:tcPr>
            <w:tcW w:w="2142" w:type="pct"/>
            <w:shd w:val="clear" w:color="auto" w:fill="auto"/>
            <w:noWrap/>
            <w:vAlign w:val="center"/>
            <w:hideMark/>
          </w:tcPr>
          <w:p w14:paraId="53FD6519"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Расходи за запослене</w:t>
            </w:r>
          </w:p>
        </w:tc>
        <w:tc>
          <w:tcPr>
            <w:tcW w:w="953" w:type="pct"/>
            <w:shd w:val="clear" w:color="auto" w:fill="auto"/>
            <w:vAlign w:val="center"/>
            <w:hideMark/>
          </w:tcPr>
          <w:p w14:paraId="3B1C5B88"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317,1</w:t>
            </w:r>
          </w:p>
        </w:tc>
        <w:tc>
          <w:tcPr>
            <w:tcW w:w="953" w:type="pct"/>
            <w:shd w:val="clear" w:color="auto" w:fill="auto"/>
            <w:vAlign w:val="center"/>
            <w:hideMark/>
          </w:tcPr>
          <w:p w14:paraId="49F03604"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349,2</w:t>
            </w:r>
          </w:p>
        </w:tc>
        <w:tc>
          <w:tcPr>
            <w:tcW w:w="952" w:type="pct"/>
            <w:shd w:val="clear" w:color="auto" w:fill="auto"/>
            <w:vAlign w:val="center"/>
            <w:hideMark/>
          </w:tcPr>
          <w:p w14:paraId="1F55077B"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10,1</w:t>
            </w:r>
          </w:p>
        </w:tc>
      </w:tr>
      <w:tr w:rsidR="009877EB" w:rsidRPr="00A37BCE" w14:paraId="1D875457" w14:textId="77777777" w:rsidTr="003B0E3D">
        <w:trPr>
          <w:trHeight w:val="229"/>
          <w:tblHeader/>
        </w:trPr>
        <w:tc>
          <w:tcPr>
            <w:tcW w:w="2142" w:type="pct"/>
            <w:shd w:val="clear" w:color="auto" w:fill="auto"/>
            <w:noWrap/>
            <w:vAlign w:val="center"/>
            <w:hideMark/>
          </w:tcPr>
          <w:p w14:paraId="2D505016"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Куповина робе и услуга</w:t>
            </w:r>
          </w:p>
        </w:tc>
        <w:tc>
          <w:tcPr>
            <w:tcW w:w="953" w:type="pct"/>
            <w:shd w:val="clear" w:color="auto" w:fill="auto"/>
            <w:vAlign w:val="center"/>
            <w:hideMark/>
          </w:tcPr>
          <w:p w14:paraId="7D1D1F80"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205,3</w:t>
            </w:r>
          </w:p>
        </w:tc>
        <w:tc>
          <w:tcPr>
            <w:tcW w:w="953" w:type="pct"/>
            <w:shd w:val="clear" w:color="auto" w:fill="auto"/>
            <w:vAlign w:val="center"/>
            <w:hideMark/>
          </w:tcPr>
          <w:p w14:paraId="614E6497"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234,1</w:t>
            </w:r>
          </w:p>
        </w:tc>
        <w:tc>
          <w:tcPr>
            <w:tcW w:w="952" w:type="pct"/>
            <w:shd w:val="clear" w:color="auto" w:fill="auto"/>
            <w:vAlign w:val="center"/>
            <w:hideMark/>
          </w:tcPr>
          <w:p w14:paraId="1775CEB3"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14,0</w:t>
            </w:r>
          </w:p>
        </w:tc>
      </w:tr>
      <w:tr w:rsidR="009877EB" w:rsidRPr="00A37BCE" w14:paraId="68BED7A0" w14:textId="77777777" w:rsidTr="003B0E3D">
        <w:trPr>
          <w:trHeight w:val="229"/>
          <w:tblHeader/>
        </w:trPr>
        <w:tc>
          <w:tcPr>
            <w:tcW w:w="2142" w:type="pct"/>
            <w:shd w:val="clear" w:color="auto" w:fill="auto"/>
            <w:noWrap/>
            <w:vAlign w:val="center"/>
            <w:hideMark/>
          </w:tcPr>
          <w:p w14:paraId="6BBB40A1"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Отплата камата</w:t>
            </w:r>
          </w:p>
        </w:tc>
        <w:tc>
          <w:tcPr>
            <w:tcW w:w="953" w:type="pct"/>
            <w:shd w:val="clear" w:color="auto" w:fill="auto"/>
            <w:vAlign w:val="center"/>
            <w:hideMark/>
          </w:tcPr>
          <w:p w14:paraId="09AB5515"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104,1</w:t>
            </w:r>
          </w:p>
        </w:tc>
        <w:tc>
          <w:tcPr>
            <w:tcW w:w="953" w:type="pct"/>
            <w:shd w:val="clear" w:color="auto" w:fill="auto"/>
            <w:vAlign w:val="center"/>
            <w:hideMark/>
          </w:tcPr>
          <w:p w14:paraId="0CEBAC06"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95,0</w:t>
            </w:r>
          </w:p>
        </w:tc>
        <w:tc>
          <w:tcPr>
            <w:tcW w:w="952" w:type="pct"/>
            <w:shd w:val="clear" w:color="auto" w:fill="auto"/>
            <w:vAlign w:val="center"/>
            <w:hideMark/>
          </w:tcPr>
          <w:p w14:paraId="483307CB"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-8,8</w:t>
            </w:r>
          </w:p>
        </w:tc>
      </w:tr>
      <w:tr w:rsidR="009877EB" w:rsidRPr="00A37BCE" w14:paraId="56FB12D6" w14:textId="77777777" w:rsidTr="003B0E3D">
        <w:trPr>
          <w:trHeight w:val="229"/>
          <w:tblHeader/>
        </w:trPr>
        <w:tc>
          <w:tcPr>
            <w:tcW w:w="2142" w:type="pct"/>
            <w:shd w:val="clear" w:color="auto" w:fill="auto"/>
            <w:noWrap/>
            <w:vAlign w:val="center"/>
            <w:hideMark/>
          </w:tcPr>
          <w:p w14:paraId="7C631001"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Субвенције</w:t>
            </w:r>
          </w:p>
        </w:tc>
        <w:tc>
          <w:tcPr>
            <w:tcW w:w="953" w:type="pct"/>
            <w:shd w:val="clear" w:color="auto" w:fill="auto"/>
            <w:vAlign w:val="center"/>
            <w:hideMark/>
          </w:tcPr>
          <w:p w14:paraId="7F69F25E"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67,5</w:t>
            </w:r>
          </w:p>
        </w:tc>
        <w:tc>
          <w:tcPr>
            <w:tcW w:w="953" w:type="pct"/>
            <w:shd w:val="clear" w:color="auto" w:fill="auto"/>
            <w:vAlign w:val="center"/>
            <w:hideMark/>
          </w:tcPr>
          <w:p w14:paraId="1E83F1AB"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69,8</w:t>
            </w:r>
          </w:p>
        </w:tc>
        <w:tc>
          <w:tcPr>
            <w:tcW w:w="952" w:type="pct"/>
            <w:shd w:val="clear" w:color="auto" w:fill="auto"/>
            <w:vAlign w:val="center"/>
            <w:hideMark/>
          </w:tcPr>
          <w:p w14:paraId="46DAE7CA"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3,3</w:t>
            </w:r>
          </w:p>
        </w:tc>
      </w:tr>
      <w:tr w:rsidR="009877EB" w:rsidRPr="00A37BCE" w14:paraId="30F45604" w14:textId="77777777" w:rsidTr="003B0E3D">
        <w:trPr>
          <w:trHeight w:val="229"/>
          <w:tblHeader/>
        </w:trPr>
        <w:tc>
          <w:tcPr>
            <w:tcW w:w="2142" w:type="pct"/>
            <w:shd w:val="clear" w:color="auto" w:fill="auto"/>
            <w:noWrap/>
            <w:vAlign w:val="center"/>
            <w:hideMark/>
          </w:tcPr>
          <w:p w14:paraId="790E8F81"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Социјална помоћ и трансфери</w:t>
            </w:r>
          </w:p>
        </w:tc>
        <w:tc>
          <w:tcPr>
            <w:tcW w:w="953" w:type="pct"/>
            <w:shd w:val="clear" w:color="auto" w:fill="auto"/>
            <w:vAlign w:val="center"/>
            <w:hideMark/>
          </w:tcPr>
          <w:p w14:paraId="3EA43A0E"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526,1</w:t>
            </w:r>
          </w:p>
        </w:tc>
        <w:tc>
          <w:tcPr>
            <w:tcW w:w="953" w:type="pct"/>
            <w:shd w:val="clear" w:color="auto" w:fill="auto"/>
            <w:vAlign w:val="center"/>
            <w:hideMark/>
          </w:tcPr>
          <w:p w14:paraId="3D53FE08"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544,9</w:t>
            </w:r>
          </w:p>
        </w:tc>
        <w:tc>
          <w:tcPr>
            <w:tcW w:w="952" w:type="pct"/>
            <w:shd w:val="clear" w:color="auto" w:fill="auto"/>
            <w:vAlign w:val="center"/>
            <w:hideMark/>
          </w:tcPr>
          <w:p w14:paraId="5A4555AB"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3,6</w:t>
            </w:r>
          </w:p>
        </w:tc>
      </w:tr>
      <w:tr w:rsidR="009877EB" w:rsidRPr="00A37BCE" w14:paraId="413792EC" w14:textId="77777777" w:rsidTr="003B0E3D">
        <w:trPr>
          <w:trHeight w:val="229"/>
          <w:tblHeader/>
        </w:trPr>
        <w:tc>
          <w:tcPr>
            <w:tcW w:w="2142" w:type="pct"/>
            <w:shd w:val="clear" w:color="auto" w:fill="auto"/>
            <w:noWrap/>
            <w:vAlign w:val="center"/>
            <w:hideMark/>
          </w:tcPr>
          <w:p w14:paraId="2894A994"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од чега пензије</w:t>
            </w:r>
          </w:p>
        </w:tc>
        <w:tc>
          <w:tcPr>
            <w:tcW w:w="953" w:type="pct"/>
            <w:shd w:val="clear" w:color="auto" w:fill="auto"/>
            <w:vAlign w:val="center"/>
            <w:hideMark/>
          </w:tcPr>
          <w:p w14:paraId="6A3A493C"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371,6</w:t>
            </w:r>
          </w:p>
        </w:tc>
        <w:tc>
          <w:tcPr>
            <w:tcW w:w="953" w:type="pct"/>
            <w:shd w:val="clear" w:color="auto" w:fill="auto"/>
            <w:vAlign w:val="center"/>
            <w:hideMark/>
          </w:tcPr>
          <w:p w14:paraId="59188505"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388,4</w:t>
            </w:r>
          </w:p>
        </w:tc>
        <w:tc>
          <w:tcPr>
            <w:tcW w:w="952" w:type="pct"/>
            <w:shd w:val="clear" w:color="auto" w:fill="auto"/>
            <w:vAlign w:val="center"/>
            <w:hideMark/>
          </w:tcPr>
          <w:p w14:paraId="1CB4052F"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4,5</w:t>
            </w:r>
          </w:p>
        </w:tc>
      </w:tr>
      <w:tr w:rsidR="009877EB" w:rsidRPr="00A37BCE" w14:paraId="24072955" w14:textId="77777777" w:rsidTr="003B0E3D">
        <w:trPr>
          <w:trHeight w:val="229"/>
          <w:tblHeader/>
        </w:trPr>
        <w:tc>
          <w:tcPr>
            <w:tcW w:w="2142" w:type="pct"/>
            <w:shd w:val="clear" w:color="auto" w:fill="auto"/>
            <w:noWrap/>
            <w:vAlign w:val="center"/>
            <w:hideMark/>
          </w:tcPr>
          <w:p w14:paraId="0C0C4014"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Остали текући расходи</w:t>
            </w:r>
          </w:p>
        </w:tc>
        <w:tc>
          <w:tcPr>
            <w:tcW w:w="953" w:type="pct"/>
            <w:shd w:val="clear" w:color="auto" w:fill="auto"/>
            <w:vAlign w:val="center"/>
            <w:hideMark/>
          </w:tcPr>
          <w:p w14:paraId="4D02F8A9"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40,7</w:t>
            </w:r>
          </w:p>
        </w:tc>
        <w:tc>
          <w:tcPr>
            <w:tcW w:w="953" w:type="pct"/>
            <w:shd w:val="clear" w:color="auto" w:fill="auto"/>
            <w:vAlign w:val="center"/>
            <w:hideMark/>
          </w:tcPr>
          <w:p w14:paraId="060A4A7B"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45,9</w:t>
            </w:r>
          </w:p>
        </w:tc>
        <w:tc>
          <w:tcPr>
            <w:tcW w:w="952" w:type="pct"/>
            <w:shd w:val="clear" w:color="auto" w:fill="auto"/>
            <w:vAlign w:val="center"/>
            <w:hideMark/>
          </w:tcPr>
          <w:p w14:paraId="53D8176A"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12,8</w:t>
            </w:r>
          </w:p>
        </w:tc>
      </w:tr>
      <w:tr w:rsidR="009877EB" w:rsidRPr="00A37BCE" w14:paraId="446EA7F2" w14:textId="77777777" w:rsidTr="003B0E3D">
        <w:trPr>
          <w:trHeight w:val="229"/>
          <w:tblHeader/>
        </w:trPr>
        <w:tc>
          <w:tcPr>
            <w:tcW w:w="2142" w:type="pct"/>
            <w:shd w:val="clear" w:color="auto" w:fill="auto"/>
            <w:noWrap/>
            <w:vAlign w:val="center"/>
            <w:hideMark/>
          </w:tcPr>
          <w:p w14:paraId="41C963F7"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Капитални расходи</w:t>
            </w:r>
          </w:p>
        </w:tc>
        <w:tc>
          <w:tcPr>
            <w:tcW w:w="953" w:type="pct"/>
            <w:shd w:val="clear" w:color="auto" w:fill="auto"/>
            <w:vAlign w:val="center"/>
            <w:hideMark/>
          </w:tcPr>
          <w:p w14:paraId="660CDC83"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77,2</w:t>
            </w:r>
          </w:p>
        </w:tc>
        <w:tc>
          <w:tcPr>
            <w:tcW w:w="953" w:type="pct"/>
            <w:shd w:val="clear" w:color="auto" w:fill="auto"/>
            <w:vAlign w:val="center"/>
            <w:hideMark/>
          </w:tcPr>
          <w:p w14:paraId="16746901"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122,5</w:t>
            </w:r>
          </w:p>
        </w:tc>
        <w:tc>
          <w:tcPr>
            <w:tcW w:w="952" w:type="pct"/>
            <w:shd w:val="clear" w:color="auto" w:fill="auto"/>
            <w:vAlign w:val="center"/>
            <w:hideMark/>
          </w:tcPr>
          <w:p w14:paraId="0AED15EC"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58,6</w:t>
            </w:r>
          </w:p>
        </w:tc>
      </w:tr>
      <w:tr w:rsidR="009877EB" w:rsidRPr="00A37BCE" w14:paraId="1AB0CAD1" w14:textId="77777777" w:rsidTr="003B0E3D">
        <w:trPr>
          <w:trHeight w:val="229"/>
          <w:tblHeader/>
        </w:trPr>
        <w:tc>
          <w:tcPr>
            <w:tcW w:w="2142" w:type="pct"/>
            <w:shd w:val="clear" w:color="auto" w:fill="auto"/>
            <w:noWrap/>
            <w:vAlign w:val="center"/>
            <w:hideMark/>
          </w:tcPr>
          <w:p w14:paraId="642DC501"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Нето буџетске позајмице</w:t>
            </w:r>
          </w:p>
        </w:tc>
        <w:tc>
          <w:tcPr>
            <w:tcW w:w="953" w:type="pct"/>
            <w:shd w:val="clear" w:color="auto" w:fill="auto"/>
            <w:vAlign w:val="center"/>
            <w:hideMark/>
          </w:tcPr>
          <w:p w14:paraId="4AEBAC40"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10,5</w:t>
            </w:r>
          </w:p>
        </w:tc>
        <w:tc>
          <w:tcPr>
            <w:tcW w:w="953" w:type="pct"/>
            <w:shd w:val="clear" w:color="auto" w:fill="auto"/>
            <w:vAlign w:val="center"/>
            <w:hideMark/>
          </w:tcPr>
          <w:p w14:paraId="4E3BFAE0"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6,2</w:t>
            </w:r>
          </w:p>
        </w:tc>
        <w:tc>
          <w:tcPr>
            <w:tcW w:w="952" w:type="pct"/>
            <w:shd w:val="clear" w:color="auto" w:fill="auto"/>
            <w:vAlign w:val="center"/>
            <w:hideMark/>
          </w:tcPr>
          <w:p w14:paraId="6E14453B"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-41,1</w:t>
            </w:r>
          </w:p>
        </w:tc>
      </w:tr>
      <w:tr w:rsidR="009877EB" w:rsidRPr="00A37BCE" w14:paraId="7769DA82" w14:textId="77777777" w:rsidTr="003B0E3D">
        <w:trPr>
          <w:trHeight w:val="229"/>
          <w:tblHeader/>
        </w:trPr>
        <w:tc>
          <w:tcPr>
            <w:tcW w:w="2142" w:type="pct"/>
            <w:shd w:val="clear" w:color="auto" w:fill="auto"/>
            <w:noWrap/>
            <w:vAlign w:val="center"/>
            <w:hideMark/>
          </w:tcPr>
          <w:p w14:paraId="0B617A70"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Активиране гаранције</w:t>
            </w:r>
          </w:p>
        </w:tc>
        <w:tc>
          <w:tcPr>
            <w:tcW w:w="953" w:type="pct"/>
            <w:shd w:val="clear" w:color="auto" w:fill="auto"/>
            <w:vAlign w:val="center"/>
            <w:hideMark/>
          </w:tcPr>
          <w:p w14:paraId="35A2CB3E"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20,7</w:t>
            </w:r>
          </w:p>
        </w:tc>
        <w:tc>
          <w:tcPr>
            <w:tcW w:w="953" w:type="pct"/>
            <w:shd w:val="clear" w:color="auto" w:fill="auto"/>
            <w:vAlign w:val="center"/>
            <w:hideMark/>
          </w:tcPr>
          <w:p w14:paraId="415BD7F9"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15,6</w:t>
            </w:r>
          </w:p>
        </w:tc>
        <w:tc>
          <w:tcPr>
            <w:tcW w:w="952" w:type="pct"/>
            <w:shd w:val="clear" w:color="auto" w:fill="auto"/>
            <w:vAlign w:val="center"/>
            <w:hideMark/>
          </w:tcPr>
          <w:p w14:paraId="7B794C1C"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-24,5</w:t>
            </w:r>
          </w:p>
        </w:tc>
      </w:tr>
      <w:tr w:rsidR="009877EB" w:rsidRPr="00A37BCE" w14:paraId="1DC2025F" w14:textId="77777777" w:rsidTr="003B0E3D">
        <w:trPr>
          <w:trHeight w:val="229"/>
          <w:tblHeader/>
        </w:trPr>
        <w:tc>
          <w:tcPr>
            <w:tcW w:w="2142" w:type="pct"/>
            <w:tcBorders>
              <w:bottom w:val="single" w:sz="4" w:space="0" w:color="002060"/>
            </w:tcBorders>
            <w:shd w:val="clear" w:color="auto" w:fill="E7E6E6" w:themeFill="background2"/>
            <w:noWrap/>
            <w:vAlign w:val="center"/>
            <w:hideMark/>
          </w:tcPr>
          <w:p w14:paraId="32F0B5AC" w14:textId="77777777" w:rsidR="009877EB" w:rsidRPr="00A37BCE" w:rsidRDefault="009877EB" w:rsidP="009877EB">
            <w:pPr>
              <w:spacing w:after="0" w:line="240" w:lineRule="auto"/>
              <w:rPr>
                <w:rFonts w:cstheme="minorHAnsi"/>
                <w:color w:val="002060"/>
                <w:sz w:val="18"/>
                <w:szCs w:val="18"/>
                <w:lang w:val="sr-Cyrl-RS"/>
              </w:rPr>
            </w:pPr>
            <w:r w:rsidRPr="00A37BCE">
              <w:rPr>
                <w:rFonts w:cstheme="minorHAnsi"/>
                <w:color w:val="002060"/>
                <w:sz w:val="18"/>
                <w:szCs w:val="18"/>
                <w:lang w:val="sr-Cyrl-RS"/>
              </w:rPr>
              <w:t>Фискални резултат</w:t>
            </w:r>
          </w:p>
        </w:tc>
        <w:tc>
          <w:tcPr>
            <w:tcW w:w="953" w:type="pct"/>
            <w:tcBorders>
              <w:bottom w:val="single" w:sz="4" w:space="0" w:color="002060"/>
            </w:tcBorders>
            <w:shd w:val="clear" w:color="auto" w:fill="E7E6E6" w:themeFill="background2"/>
            <w:vAlign w:val="center"/>
            <w:hideMark/>
          </w:tcPr>
          <w:p w14:paraId="5776587B"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82,1</w:t>
            </w:r>
          </w:p>
        </w:tc>
        <w:tc>
          <w:tcPr>
            <w:tcW w:w="953" w:type="pct"/>
            <w:tcBorders>
              <w:bottom w:val="single" w:sz="4" w:space="0" w:color="002060"/>
            </w:tcBorders>
            <w:shd w:val="clear" w:color="auto" w:fill="E7E6E6" w:themeFill="background2"/>
            <w:vAlign w:val="center"/>
            <w:hideMark/>
          </w:tcPr>
          <w:p w14:paraId="722D4E15"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54,5</w:t>
            </w:r>
          </w:p>
        </w:tc>
        <w:tc>
          <w:tcPr>
            <w:tcW w:w="952" w:type="pct"/>
            <w:tcBorders>
              <w:bottom w:val="single" w:sz="4" w:space="0" w:color="002060"/>
            </w:tcBorders>
            <w:shd w:val="clear" w:color="auto" w:fill="E7E6E6" w:themeFill="background2"/>
            <w:vAlign w:val="center"/>
            <w:hideMark/>
          </w:tcPr>
          <w:p w14:paraId="4F196EF1" w14:textId="77777777" w:rsidR="009877EB" w:rsidRPr="00A37BCE" w:rsidRDefault="009877EB" w:rsidP="009877EB">
            <w:pPr>
              <w:spacing w:after="0" w:line="240" w:lineRule="auto"/>
              <w:jc w:val="right"/>
              <w:rPr>
                <w:rFonts w:cstheme="minorHAnsi"/>
                <w:color w:val="002060"/>
                <w:sz w:val="18"/>
                <w:szCs w:val="18"/>
                <w:lang w:val="sr-Cyrl-RS"/>
              </w:rPr>
            </w:pPr>
            <w:r w:rsidRPr="00A37BCE">
              <w:rPr>
                <w:rFonts w:cstheme="minorHAnsi"/>
                <w:color w:val="002060"/>
                <w:sz w:val="18"/>
                <w:szCs w:val="18"/>
                <w:lang w:val="sr-Cyrl-RS"/>
              </w:rPr>
              <w:t> </w:t>
            </w:r>
          </w:p>
        </w:tc>
      </w:tr>
    </w:tbl>
    <w:p w14:paraId="36E1C2CA" w14:textId="6C3B4174" w:rsidR="009877EB" w:rsidRPr="00A37BCE" w:rsidRDefault="009877EB" w:rsidP="009877EB">
      <w:pPr>
        <w:spacing w:after="120" w:line="240" w:lineRule="auto"/>
        <w:jc w:val="both"/>
        <w:rPr>
          <w:rFonts w:eastAsia="MS PGothic" w:cstheme="minorHAnsi"/>
          <w:color w:val="000000" w:themeColor="text1"/>
          <w:sz w:val="20"/>
          <w:szCs w:val="20"/>
          <w:lang w:val="sr-Cyrl-RS" w:eastAsia="ja-JP"/>
        </w:rPr>
        <w:sectPr w:rsidR="009877EB" w:rsidRPr="00A37BCE" w:rsidSect="00BA4876">
          <w:type w:val="continuous"/>
          <w:pgSz w:w="12240" w:h="15840"/>
          <w:pgMar w:top="1440" w:right="1440" w:bottom="1440" w:left="1440" w:header="720" w:footer="720" w:gutter="0"/>
          <w:cols w:space="720"/>
          <w:docGrid w:linePitch="360"/>
        </w:sectPr>
      </w:pPr>
      <w:r w:rsidRPr="00A37BCE">
        <w:rPr>
          <w:rFonts w:eastAsia="Calibri" w:cstheme="minorHAnsi"/>
          <w:bCs/>
          <w:color w:val="44546A" w:themeColor="text2"/>
          <w:sz w:val="16"/>
          <w:szCs w:val="20"/>
          <w:lang w:val="sr-Cyrl-RS" w:eastAsia="ja-JP"/>
        </w:rPr>
        <w:t xml:space="preserve">Извор: </w:t>
      </w:r>
      <w:r w:rsidRPr="00A37BCE">
        <w:rPr>
          <w:rFonts w:cstheme="minorHAnsi"/>
          <w:color w:val="44546A" w:themeColor="text2"/>
          <w:sz w:val="16"/>
          <w:szCs w:val="20"/>
          <w:lang w:val="sr-Cyrl-RS"/>
        </w:rPr>
        <w:t xml:space="preserve">Министарство </w:t>
      </w:r>
      <w:r w:rsidR="0047251C" w:rsidRPr="00A37BCE">
        <w:rPr>
          <w:rFonts w:cstheme="minorHAnsi"/>
          <w:color w:val="44546A" w:themeColor="text2"/>
          <w:sz w:val="16"/>
          <w:szCs w:val="20"/>
          <w:lang w:val="sr-Cyrl-RS"/>
        </w:rPr>
        <w:t>финансија</w:t>
      </w:r>
    </w:p>
    <w:p w14:paraId="615F2BD6" w14:textId="77777777" w:rsidR="00BA4876" w:rsidRPr="00A37BCE" w:rsidRDefault="00BA4876">
      <w:pPr>
        <w:rPr>
          <w:rFonts w:eastAsia="MS PGothic" w:cstheme="minorHAnsi"/>
          <w:b/>
          <w:color w:val="2F5496" w:themeColor="accent1" w:themeShade="BF"/>
          <w:sz w:val="20"/>
          <w:szCs w:val="20"/>
          <w:lang w:val="sr-Cyrl-RS" w:eastAsia="ja-JP"/>
        </w:rPr>
      </w:pPr>
      <w:r w:rsidRPr="00A37BCE">
        <w:rPr>
          <w:rFonts w:eastAsia="MS PGothic" w:cstheme="minorHAnsi"/>
          <w:b/>
          <w:color w:val="2F5496" w:themeColor="accent1" w:themeShade="BF"/>
          <w:sz w:val="20"/>
          <w:szCs w:val="20"/>
          <w:lang w:val="sr-Cyrl-RS" w:eastAsia="ja-JP"/>
        </w:rPr>
        <w:lastRenderedPageBreak/>
        <w:br w:type="page"/>
      </w:r>
    </w:p>
    <w:p w14:paraId="0DFA95C7" w14:textId="78A58B59" w:rsidR="009877EB" w:rsidRPr="00A37BCE" w:rsidRDefault="009877EB" w:rsidP="009877EB">
      <w:pPr>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lastRenderedPageBreak/>
        <w:t xml:space="preserve">Очекује се реализација јавних инвестиција у већем обиму </w:t>
      </w:r>
      <w:r w:rsidR="0047251C">
        <w:rPr>
          <w:rFonts w:eastAsia="MS PGothic" w:cstheme="minorHAnsi"/>
          <w:color w:val="44546A" w:themeColor="text2"/>
          <w:sz w:val="20"/>
          <w:szCs w:val="20"/>
          <w:lang w:val="sr-Cyrl-RS" w:eastAsia="ja-JP"/>
        </w:rPr>
        <w:t>од планираног. Извршење капитал</w:t>
      </w:r>
      <w:r w:rsidRPr="00A37BCE">
        <w:rPr>
          <w:rFonts w:eastAsia="MS PGothic" w:cstheme="minorHAnsi"/>
          <w:color w:val="44546A" w:themeColor="text2"/>
          <w:sz w:val="20"/>
          <w:szCs w:val="20"/>
          <w:lang w:val="sr-Cyrl-RS" w:eastAsia="ja-JP"/>
        </w:rPr>
        <w:t>них расхода за првих девет месеци 2018. године у односу на претходну годину веће је за око 60%. Капитални расходи достижу ниво од 3,6% БДП у 2018. години, што је значајно побољшање у односу претходни период.</w:t>
      </w:r>
    </w:p>
    <w:p w14:paraId="6150B753" w14:textId="07FB17B8" w:rsidR="009877EB" w:rsidRPr="00A37BCE" w:rsidRDefault="009877EB" w:rsidP="009877EB">
      <w:pPr>
        <w:widowControl w:val="0"/>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 xml:space="preserve">Стање доцњи (преко 60 дана кашњења)* буџетских корисника и организација обавезног </w:t>
      </w:r>
      <w:r w:rsidRPr="00A37BCE">
        <w:rPr>
          <w:rFonts w:eastAsia="MS PGothic" w:cstheme="minorHAnsi"/>
          <w:color w:val="44546A" w:themeColor="text2"/>
          <w:sz w:val="20"/>
          <w:szCs w:val="20"/>
          <w:lang w:val="sr-Cyrl-RS" w:eastAsia="ja-JP"/>
        </w:rPr>
        <w:lastRenderedPageBreak/>
        <w:t>социјалног осигурања последњег дана септембра 2018. године износило је 2,6 млрд динара (око 0,05% БДП), и непромењено је у односу на крај 2017. године. Корисници буџета и ЈП „Путеви Србије” креирали су доцње у плаћању од 1,4 млрд динара, док је стање доцњи организација обавезног социјалног осигурања 1,2 млрд.</w:t>
      </w:r>
    </w:p>
    <w:p w14:paraId="7095E8A8" w14:textId="77777777" w:rsidR="009877EB" w:rsidRPr="00A37BCE" w:rsidRDefault="009877EB" w:rsidP="009877EB">
      <w:pPr>
        <w:widowControl w:val="0"/>
        <w:spacing w:after="120" w:line="276" w:lineRule="auto"/>
        <w:jc w:val="both"/>
        <w:rPr>
          <w:rFonts w:eastAsia="MS PGothic" w:cstheme="minorHAnsi"/>
          <w:color w:val="44546A" w:themeColor="text2"/>
          <w:sz w:val="20"/>
          <w:szCs w:val="20"/>
          <w:lang w:val="sr-Cyrl-RS" w:eastAsia="ja-JP"/>
        </w:rPr>
      </w:pPr>
    </w:p>
    <w:p w14:paraId="420B5863" w14:textId="77777777" w:rsidR="009877EB" w:rsidRPr="00A37BCE" w:rsidRDefault="009877EB" w:rsidP="009877EB">
      <w:pPr>
        <w:widowControl w:val="0"/>
        <w:spacing w:after="120" w:line="276" w:lineRule="auto"/>
        <w:jc w:val="both"/>
        <w:rPr>
          <w:rFonts w:eastAsia="MS PGothic" w:cstheme="minorHAnsi"/>
          <w:color w:val="44546A" w:themeColor="text2"/>
          <w:sz w:val="20"/>
          <w:szCs w:val="20"/>
          <w:lang w:val="sr-Cyrl-RS" w:eastAsia="ja-JP"/>
        </w:rPr>
        <w:sectPr w:rsidR="009877EB" w:rsidRPr="00A37BCE" w:rsidSect="00BA4876">
          <w:type w:val="continuous"/>
          <w:pgSz w:w="12240" w:h="15840"/>
          <w:pgMar w:top="1440" w:right="1440" w:bottom="1440" w:left="1440" w:header="720" w:footer="720" w:gutter="0"/>
          <w:cols w:num="2" w:space="720"/>
          <w:docGrid w:linePitch="360"/>
        </w:sectPr>
      </w:pPr>
    </w:p>
    <w:tbl>
      <w:tblPr>
        <w:tblStyle w:val="LightShading-Accent335"/>
        <w:tblpPr w:leftFromText="180" w:rightFromText="180" w:vertAnchor="text" w:horzAnchor="margin" w:tblpY="274"/>
        <w:tblW w:w="5000" w:type="pct"/>
        <w:tblBorders>
          <w:top w:val="none" w:sz="0" w:space="0" w:color="auto"/>
          <w:bottom w:val="none" w:sz="0" w:space="0" w:color="auto"/>
        </w:tblBorders>
        <w:tblLook w:val="04A0" w:firstRow="1" w:lastRow="0" w:firstColumn="1" w:lastColumn="0" w:noHBand="0" w:noVBand="1"/>
      </w:tblPr>
      <w:tblGrid>
        <w:gridCol w:w="5248"/>
        <w:gridCol w:w="2057"/>
        <w:gridCol w:w="2055"/>
      </w:tblGrid>
      <w:tr w:rsidR="009877EB" w:rsidRPr="00A37BCE" w14:paraId="1C0EE41A" w14:textId="77777777" w:rsidTr="003B0E3D">
        <w:trPr>
          <w:cnfStyle w:val="100000000000" w:firstRow="1" w:lastRow="0" w:firstColumn="0" w:lastColumn="0" w:oddVBand="0" w:evenVBand="0" w:oddHBand="0" w:evenHBand="0" w:firstRowFirstColumn="0" w:firstRowLastColumn="0" w:lastRowFirstColumn="0" w:lastRowLastColumn="0"/>
          <w:trHeight w:val="42"/>
        </w:trPr>
        <w:tc>
          <w:tcPr>
            <w:cnfStyle w:val="001000000000" w:firstRow="0" w:lastRow="0" w:firstColumn="1" w:lastColumn="0" w:oddVBand="0" w:evenVBand="0" w:oddHBand="0" w:evenHBand="0" w:firstRowFirstColumn="0" w:firstRowLastColumn="0" w:lastRowFirstColumn="0" w:lastRowLastColumn="0"/>
            <w:tcW w:w="2803" w:type="pct"/>
            <w:tcBorders>
              <w:top w:val="single" w:sz="4" w:space="0" w:color="002060"/>
              <w:left w:val="none" w:sz="0" w:space="0" w:color="auto"/>
              <w:bottom w:val="none" w:sz="0" w:space="0" w:color="auto"/>
              <w:right w:val="none" w:sz="0" w:space="0" w:color="auto"/>
            </w:tcBorders>
            <w:shd w:val="clear" w:color="auto" w:fill="auto"/>
            <w:noWrap/>
            <w:hideMark/>
          </w:tcPr>
          <w:p w14:paraId="484AA269" w14:textId="77777777" w:rsidR="009877EB" w:rsidRPr="00A37BCE" w:rsidRDefault="009877EB" w:rsidP="009877EB">
            <w:pPr>
              <w:rPr>
                <w:rFonts w:asciiTheme="minorHAnsi" w:hAnsiTheme="minorHAnsi" w:cstheme="minorHAnsi"/>
                <w:b w:val="0"/>
                <w:color w:val="002060"/>
                <w:sz w:val="18"/>
                <w:lang w:val="sr-Cyrl-RS"/>
              </w:rPr>
            </w:pPr>
            <w:r w:rsidRPr="00A37BCE">
              <w:rPr>
                <w:rFonts w:asciiTheme="minorHAnsi" w:hAnsiTheme="minorHAnsi" w:cstheme="minorHAnsi"/>
                <w:b w:val="0"/>
                <w:color w:val="002060"/>
                <w:sz w:val="18"/>
                <w:lang w:val="sr-Cyrl-RS"/>
              </w:rPr>
              <w:t> </w:t>
            </w:r>
          </w:p>
        </w:tc>
        <w:tc>
          <w:tcPr>
            <w:tcW w:w="1099" w:type="pct"/>
            <w:tcBorders>
              <w:top w:val="single" w:sz="4" w:space="0" w:color="002060"/>
              <w:left w:val="none" w:sz="0" w:space="0" w:color="auto"/>
              <w:bottom w:val="single" w:sz="4" w:space="0" w:color="002060"/>
              <w:right w:val="none" w:sz="0" w:space="0" w:color="auto"/>
            </w:tcBorders>
            <w:shd w:val="clear" w:color="auto" w:fill="auto"/>
          </w:tcPr>
          <w:p w14:paraId="724564D1" w14:textId="77777777" w:rsidR="009877EB" w:rsidRPr="00A37BCE" w:rsidRDefault="009877EB" w:rsidP="009877EB">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lang w:val="sr-Cyrl-RS"/>
              </w:rPr>
            </w:pPr>
            <w:r w:rsidRPr="00A37BCE">
              <w:rPr>
                <w:rFonts w:asciiTheme="minorHAnsi" w:hAnsiTheme="minorHAnsi" w:cstheme="minorHAnsi"/>
                <w:b w:val="0"/>
                <w:color w:val="002060"/>
                <w:sz w:val="18"/>
                <w:lang w:val="sr-Cyrl-RS"/>
              </w:rPr>
              <w:t>31.12.2017</w:t>
            </w:r>
          </w:p>
        </w:tc>
        <w:tc>
          <w:tcPr>
            <w:tcW w:w="1098" w:type="pct"/>
            <w:tcBorders>
              <w:top w:val="single" w:sz="4" w:space="0" w:color="002060"/>
              <w:left w:val="none" w:sz="0" w:space="0" w:color="auto"/>
              <w:bottom w:val="single" w:sz="4" w:space="0" w:color="002060"/>
              <w:right w:val="none" w:sz="0" w:space="0" w:color="auto"/>
            </w:tcBorders>
            <w:shd w:val="clear" w:color="auto" w:fill="auto"/>
          </w:tcPr>
          <w:p w14:paraId="6B399B7C" w14:textId="77777777" w:rsidR="009877EB" w:rsidRPr="00A37BCE" w:rsidRDefault="009877EB" w:rsidP="009877EB">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lang w:val="sr-Cyrl-RS"/>
              </w:rPr>
            </w:pPr>
            <w:r w:rsidRPr="00A37BCE">
              <w:rPr>
                <w:rFonts w:asciiTheme="minorHAnsi" w:hAnsiTheme="minorHAnsi" w:cstheme="minorHAnsi"/>
                <w:b w:val="0"/>
                <w:color w:val="002060"/>
                <w:sz w:val="18"/>
                <w:lang w:val="sr-Cyrl-RS"/>
              </w:rPr>
              <w:t>30.9.2018.</w:t>
            </w:r>
          </w:p>
        </w:tc>
      </w:tr>
      <w:tr w:rsidR="009877EB" w:rsidRPr="00A37BCE" w14:paraId="245D1F69" w14:textId="77777777" w:rsidTr="003B0E3D">
        <w:trPr>
          <w:cnfStyle w:val="000000100000" w:firstRow="0" w:lastRow="0" w:firstColumn="0" w:lastColumn="0" w:oddVBand="0" w:evenVBand="0" w:oddHBand="1" w:evenHBand="0" w:firstRowFirstColumn="0" w:firstRowLastColumn="0" w:lastRowFirstColumn="0" w:lastRowLastColumn="0"/>
          <w:trHeight w:val="42"/>
        </w:trPr>
        <w:tc>
          <w:tcPr>
            <w:cnfStyle w:val="001000000000" w:firstRow="0" w:lastRow="0" w:firstColumn="1" w:lastColumn="0" w:oddVBand="0" w:evenVBand="0" w:oddHBand="0" w:evenHBand="0" w:firstRowFirstColumn="0" w:firstRowLastColumn="0" w:lastRowFirstColumn="0" w:lastRowLastColumn="0"/>
            <w:tcW w:w="2803" w:type="pct"/>
            <w:tcBorders>
              <w:left w:val="none" w:sz="0" w:space="0" w:color="auto"/>
              <w:right w:val="none" w:sz="0" w:space="0" w:color="auto"/>
            </w:tcBorders>
            <w:shd w:val="clear" w:color="auto" w:fill="auto"/>
            <w:noWrap/>
            <w:hideMark/>
          </w:tcPr>
          <w:p w14:paraId="02517D42" w14:textId="77777777" w:rsidR="009877EB" w:rsidRPr="00A37BCE" w:rsidRDefault="009877EB" w:rsidP="009877EB">
            <w:pPr>
              <w:rPr>
                <w:rFonts w:asciiTheme="minorHAnsi" w:hAnsiTheme="minorHAnsi" w:cstheme="minorHAnsi"/>
                <w:b w:val="0"/>
                <w:color w:val="002060"/>
                <w:sz w:val="18"/>
                <w:lang w:val="sr-Cyrl-RS"/>
              </w:rPr>
            </w:pPr>
            <w:r w:rsidRPr="00A37BCE">
              <w:rPr>
                <w:rFonts w:asciiTheme="minorHAnsi" w:hAnsiTheme="minorHAnsi" w:cstheme="minorHAnsi"/>
                <w:b w:val="0"/>
                <w:color w:val="002060"/>
                <w:sz w:val="18"/>
                <w:lang w:val="sr-Cyrl-RS"/>
              </w:rPr>
              <w:t xml:space="preserve">Буџетски корисници и ЈП „Путеви Србијеˮ </w:t>
            </w:r>
          </w:p>
        </w:tc>
        <w:tc>
          <w:tcPr>
            <w:tcW w:w="1099" w:type="pct"/>
            <w:tcBorders>
              <w:top w:val="single" w:sz="4" w:space="0" w:color="002060"/>
              <w:left w:val="none" w:sz="0" w:space="0" w:color="auto"/>
              <w:right w:val="none" w:sz="0" w:space="0" w:color="auto"/>
            </w:tcBorders>
            <w:shd w:val="clear" w:color="auto" w:fill="auto"/>
          </w:tcPr>
          <w:p w14:paraId="0B3F0F37" w14:textId="77777777" w:rsidR="009877EB" w:rsidRPr="00A37BCE" w:rsidRDefault="009877EB" w:rsidP="009877EB">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lang w:val="sr-Cyrl-RS"/>
              </w:rPr>
            </w:pPr>
            <w:r w:rsidRPr="00A37BCE">
              <w:rPr>
                <w:rFonts w:asciiTheme="minorHAnsi" w:hAnsiTheme="minorHAnsi" w:cstheme="minorHAnsi"/>
                <w:color w:val="002060"/>
                <w:sz w:val="18"/>
                <w:lang w:val="sr-Cyrl-RS"/>
              </w:rPr>
              <w:t>1,4</w:t>
            </w:r>
          </w:p>
        </w:tc>
        <w:tc>
          <w:tcPr>
            <w:tcW w:w="1098" w:type="pct"/>
            <w:tcBorders>
              <w:top w:val="single" w:sz="4" w:space="0" w:color="002060"/>
              <w:left w:val="none" w:sz="0" w:space="0" w:color="auto"/>
              <w:right w:val="none" w:sz="0" w:space="0" w:color="auto"/>
            </w:tcBorders>
            <w:shd w:val="clear" w:color="auto" w:fill="auto"/>
          </w:tcPr>
          <w:p w14:paraId="0D377A57" w14:textId="77777777" w:rsidR="009877EB" w:rsidRPr="00A37BCE" w:rsidRDefault="009877EB" w:rsidP="009877EB">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lang w:val="sr-Cyrl-RS"/>
              </w:rPr>
            </w:pPr>
            <w:r w:rsidRPr="00A37BCE">
              <w:rPr>
                <w:rFonts w:asciiTheme="minorHAnsi" w:hAnsiTheme="minorHAnsi" w:cstheme="minorHAnsi"/>
                <w:color w:val="002060"/>
                <w:sz w:val="18"/>
                <w:lang w:val="sr-Cyrl-RS"/>
              </w:rPr>
              <w:t>1,4</w:t>
            </w:r>
          </w:p>
        </w:tc>
      </w:tr>
      <w:tr w:rsidR="009877EB" w:rsidRPr="00A37BCE" w14:paraId="786B2A98" w14:textId="77777777" w:rsidTr="003B0E3D">
        <w:trPr>
          <w:trHeight w:val="42"/>
        </w:trPr>
        <w:tc>
          <w:tcPr>
            <w:cnfStyle w:val="001000000000" w:firstRow="0" w:lastRow="0" w:firstColumn="1" w:lastColumn="0" w:oddVBand="0" w:evenVBand="0" w:oddHBand="0" w:evenHBand="0" w:firstRowFirstColumn="0" w:firstRowLastColumn="0" w:lastRowFirstColumn="0" w:lastRowLastColumn="0"/>
            <w:tcW w:w="2803" w:type="pct"/>
            <w:shd w:val="clear" w:color="auto" w:fill="auto"/>
            <w:noWrap/>
            <w:hideMark/>
          </w:tcPr>
          <w:p w14:paraId="238AB220" w14:textId="77777777" w:rsidR="009877EB" w:rsidRPr="00A37BCE" w:rsidRDefault="009877EB" w:rsidP="009877EB">
            <w:pPr>
              <w:rPr>
                <w:rFonts w:asciiTheme="minorHAnsi" w:hAnsiTheme="minorHAnsi" w:cstheme="minorHAnsi"/>
                <w:b w:val="0"/>
                <w:color w:val="002060"/>
                <w:sz w:val="18"/>
                <w:lang w:val="sr-Cyrl-RS"/>
              </w:rPr>
            </w:pPr>
            <w:r w:rsidRPr="00A37BCE">
              <w:rPr>
                <w:rFonts w:asciiTheme="minorHAnsi" w:hAnsiTheme="minorHAnsi" w:cstheme="minorHAnsi"/>
                <w:b w:val="0"/>
                <w:color w:val="002060"/>
                <w:sz w:val="18"/>
                <w:lang w:val="sr-Cyrl-RS"/>
              </w:rPr>
              <w:t>ООСО</w:t>
            </w:r>
          </w:p>
        </w:tc>
        <w:tc>
          <w:tcPr>
            <w:tcW w:w="1099" w:type="pct"/>
            <w:shd w:val="clear" w:color="auto" w:fill="auto"/>
          </w:tcPr>
          <w:p w14:paraId="1AE0444D" w14:textId="77777777" w:rsidR="009877EB" w:rsidRPr="00A37BCE" w:rsidRDefault="009877EB" w:rsidP="009877EB">
            <w:pPr>
              <w:ind w:firstLine="709"/>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lang w:val="sr-Cyrl-RS"/>
              </w:rPr>
            </w:pPr>
            <w:r w:rsidRPr="00A37BCE">
              <w:rPr>
                <w:rFonts w:asciiTheme="minorHAnsi" w:hAnsiTheme="minorHAnsi" w:cstheme="minorHAnsi"/>
                <w:color w:val="002060"/>
                <w:sz w:val="18"/>
                <w:lang w:val="sr-Cyrl-RS"/>
              </w:rPr>
              <w:t>1,2</w:t>
            </w:r>
          </w:p>
        </w:tc>
        <w:tc>
          <w:tcPr>
            <w:tcW w:w="1098" w:type="pct"/>
            <w:shd w:val="clear" w:color="auto" w:fill="auto"/>
          </w:tcPr>
          <w:p w14:paraId="28A90D2C" w14:textId="77777777" w:rsidR="009877EB" w:rsidRPr="00A37BCE" w:rsidRDefault="009877EB" w:rsidP="009877EB">
            <w:pPr>
              <w:ind w:firstLine="709"/>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lang w:val="sr-Cyrl-RS"/>
              </w:rPr>
            </w:pPr>
            <w:r w:rsidRPr="00A37BCE">
              <w:rPr>
                <w:rFonts w:asciiTheme="minorHAnsi" w:hAnsiTheme="minorHAnsi" w:cstheme="minorHAnsi"/>
                <w:color w:val="002060"/>
                <w:sz w:val="18"/>
                <w:lang w:val="sr-Cyrl-RS"/>
              </w:rPr>
              <w:t>1,2</w:t>
            </w:r>
          </w:p>
        </w:tc>
      </w:tr>
      <w:tr w:rsidR="009877EB" w:rsidRPr="00A37BCE" w14:paraId="74510DBE" w14:textId="77777777" w:rsidTr="003B0E3D">
        <w:trPr>
          <w:cnfStyle w:val="000000100000" w:firstRow="0" w:lastRow="0" w:firstColumn="0" w:lastColumn="0" w:oddVBand="0" w:evenVBand="0" w:oddHBand="1" w:evenHBand="0" w:firstRowFirstColumn="0" w:firstRowLastColumn="0" w:lastRowFirstColumn="0" w:lastRowLastColumn="0"/>
          <w:trHeight w:val="80"/>
        </w:trPr>
        <w:tc>
          <w:tcPr>
            <w:cnfStyle w:val="001000000000" w:firstRow="0" w:lastRow="0" w:firstColumn="1" w:lastColumn="0" w:oddVBand="0" w:evenVBand="0" w:oddHBand="0" w:evenHBand="0" w:firstRowFirstColumn="0" w:firstRowLastColumn="0" w:lastRowFirstColumn="0" w:lastRowLastColumn="0"/>
            <w:tcW w:w="2803" w:type="pct"/>
            <w:tcBorders>
              <w:left w:val="none" w:sz="0" w:space="0" w:color="auto"/>
              <w:bottom w:val="single" w:sz="4" w:space="0" w:color="002060"/>
              <w:right w:val="none" w:sz="0" w:space="0" w:color="auto"/>
            </w:tcBorders>
            <w:shd w:val="clear" w:color="auto" w:fill="auto"/>
            <w:noWrap/>
            <w:hideMark/>
          </w:tcPr>
          <w:p w14:paraId="424E12B6" w14:textId="77777777" w:rsidR="009877EB" w:rsidRPr="00A37BCE" w:rsidRDefault="009877EB" w:rsidP="009877EB">
            <w:pPr>
              <w:rPr>
                <w:rFonts w:asciiTheme="minorHAnsi" w:hAnsiTheme="minorHAnsi" w:cstheme="minorHAnsi"/>
                <w:b w:val="0"/>
                <w:color w:val="002060"/>
                <w:sz w:val="18"/>
                <w:lang w:val="sr-Cyrl-RS"/>
              </w:rPr>
            </w:pPr>
            <w:r w:rsidRPr="00A37BCE">
              <w:rPr>
                <w:rFonts w:asciiTheme="minorHAnsi" w:hAnsiTheme="minorHAnsi" w:cstheme="minorHAnsi"/>
                <w:b w:val="0"/>
                <w:color w:val="002060"/>
                <w:sz w:val="18"/>
                <w:lang w:val="sr-Cyrl-RS"/>
              </w:rPr>
              <w:t>УКУПНО</w:t>
            </w:r>
          </w:p>
        </w:tc>
        <w:tc>
          <w:tcPr>
            <w:tcW w:w="1099" w:type="pct"/>
            <w:tcBorders>
              <w:left w:val="none" w:sz="0" w:space="0" w:color="auto"/>
              <w:bottom w:val="single" w:sz="4" w:space="0" w:color="002060"/>
              <w:right w:val="none" w:sz="0" w:space="0" w:color="auto"/>
            </w:tcBorders>
            <w:shd w:val="clear" w:color="auto" w:fill="auto"/>
          </w:tcPr>
          <w:p w14:paraId="4830B5F2" w14:textId="77777777" w:rsidR="009877EB" w:rsidRPr="00A37BCE" w:rsidRDefault="009877EB" w:rsidP="009877EB">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lang w:val="sr-Cyrl-RS"/>
              </w:rPr>
            </w:pPr>
            <w:r w:rsidRPr="00A37BCE">
              <w:rPr>
                <w:rFonts w:asciiTheme="minorHAnsi" w:hAnsiTheme="minorHAnsi" w:cstheme="minorHAnsi"/>
                <w:color w:val="002060"/>
                <w:sz w:val="18"/>
                <w:lang w:val="sr-Cyrl-RS"/>
              </w:rPr>
              <w:t>2,6</w:t>
            </w:r>
          </w:p>
        </w:tc>
        <w:tc>
          <w:tcPr>
            <w:tcW w:w="1098" w:type="pct"/>
            <w:tcBorders>
              <w:left w:val="none" w:sz="0" w:space="0" w:color="auto"/>
              <w:bottom w:val="single" w:sz="4" w:space="0" w:color="002060"/>
              <w:right w:val="none" w:sz="0" w:space="0" w:color="auto"/>
            </w:tcBorders>
            <w:shd w:val="clear" w:color="auto" w:fill="auto"/>
          </w:tcPr>
          <w:p w14:paraId="0FC0D8FD" w14:textId="77777777" w:rsidR="009877EB" w:rsidRPr="00A37BCE" w:rsidRDefault="009877EB" w:rsidP="009877EB">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lang w:val="sr-Cyrl-RS"/>
              </w:rPr>
            </w:pPr>
            <w:r w:rsidRPr="00A37BCE">
              <w:rPr>
                <w:rFonts w:asciiTheme="minorHAnsi" w:hAnsiTheme="minorHAnsi" w:cstheme="minorHAnsi"/>
                <w:color w:val="002060"/>
                <w:sz w:val="18"/>
                <w:lang w:val="sr-Cyrl-RS"/>
              </w:rPr>
              <w:t>2,6</w:t>
            </w:r>
          </w:p>
        </w:tc>
      </w:tr>
    </w:tbl>
    <w:p w14:paraId="648915D3" w14:textId="7F55C705" w:rsidR="009877EB" w:rsidRPr="00A37BCE" w:rsidRDefault="005B01D9" w:rsidP="009877EB">
      <w:pPr>
        <w:spacing w:after="0" w:line="240" w:lineRule="auto"/>
        <w:ind w:right="-405"/>
        <w:jc w:val="center"/>
        <w:rPr>
          <w:rFonts w:eastAsia="MS PGothic" w:cstheme="minorHAnsi"/>
          <w:b/>
          <w:color w:val="002060"/>
          <w:sz w:val="20"/>
          <w:szCs w:val="20"/>
          <w:lang w:val="sr-Cyrl-RS" w:eastAsia="ja-JP"/>
        </w:rPr>
      </w:pPr>
      <w:r w:rsidRPr="00A37BCE">
        <w:rPr>
          <w:rFonts w:eastAsia="MS PGothic" w:cstheme="minorHAnsi"/>
          <w:b/>
          <w:color w:val="002060"/>
          <w:sz w:val="20"/>
          <w:szCs w:val="20"/>
          <w:lang w:val="sr-Cyrl-RS" w:eastAsia="ja-JP"/>
        </w:rPr>
        <w:lastRenderedPageBreak/>
        <w:t>Табела 7</w:t>
      </w:r>
      <w:r w:rsidR="009877EB" w:rsidRPr="00A37BCE">
        <w:rPr>
          <w:rFonts w:eastAsia="MS PGothic" w:cstheme="minorHAnsi"/>
          <w:b/>
          <w:color w:val="002060"/>
          <w:sz w:val="20"/>
          <w:szCs w:val="20"/>
          <w:lang w:val="sr-Cyrl-RS" w:eastAsia="ja-JP"/>
        </w:rPr>
        <w:t>. Стање доцњи у плаћању буџетских корисника и ООСО, преко 60 дана, у млрд динара</w:t>
      </w:r>
    </w:p>
    <w:p w14:paraId="374905D9" w14:textId="52EAFCE8" w:rsidR="009877EB" w:rsidRPr="00A37BCE" w:rsidRDefault="009877EB" w:rsidP="009877EB">
      <w:pPr>
        <w:spacing w:after="120" w:line="240" w:lineRule="auto"/>
        <w:jc w:val="both"/>
        <w:rPr>
          <w:rFonts w:cstheme="minorHAnsi"/>
          <w:color w:val="44546A" w:themeColor="text2"/>
          <w:sz w:val="16"/>
          <w:szCs w:val="20"/>
          <w:lang w:val="sr-Cyrl-RS"/>
        </w:rPr>
      </w:pPr>
      <w:r w:rsidRPr="00A37BCE">
        <w:rPr>
          <w:rFonts w:eastAsia="Calibri" w:cstheme="minorHAnsi"/>
          <w:bCs/>
          <w:color w:val="44546A" w:themeColor="text2"/>
          <w:sz w:val="16"/>
          <w:szCs w:val="20"/>
          <w:lang w:val="sr-Cyrl-RS" w:eastAsia="ja-JP"/>
        </w:rPr>
        <w:t xml:space="preserve">Извор: </w:t>
      </w:r>
      <w:r w:rsidRPr="00A37BCE">
        <w:rPr>
          <w:rFonts w:cstheme="minorHAnsi"/>
          <w:color w:val="44546A" w:themeColor="text2"/>
          <w:sz w:val="16"/>
          <w:szCs w:val="20"/>
          <w:lang w:val="sr-Cyrl-RS"/>
        </w:rPr>
        <w:t xml:space="preserve">Министарство </w:t>
      </w:r>
      <w:r w:rsidR="0047251C" w:rsidRPr="00A37BCE">
        <w:rPr>
          <w:rFonts w:cstheme="minorHAnsi"/>
          <w:color w:val="44546A" w:themeColor="text2"/>
          <w:sz w:val="16"/>
          <w:szCs w:val="20"/>
          <w:lang w:val="sr-Cyrl-RS"/>
        </w:rPr>
        <w:t>финансија</w:t>
      </w:r>
    </w:p>
    <w:p w14:paraId="0C29447A" w14:textId="3F439E19" w:rsidR="00BF1392" w:rsidRPr="00A37BCE" w:rsidRDefault="00BF1392" w:rsidP="00713FFE">
      <w:pPr>
        <w:pStyle w:val="ListParagraph"/>
        <w:spacing w:after="120" w:line="240" w:lineRule="auto"/>
        <w:ind w:left="0"/>
        <w:jc w:val="both"/>
        <w:rPr>
          <w:rFonts w:eastAsia="MS PGothic" w:cstheme="minorHAnsi"/>
          <w:color w:val="44546A" w:themeColor="text2"/>
          <w:sz w:val="16"/>
          <w:szCs w:val="16"/>
          <w:lang w:val="sr-Cyrl-RS" w:eastAsia="ja-JP"/>
        </w:rPr>
      </w:pPr>
      <w:r w:rsidRPr="00713FFE">
        <w:rPr>
          <w:rFonts w:eastAsia="MS PGothic" w:cstheme="minorHAnsi"/>
          <w:color w:val="44546A" w:themeColor="text2"/>
          <w:sz w:val="16"/>
          <w:szCs w:val="16"/>
          <w:lang w:val="sr-Cyrl-RS" w:eastAsia="ja-JP"/>
        </w:rPr>
        <w:t xml:space="preserve">* У </w:t>
      </w:r>
      <w:r w:rsidRPr="00A37BCE">
        <w:rPr>
          <w:rFonts w:eastAsia="MS PGothic" w:cstheme="minorHAnsi"/>
          <w:color w:val="44546A" w:themeColor="text2"/>
          <w:sz w:val="16"/>
          <w:szCs w:val="16"/>
          <w:lang w:val="sr-Cyrl-RS" w:eastAsia="ja-JP"/>
        </w:rPr>
        <w:t>складу са дефиницијом која се користи у за потребе праћења спровођења аранжмана са ММФ</w:t>
      </w:r>
      <w:r w:rsidR="00713FFE">
        <w:rPr>
          <w:rFonts w:eastAsia="MS PGothic" w:cstheme="minorHAnsi"/>
          <w:color w:val="44546A" w:themeColor="text2"/>
          <w:sz w:val="16"/>
          <w:szCs w:val="16"/>
          <w:lang w:val="sr-Cyrl-RS" w:eastAsia="ja-JP"/>
        </w:rPr>
        <w:t>.</w:t>
      </w:r>
    </w:p>
    <w:p w14:paraId="7A173DC1" w14:textId="50FBD40C" w:rsidR="000676C7" w:rsidRPr="00A37BCE" w:rsidRDefault="000676C7" w:rsidP="009877EB">
      <w:pPr>
        <w:spacing w:after="120" w:line="240" w:lineRule="auto"/>
        <w:jc w:val="both"/>
        <w:rPr>
          <w:rFonts w:eastAsia="MS PGothic" w:cstheme="minorHAnsi"/>
          <w:color w:val="000000" w:themeColor="text1"/>
          <w:sz w:val="20"/>
          <w:szCs w:val="20"/>
          <w:lang w:val="sr-Cyrl-RS" w:eastAsia="ja-JP"/>
        </w:rPr>
        <w:sectPr w:rsidR="000676C7" w:rsidRPr="00A37BCE" w:rsidSect="00BA4876">
          <w:type w:val="continuous"/>
          <w:pgSz w:w="12240" w:h="15840"/>
          <w:pgMar w:top="1440" w:right="1440" w:bottom="1440" w:left="1440" w:header="720" w:footer="720" w:gutter="0"/>
          <w:cols w:space="720"/>
          <w:docGrid w:linePitch="360"/>
        </w:sectPr>
      </w:pPr>
      <w:r w:rsidRPr="00A37BCE">
        <w:rPr>
          <w:rFonts w:cstheme="minorHAnsi"/>
          <w:noProof/>
        </w:rPr>
        <mc:AlternateContent>
          <mc:Choice Requires="wps">
            <w:drawing>
              <wp:anchor distT="0" distB="0" distL="114300" distR="114300" simplePos="0" relativeHeight="251691008" behindDoc="1" locked="0" layoutInCell="1" allowOverlap="1" wp14:anchorId="5EF500D0" wp14:editId="5871B1B8">
                <wp:simplePos x="0" y="0"/>
                <wp:positionH relativeFrom="margin">
                  <wp:posOffset>-57150</wp:posOffset>
                </wp:positionH>
                <wp:positionV relativeFrom="paragraph">
                  <wp:posOffset>206375</wp:posOffset>
                </wp:positionV>
                <wp:extent cx="6028055" cy="5314950"/>
                <wp:effectExtent l="0" t="0" r="0" b="0"/>
                <wp:wrapNone/>
                <wp:docPr id="52" name="Rectangle 52"/>
                <wp:cNvGraphicFramePr/>
                <a:graphic xmlns:a="http://schemas.openxmlformats.org/drawingml/2006/main">
                  <a:graphicData uri="http://schemas.microsoft.com/office/word/2010/wordprocessingShape">
                    <wps:wsp>
                      <wps:cNvSpPr/>
                      <wps:spPr>
                        <a:xfrm>
                          <a:off x="0" y="0"/>
                          <a:ext cx="6028055" cy="5314950"/>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3211FFCC" id="Rectangle 52" o:spid="_x0000_s1026" style="position:absolute;margin-left:-4.5pt;margin-top:16.25pt;width:474.65pt;height:418.5pt;z-index:-2516254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9VaBtQIAAPQFAAAOAAAAZHJzL2Uyb0RvYy54bWysVFFP2zAQfp+0/2D5fSTNGgYVKapATJPY&#10;QMDEs+vYTSTH59lu0+7X72wnKWKIh2kvju377u67L767uNx3iuyEdS3ois5OckqE5lC3elPRn083&#10;n84ocZ7pminQoqIH4ejl8uOHi94sRAENqFpYgkG0W/Smoo33ZpFljjeiY+4EjNBolGA75vFoN1lt&#10;WY/RO5UVeX6a9WBrY4EL5/D2OhnpMsaXUnB/J6UTnqiKIjcfVxvXdViz5QVbbCwzTcsHGuwfWHSs&#10;1Zh0CnXNPCNb2/4Vqmu5BQfSn3DoMpCy5SLWgNXM8lfVPDbMiFgLiuPMJJP7f2H5j929JW1d0bKg&#10;RLMO/9EDqsb0RgmCdyhQb9wCcY/m3g4nh9tQ7V7aLnyxDrKPoh4mUcXeE46Xp3lxlpclJRxt5efZ&#10;/LyMsmdHd2Od/yqgI2FTUYv5o5hsd+s8pkToCAnZDPP+plVqgBvuizLi5eZKRV7x+Qg8kB3DH7/e&#10;zKJdbbvvUKe7szLPRx4TPKaaoqzfCZdYDYjAb+AU+CkdVg2BY8KFmyzImISLO39QIqEfhMQ/gFIV&#10;keXEJhFlnAvtUwGuYbVI14H+2/yVxoAhssT8U+whQOirozBj7MRywAdXEVtncs7fI5acJ4+YGbSf&#10;nLtWg30rgMKqhswJP4qUpAkqraE+4Pu0kBrXGX7T4hu5Zc7fM4udij2N08ff4SIV9BWFYUdJA/b3&#10;W/cBjw2EVkp67PyKul9bZgUl6pvG1jqfzedhVMTDvPxS4MG+tKxfWvS2uwJ8YzOcc4bHbcB7NW6l&#10;he4Zh9QqZEUT0xxzV5R7Ox6ufJpIOOa4WK0iDMcDvqlb/Wh4CB5UDT3wtH9m1gwv32OP/YBxSrDF&#10;q35J2OCpYbX1INvYTEddB71xtMSHP4zBMLteniPqOKyXfwAAAP//AwBQSwMEFAAGAAgAAAAhAPDP&#10;PfLhAAAACQEAAA8AAABkcnMvZG93bnJldi54bWxMj0FLw0AUhO+C/2F5grd2Y2tqEvNSVBAtCGJt&#10;8fqafWaD2d2Y3bbpv3c96XGYYeabcjmaThx48K2zCFfTBATb2qnWNgib98dJBsIHsoo6ZxnhxB6W&#10;1flZSYVyR/vGh3VoRCyxviAEHUJfSOlrzYb81PVso/fpBkMhyqGRaqBjLDednCXJQhpqbVzQ1POD&#10;5vprvTcI9HTvdfpK2/y03SQr/ZE933y/IF5ejHe3IAKP4S8Mv/gRHarItHN7q7zoECZ5vBIQ5rMU&#10;RPTz62QOYoeQLfIUZFXK/w+qHwAAAP//AwBQSwECLQAUAAYACAAAACEAtoM4kv4AAADhAQAAEwAA&#10;AAAAAAAAAAAAAAAAAAAAW0NvbnRlbnRfVHlwZXNdLnhtbFBLAQItABQABgAIAAAAIQA4/SH/1gAA&#10;AJQBAAALAAAAAAAAAAAAAAAAAC8BAABfcmVscy8ucmVsc1BLAQItABQABgAIAAAAIQBK9VaBtQIA&#10;APQFAAAOAAAAAAAAAAAAAAAAAC4CAABkcnMvZTJvRG9jLnhtbFBLAQItABQABgAIAAAAIQDwzz3y&#10;4QAAAAkBAAAPAAAAAAAAAAAAAAAAAA8FAABkcnMvZG93bnJldi54bWxQSwUGAAAAAAQABADzAAAA&#10;HQYAAAAA&#10;" fillcolor="#d8d8d8 [2732]" stroked="f" strokeweight="1pt">
                <v:fill r:id="rId57" o:title="" color2="white [3212]" type="pattern"/>
                <w10:wrap anchorx="margin"/>
              </v:rect>
            </w:pict>
          </mc:Fallback>
        </mc:AlternateContent>
      </w:r>
    </w:p>
    <w:p w14:paraId="6B92F9F1" w14:textId="01E9C94F" w:rsidR="00C030A9" w:rsidRPr="00A37BCE" w:rsidRDefault="00C030A9" w:rsidP="003D2901">
      <w:pPr>
        <w:jc w:val="center"/>
        <w:rPr>
          <w:rFonts w:cstheme="minorHAnsi"/>
          <w:b/>
          <w:color w:val="2F5496" w:themeColor="accent1" w:themeShade="BF"/>
          <w:lang w:val="sr-Cyrl-RS"/>
        </w:rPr>
      </w:pPr>
      <w:r w:rsidRPr="00A37BCE">
        <w:rPr>
          <w:rFonts w:cstheme="minorHAnsi"/>
          <w:b/>
          <w:color w:val="2F5496" w:themeColor="accent1" w:themeShade="BF"/>
          <w:lang w:val="sr-Cyrl-RS"/>
        </w:rPr>
        <w:lastRenderedPageBreak/>
        <w:t>S0 индикатор краткорочне фискалне одрживости</w:t>
      </w:r>
    </w:p>
    <w:p w14:paraId="6085D76A" w14:textId="77777777" w:rsidR="00C030A9" w:rsidRPr="00A37BCE" w:rsidRDefault="00C030A9" w:rsidP="00C030A9">
      <w:pPr>
        <w:jc w:val="both"/>
        <w:rPr>
          <w:rFonts w:cstheme="minorHAnsi"/>
          <w:sz w:val="20"/>
          <w:szCs w:val="20"/>
          <w:lang w:val="sr-Cyrl-RS"/>
        </w:rPr>
        <w:sectPr w:rsidR="00C030A9" w:rsidRPr="00A37BCE" w:rsidSect="00BA4876">
          <w:headerReference w:type="even" r:id="rId58"/>
          <w:headerReference w:type="default" r:id="rId59"/>
          <w:footerReference w:type="even" r:id="rId60"/>
          <w:footerReference w:type="default" r:id="rId61"/>
          <w:headerReference w:type="first" r:id="rId62"/>
          <w:type w:val="continuous"/>
          <w:pgSz w:w="12240" w:h="15840"/>
          <w:pgMar w:top="1440" w:right="1440" w:bottom="1440" w:left="1440" w:header="720" w:footer="720" w:gutter="0"/>
          <w:cols w:space="720"/>
          <w:docGrid w:linePitch="360"/>
        </w:sectPr>
      </w:pPr>
    </w:p>
    <w:p w14:paraId="008B8AF7" w14:textId="5DE9B4A3" w:rsidR="00C030A9" w:rsidRDefault="00C030A9" w:rsidP="00C030A9">
      <w:pPr>
        <w:jc w:val="both"/>
        <w:rPr>
          <w:rFonts w:cstheme="minorHAnsi"/>
          <w:color w:val="44546A" w:themeColor="text2"/>
          <w:sz w:val="20"/>
          <w:szCs w:val="20"/>
          <w:lang w:val="sr-Cyrl-RS"/>
        </w:rPr>
      </w:pPr>
      <w:r w:rsidRPr="00A37BCE">
        <w:rPr>
          <w:rFonts w:cstheme="minorHAnsi"/>
          <w:color w:val="44546A" w:themeColor="text2"/>
          <w:sz w:val="20"/>
          <w:szCs w:val="20"/>
          <w:lang w:val="sr-Cyrl-RS"/>
        </w:rPr>
        <w:lastRenderedPageBreak/>
        <w:t>Европска комисија је за оцену краткорочне фискалне одрживости дизајнирала композитни индикатор S0 којим се кроз идентификацију потенцијалних краткорочних ризика у текућој години настоји антиципирати фискални стрес у наредној години. Уколико вредност S0 индикатора прелази дефинисани праг сматра се да је земља у краткорочном ризику од фискалног стреса. Поред вредности за целокупан индикатор, ради лоцирања извора из ког ризик потиче, разматрају се и вредности подиндекса и њихових компоненти. S0 композитни индикатор се састоји од два подиндекса, који у себи садрже низ варијабли фискалне и макро</w:t>
      </w:r>
      <w:r w:rsidR="00E87C10">
        <w:rPr>
          <w:rFonts w:cstheme="minorHAnsi"/>
          <w:color w:val="44546A" w:themeColor="text2"/>
          <w:sz w:val="20"/>
          <w:szCs w:val="20"/>
          <w:lang w:val="sr-Cyrl-RS"/>
        </w:rPr>
        <w:t>-</w:t>
      </w:r>
      <w:r w:rsidRPr="00A37BCE">
        <w:rPr>
          <w:rFonts w:cstheme="minorHAnsi"/>
          <w:color w:val="44546A" w:themeColor="text2"/>
          <w:sz w:val="20"/>
          <w:szCs w:val="20"/>
          <w:lang w:val="sr-Cyrl-RS"/>
        </w:rPr>
        <w:t>финансијске одрживости. Вредност ових подиндекса испод дефинисаног прага указују на одсуство краткорочног фискалног ризика.</w:t>
      </w:r>
    </w:p>
    <w:p w14:paraId="07618F19" w14:textId="0C5F6597" w:rsidR="00AE73D8" w:rsidRPr="003B0E3D" w:rsidRDefault="003B0E3D" w:rsidP="003B0E3D">
      <w:pPr>
        <w:jc w:val="both"/>
        <w:rPr>
          <w:rFonts w:cstheme="minorHAnsi"/>
          <w:color w:val="44546A" w:themeColor="text2"/>
          <w:sz w:val="20"/>
          <w:szCs w:val="20"/>
          <w:lang w:val="sr-Cyrl-RS"/>
        </w:rPr>
      </w:pPr>
      <w:r w:rsidRPr="00A37BCE">
        <w:rPr>
          <w:rFonts w:cstheme="minorHAnsi"/>
          <w:color w:val="44546A" w:themeColor="text2"/>
          <w:sz w:val="20"/>
          <w:szCs w:val="20"/>
          <w:lang w:val="sr-Cyrl-RS"/>
        </w:rPr>
        <w:t xml:space="preserve">Вредности S0 индикатора и подиндекса за Републику Србију у 2016. и 2017. години указују да начелно не постоји краткорочна опасност од фискалне нестабилности, као и да нема изражених ризика који потичу из сфера које покривају подиндекси. Другим речима, у посматраном периоду испод дефинисаних прагова нашли су се </w:t>
      </w:r>
      <w:r w:rsidRPr="00A37BCE">
        <w:rPr>
          <w:rFonts w:cstheme="minorHAnsi"/>
          <w:color w:val="44546A" w:themeColor="text2"/>
          <w:sz w:val="20"/>
          <w:szCs w:val="20"/>
          <w:lang w:val="sr-Cyrl-RS"/>
        </w:rPr>
        <w:lastRenderedPageBreak/>
        <w:t xml:space="preserve">целокупан композитни </w:t>
      </w:r>
      <w:r>
        <w:rPr>
          <w:rFonts w:cstheme="minorHAnsi"/>
          <w:color w:val="44546A" w:themeColor="text2"/>
          <w:sz w:val="20"/>
          <w:szCs w:val="20"/>
          <w:lang w:val="sr-Cyrl-RS"/>
        </w:rPr>
        <w:t>индикатор као и оба подиндекса.</w:t>
      </w:r>
    </w:p>
    <w:p w14:paraId="795E125D" w14:textId="6F957872" w:rsidR="00C030A9" w:rsidRPr="00A37BCE" w:rsidRDefault="00C030A9" w:rsidP="00C030A9">
      <w:pPr>
        <w:jc w:val="center"/>
        <w:rPr>
          <w:rFonts w:eastAsia="MS PGothic" w:cstheme="minorHAnsi"/>
          <w:b/>
          <w:color w:val="002060"/>
          <w:sz w:val="20"/>
          <w:szCs w:val="20"/>
          <w:lang w:val="sr-Cyrl-RS" w:eastAsia="ja-JP"/>
        </w:rPr>
      </w:pPr>
      <w:r w:rsidRPr="00A37BCE">
        <w:rPr>
          <w:rFonts w:eastAsia="MS PGothic" w:cstheme="minorHAnsi"/>
          <w:b/>
          <w:color w:val="002060"/>
          <w:sz w:val="20"/>
          <w:szCs w:val="20"/>
          <w:lang w:val="sr-Cyrl-RS" w:eastAsia="ja-JP"/>
        </w:rPr>
        <w:t>Обрачун S0 индикатора за Републику Србију, урађен од стране Министарства финансија, базира се на методологији</w:t>
      </w:r>
      <w:r w:rsidR="000B282B" w:rsidRPr="000B282B">
        <w:t xml:space="preserve"> </w:t>
      </w:r>
      <w:r w:rsidR="000B282B">
        <w:rPr>
          <w:rFonts w:eastAsia="MS PGothic" w:cstheme="minorHAnsi"/>
          <w:b/>
          <w:color w:val="002060"/>
          <w:sz w:val="20"/>
          <w:szCs w:val="20"/>
          <w:lang w:val="sr-Cyrl-RS" w:eastAsia="ja-JP"/>
        </w:rPr>
        <w:t>Е</w:t>
      </w:r>
      <w:r w:rsidR="000B282B" w:rsidRPr="000B282B">
        <w:rPr>
          <w:rFonts w:eastAsia="MS PGothic" w:cstheme="minorHAnsi"/>
          <w:b/>
          <w:color w:val="002060"/>
          <w:sz w:val="20"/>
          <w:szCs w:val="20"/>
          <w:lang w:val="sr-Cyrl-RS" w:eastAsia="ja-JP"/>
        </w:rPr>
        <w:t>вропске комисије</w:t>
      </w:r>
      <w:r w:rsidR="000B282B">
        <w:rPr>
          <w:rStyle w:val="FootnoteReference"/>
          <w:rFonts w:eastAsia="MS PGothic" w:cstheme="minorHAnsi"/>
          <w:b/>
          <w:color w:val="002060"/>
          <w:sz w:val="20"/>
          <w:szCs w:val="20"/>
          <w:lang w:val="sr-Cyrl-RS" w:eastAsia="ja-JP"/>
        </w:rPr>
        <w:footnoteReference w:id="5"/>
      </w:r>
    </w:p>
    <w:p w14:paraId="24C29050" w14:textId="77777777" w:rsidR="00C030A9" w:rsidRPr="00A37BCE" w:rsidRDefault="00C030A9">
      <w:pPr>
        <w:rPr>
          <w:rFonts w:eastAsia="Calibri" w:cstheme="minorHAnsi"/>
          <w:b/>
          <w:color w:val="2F5496" w:themeColor="accent1" w:themeShade="BF"/>
          <w:sz w:val="24"/>
          <w:szCs w:val="26"/>
          <w:lang w:val="sr-Cyrl-RS"/>
        </w:rPr>
      </w:pPr>
      <w:r w:rsidRPr="00A37BCE">
        <w:rPr>
          <w:rFonts w:eastAsia="Calibri" w:cstheme="minorHAnsi"/>
          <w:b/>
          <w:noProof/>
          <w:color w:val="2F5496" w:themeColor="accent1" w:themeShade="BF"/>
          <w:sz w:val="24"/>
          <w:szCs w:val="26"/>
        </w:rPr>
        <w:drawing>
          <wp:inline distT="0" distB="0" distL="0" distR="0" wp14:anchorId="213A8464" wp14:editId="7E5EBAF8">
            <wp:extent cx="2743200" cy="1350645"/>
            <wp:effectExtent l="0" t="0" r="0"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So.PNG"/>
                    <pic:cNvPicPr/>
                  </pic:nvPicPr>
                  <pic:blipFill>
                    <a:blip r:embed="rId63">
                      <a:extLst>
                        <a:ext uri="{28A0092B-C50C-407E-A947-70E740481C1C}">
                          <a14:useLocalDpi xmlns:a14="http://schemas.microsoft.com/office/drawing/2010/main" val="0"/>
                        </a:ext>
                      </a:extLst>
                    </a:blip>
                    <a:stretch>
                      <a:fillRect/>
                    </a:stretch>
                  </pic:blipFill>
                  <pic:spPr>
                    <a:xfrm>
                      <a:off x="0" y="0"/>
                      <a:ext cx="2743200" cy="1350645"/>
                    </a:xfrm>
                    <a:prstGeom prst="rect">
                      <a:avLst/>
                    </a:prstGeom>
                  </pic:spPr>
                </pic:pic>
              </a:graphicData>
            </a:graphic>
          </wp:inline>
        </w:drawing>
      </w:r>
    </w:p>
    <w:p w14:paraId="589518AE" w14:textId="7843D906" w:rsidR="003B0E3D" w:rsidRDefault="00C030A9" w:rsidP="003B0E3D">
      <w:pPr>
        <w:jc w:val="both"/>
        <w:rPr>
          <w:rFonts w:cstheme="minorHAnsi"/>
          <w:color w:val="44546A" w:themeColor="text2"/>
          <w:sz w:val="20"/>
          <w:szCs w:val="20"/>
          <w:lang w:val="sr-Cyrl-RS"/>
        </w:rPr>
      </w:pPr>
      <w:r w:rsidRPr="00A37BCE">
        <w:rPr>
          <w:rFonts w:cstheme="minorHAnsi"/>
          <w:color w:val="44546A" w:themeColor="text2"/>
          <w:sz w:val="20"/>
          <w:szCs w:val="20"/>
          <w:lang w:val="sr-Cyrl-RS"/>
        </w:rPr>
        <w:t>Успешно спроведена фискална консолидација резултирала је потпуним елиминисањем ризика из сфере фискалног подиндекса у 2017. години, будући да ниједна од компоненти подиндекса не премашује дефинисани праг. Вредност макро</w:t>
      </w:r>
      <w:r w:rsidR="00E87C10">
        <w:rPr>
          <w:rFonts w:cstheme="minorHAnsi"/>
          <w:color w:val="44546A" w:themeColor="text2"/>
          <w:sz w:val="20"/>
          <w:szCs w:val="20"/>
          <w:lang w:val="sr-Cyrl-RS"/>
        </w:rPr>
        <w:t>-</w:t>
      </w:r>
      <w:r w:rsidRPr="00A37BCE">
        <w:rPr>
          <w:rFonts w:cstheme="minorHAnsi"/>
          <w:color w:val="44546A" w:themeColor="text2"/>
          <w:sz w:val="20"/>
          <w:szCs w:val="20"/>
          <w:lang w:val="sr-Cyrl-RS"/>
        </w:rPr>
        <w:t>финансијског подиндекса задржала је непромењену вредност и у овој сфери такође начелно не постоје изазови к</w:t>
      </w:r>
      <w:r w:rsidR="000B282B">
        <w:rPr>
          <w:rFonts w:cstheme="minorHAnsi"/>
          <w:color w:val="44546A" w:themeColor="text2"/>
          <w:sz w:val="20"/>
          <w:szCs w:val="20"/>
          <w:lang w:val="sr-Cyrl-RS"/>
        </w:rPr>
        <w:t>оји доводе до фискалног ризика.</w:t>
      </w:r>
    </w:p>
    <w:p w14:paraId="3F3F8995" w14:textId="25D795D6" w:rsidR="00C030A9" w:rsidRPr="003B0E3D" w:rsidRDefault="00D64586" w:rsidP="003B0E3D">
      <w:pPr>
        <w:jc w:val="both"/>
        <w:rPr>
          <w:rFonts w:cstheme="minorHAnsi"/>
          <w:color w:val="44546A" w:themeColor="text2"/>
          <w:sz w:val="20"/>
          <w:szCs w:val="20"/>
          <w:lang w:val="sr-Cyrl-RS"/>
        </w:rPr>
        <w:sectPr w:rsidR="00C030A9" w:rsidRPr="003B0E3D" w:rsidSect="00C030A9">
          <w:type w:val="continuous"/>
          <w:pgSz w:w="12240" w:h="15840"/>
          <w:pgMar w:top="1440" w:right="1440" w:bottom="1440" w:left="1440" w:header="720" w:footer="720" w:gutter="0"/>
          <w:cols w:num="2" w:space="720"/>
          <w:docGrid w:linePitch="360"/>
          <w15:footnoteColumns w:val="1"/>
        </w:sectPr>
      </w:pPr>
      <w:r w:rsidRPr="00A37BCE">
        <w:rPr>
          <w:rFonts w:cstheme="minorHAnsi"/>
          <w:noProof/>
        </w:rPr>
        <w:lastRenderedPageBreak/>
        <mc:AlternateContent>
          <mc:Choice Requires="wps">
            <w:drawing>
              <wp:anchor distT="0" distB="0" distL="114300" distR="114300" simplePos="0" relativeHeight="251693056" behindDoc="1" locked="0" layoutInCell="1" allowOverlap="1" wp14:anchorId="783E9EF9" wp14:editId="4B96CC80">
                <wp:simplePos x="0" y="0"/>
                <wp:positionH relativeFrom="margin">
                  <wp:posOffset>-82550</wp:posOffset>
                </wp:positionH>
                <wp:positionV relativeFrom="paragraph">
                  <wp:posOffset>-12700</wp:posOffset>
                </wp:positionV>
                <wp:extent cx="6067425" cy="7807325"/>
                <wp:effectExtent l="0" t="0" r="9525" b="3175"/>
                <wp:wrapNone/>
                <wp:docPr id="53" name="Rectangle 53"/>
                <wp:cNvGraphicFramePr/>
                <a:graphic xmlns:a="http://schemas.openxmlformats.org/drawingml/2006/main">
                  <a:graphicData uri="http://schemas.microsoft.com/office/word/2010/wordprocessingShape">
                    <wps:wsp>
                      <wps:cNvSpPr/>
                      <wps:spPr>
                        <a:xfrm>
                          <a:off x="0" y="0"/>
                          <a:ext cx="6067425" cy="7807325"/>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71E34925" id="Rectangle 53" o:spid="_x0000_s1026" style="position:absolute;margin-left:-6.5pt;margin-top:-1pt;width:477.75pt;height:614.75pt;z-index:-2516234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fXVtgIAAPQFAAAOAAAAZHJzL2Uyb0RvYy54bWysVFFP2zAQfp+0/2D5fSQtLWUVKapATJMY&#10;IGDi2XXsNpLt82y3affrd7aTFDHEw7QXx+c7f/fdF99dXO61IjvhfAOmoqOTkhJhONSNWVf05/PN&#10;l3NKfGCmZgqMqOhBeHq5+PzporVzMYYNqFo4giDGz1tb0U0Idl4Unm+EZv4ErDDolOA0C2i6dVE7&#10;1iK6VsW4LM+KFlxtHXDhPZ5eZyddJHwpBQ/3UnoRiKoocgtpdWldxbVYXLD52jG7aXhHg/0DC80a&#10;g0kHqGsWGNm65i8o3XAHHmQ44aALkLLhItWA1YzKN9U8bZgVqRYUx9tBJv//YPnd7sGRpq7o9JQS&#10;wzT+o0dUjZm1EgTPUKDW+jnGPdkH11ket7HavXQ6frEOsk+iHgZRxT4Qjodn5dlsMp5SwtE3Oy9n&#10;p2ggTnG8bp0P3wRoEjcVdZg/icl2tz7k0D4kZrMshJtGqS7c8oCI0SHXVyrxSs9HoEF2DH/8aj1K&#10;frXVP6DOZ+fTsky/H3kM4YnVgLL6AC6z6iIQoucUaSgTVwORY46LJ0WUMQuXduGgRI5+FBL/AEo1&#10;TiwHNpko41yYkAvwG1aLfBzpv89fGQRMcmD+AbsDiH11FKbHzixljo9XRWqd4XL5EbF8ebiRMoMJ&#10;w2XdGHDvASisqsuc43uRsjRRpRXUB3yfDnLjestvGnwjt8yHB+awU7GncfqEe1ykgrai0O0o2YD7&#10;/d55jMcGQi8lLXZ+Rf2vLXOCEvXdYGt9HU0mcVQkYzKdjdFwrz2r1x6z1VeAb2yEc87ytI3xQfVb&#10;6UC/4JBaxqzoYoZj7ory4HrjKuSJhGOOi+UyheF4wDd1a54sj+BR1dgDz/sX5mz38gP22B30U4LN&#10;3/RLjo03DSy3AWSTmumoa6c3jpb08LsxGGfXaztFHYf14g8AAAD//wMAUEsDBBQABgAIAAAAIQCn&#10;2nQV4gAAAAsBAAAPAAAAZHJzL2Rvd25yZXYueG1sTI/NTsMwEITvSLyDtUjcWqeB0DbEqQAJQSUk&#10;1D9x3cZLHBHbIXbb9O1ZTnDaXc1o9ptiMdhWHKkPjXcKJuMEBLnK68bVCrab59EMRIjoNLbekYIz&#10;BViUlxcF5tqf3IqO61gLDnEhRwUmxi6XMlSGLIax78ix9ul7i5HPvpa6xxOH21amSXInLTaOPxjs&#10;6MlQ9bU+WAX48hhM9o67+Xm3TZbmY/Y6/X5T6vpqeLgHEWmIf2b4xWd0KJlp7w9OB9EqGE1uuEvk&#10;JeXJhvltmoHYszNNpxnIspD/O5Q/AAAA//8DAFBLAQItABQABgAIAAAAIQC2gziS/gAAAOEBAAAT&#10;AAAAAAAAAAAAAAAAAAAAAABbQ29udGVudF9UeXBlc10ueG1sUEsBAi0AFAAGAAgAAAAhADj9If/W&#10;AAAAlAEAAAsAAAAAAAAAAAAAAAAALwEAAF9yZWxzLy5yZWxzUEsBAi0AFAAGAAgAAAAhABgB9dW2&#10;AgAA9AUAAA4AAAAAAAAAAAAAAAAALgIAAGRycy9lMm9Eb2MueG1sUEsBAi0AFAAGAAgAAAAhAKfa&#10;dBXiAAAACwEAAA8AAAAAAAAAAAAAAAAAEAUAAGRycy9kb3ducmV2LnhtbFBLBQYAAAAABAAEAPMA&#10;AAAfBgAAAAA=&#10;" fillcolor="#d8d8d8 [2732]" stroked="f" strokeweight="1pt">
                <v:fill r:id="rId25" o:title="" color2="white [3212]" type="pattern"/>
                <w10:wrap anchorx="margin"/>
              </v:rect>
            </w:pict>
          </mc:Fallback>
        </mc:AlternateContent>
      </w:r>
      <w:r w:rsidR="00C030A9" w:rsidRPr="00A37BCE">
        <w:rPr>
          <w:rFonts w:cstheme="minorHAnsi"/>
          <w:color w:val="44546A" w:themeColor="text2"/>
          <w:sz w:val="20"/>
          <w:szCs w:val="20"/>
          <w:lang w:val="sr-Cyrl-RS"/>
        </w:rPr>
        <w:t>Анализа S0 индикатора указује да су уклоњене краткорочн</w:t>
      </w:r>
      <w:r w:rsidR="003B0E3D">
        <w:rPr>
          <w:rFonts w:cstheme="minorHAnsi"/>
          <w:color w:val="44546A" w:themeColor="text2"/>
          <w:sz w:val="20"/>
          <w:szCs w:val="20"/>
          <w:lang w:val="sr-Cyrl-RS"/>
        </w:rPr>
        <w:t xml:space="preserve">е претње фискалној стабилности. </w:t>
      </w:r>
      <w:r w:rsidR="00C030A9" w:rsidRPr="00A37BCE">
        <w:rPr>
          <w:rFonts w:cstheme="minorHAnsi"/>
          <w:color w:val="44546A" w:themeColor="text2"/>
          <w:sz w:val="20"/>
          <w:szCs w:val="20"/>
          <w:lang w:val="sr-Cyrl-RS"/>
        </w:rPr>
        <w:t xml:space="preserve">Доследним спровођењем мера фискалне консолидације и успостављањем макроекономске </w:t>
      </w:r>
      <w:r w:rsidR="00C030A9" w:rsidRPr="00A37BCE">
        <w:rPr>
          <w:rFonts w:cstheme="minorHAnsi"/>
          <w:color w:val="44546A" w:themeColor="text2"/>
          <w:sz w:val="20"/>
          <w:szCs w:val="20"/>
          <w:lang w:val="sr-Cyrl-RS"/>
        </w:rPr>
        <w:lastRenderedPageBreak/>
        <w:t>и фискалне стабилности у претходном периоду обезбеђен је простор за даљу релаксацију мера фискалне политике и током 2018. године</w:t>
      </w:r>
      <w:r w:rsidR="00C030A9" w:rsidRPr="00A37BCE">
        <w:rPr>
          <w:rFonts w:cstheme="minorHAnsi"/>
          <w:sz w:val="20"/>
          <w:szCs w:val="20"/>
          <w:lang w:val="sr-Cyrl-RS"/>
        </w:rPr>
        <w:t>.</w:t>
      </w:r>
    </w:p>
    <w:p w14:paraId="4535C49D" w14:textId="77777777" w:rsidR="00DB77D7" w:rsidRDefault="00DB77D7" w:rsidP="00D64586">
      <w:pPr>
        <w:spacing w:after="0"/>
      </w:pPr>
    </w:p>
    <w:tbl>
      <w:tblPr>
        <w:tblW w:w="5000" w:type="pct"/>
        <w:tblLook w:val="04A0" w:firstRow="1" w:lastRow="0" w:firstColumn="1" w:lastColumn="0" w:noHBand="0" w:noVBand="1"/>
      </w:tblPr>
      <w:tblGrid>
        <w:gridCol w:w="4693"/>
        <w:gridCol w:w="938"/>
        <w:gridCol w:w="539"/>
        <w:gridCol w:w="796"/>
        <w:gridCol w:w="798"/>
        <w:gridCol w:w="798"/>
        <w:gridCol w:w="798"/>
      </w:tblGrid>
      <w:tr w:rsidR="00C030A9" w:rsidRPr="00A37BCE" w14:paraId="1C352D4E" w14:textId="77777777" w:rsidTr="00DB77D7">
        <w:trPr>
          <w:trHeight w:val="302"/>
        </w:trPr>
        <w:tc>
          <w:tcPr>
            <w:tcW w:w="2743" w:type="pct"/>
            <w:vMerge w:val="restart"/>
            <w:tcBorders>
              <w:top w:val="single" w:sz="4" w:space="0" w:color="002060"/>
            </w:tcBorders>
            <w:shd w:val="clear" w:color="auto" w:fill="auto"/>
            <w:noWrap/>
            <w:vAlign w:val="center"/>
            <w:hideMark/>
          </w:tcPr>
          <w:p w14:paraId="1CC31D6B" w14:textId="77777777" w:rsidR="00C030A9" w:rsidRPr="00A37BCE" w:rsidRDefault="00C030A9" w:rsidP="00C95098">
            <w:pPr>
              <w:spacing w:after="0" w:line="240" w:lineRule="auto"/>
              <w:jc w:val="center"/>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Назив варијабле</w:t>
            </w:r>
          </w:p>
        </w:tc>
        <w:tc>
          <w:tcPr>
            <w:tcW w:w="537" w:type="pct"/>
            <w:vMerge w:val="restart"/>
            <w:tcBorders>
              <w:top w:val="single" w:sz="4" w:space="0" w:color="002060"/>
            </w:tcBorders>
            <w:shd w:val="clear" w:color="auto" w:fill="auto"/>
            <w:noWrap/>
            <w:vAlign w:val="center"/>
            <w:hideMark/>
          </w:tcPr>
          <w:p w14:paraId="044C414E" w14:textId="4B403038" w:rsidR="00C030A9" w:rsidRPr="00A37BCE" w:rsidRDefault="00C030A9" w:rsidP="00C95098">
            <w:pPr>
              <w:spacing w:after="0" w:line="240" w:lineRule="auto"/>
              <w:jc w:val="center"/>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Критеријум</w:t>
            </w:r>
          </w:p>
        </w:tc>
        <w:tc>
          <w:tcPr>
            <w:tcW w:w="304" w:type="pct"/>
            <w:vMerge w:val="restart"/>
            <w:tcBorders>
              <w:top w:val="single" w:sz="4" w:space="0" w:color="002060"/>
            </w:tcBorders>
            <w:shd w:val="clear" w:color="auto" w:fill="auto"/>
            <w:noWrap/>
            <w:vAlign w:val="center"/>
            <w:hideMark/>
          </w:tcPr>
          <w:p w14:paraId="7C71FFFC" w14:textId="77777777" w:rsidR="00C030A9" w:rsidRPr="00A37BCE" w:rsidRDefault="00C030A9" w:rsidP="00C030A9">
            <w:pPr>
              <w:spacing w:after="0" w:line="240" w:lineRule="auto"/>
              <w:ind w:left="-14" w:hanging="29"/>
              <w:jc w:val="center"/>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Праг</w:t>
            </w:r>
          </w:p>
        </w:tc>
        <w:tc>
          <w:tcPr>
            <w:tcW w:w="454" w:type="pct"/>
            <w:vMerge w:val="restart"/>
            <w:tcBorders>
              <w:top w:val="single" w:sz="4" w:space="0" w:color="002060"/>
            </w:tcBorders>
            <w:shd w:val="clear" w:color="auto" w:fill="auto"/>
            <w:vAlign w:val="center"/>
            <w:hideMark/>
          </w:tcPr>
          <w:p w14:paraId="3C765EA8" w14:textId="77777777" w:rsidR="00C030A9" w:rsidRPr="00A37BCE" w:rsidRDefault="00C030A9" w:rsidP="00C95098">
            <w:pPr>
              <w:spacing w:after="0" w:line="240" w:lineRule="auto"/>
              <w:jc w:val="center"/>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Сигнална моћ*</w:t>
            </w:r>
          </w:p>
        </w:tc>
        <w:tc>
          <w:tcPr>
            <w:tcW w:w="962" w:type="pct"/>
            <w:gridSpan w:val="3"/>
            <w:tcBorders>
              <w:top w:val="single" w:sz="4" w:space="0" w:color="002060"/>
              <w:bottom w:val="single" w:sz="4" w:space="0" w:color="002060"/>
            </w:tcBorders>
            <w:shd w:val="clear" w:color="auto" w:fill="auto"/>
            <w:noWrap/>
            <w:vAlign w:val="bottom"/>
            <w:hideMark/>
          </w:tcPr>
          <w:p w14:paraId="241A3377" w14:textId="41985B7B" w:rsidR="00C030A9" w:rsidRPr="00A37BCE" w:rsidRDefault="00C030A9" w:rsidP="00C95098">
            <w:pPr>
              <w:spacing w:after="0" w:line="240" w:lineRule="auto"/>
              <w:jc w:val="center"/>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 xml:space="preserve">Вредности за </w:t>
            </w:r>
            <w:r w:rsidR="00E74834" w:rsidRPr="00E74834">
              <w:rPr>
                <w:rFonts w:eastAsia="Times New Roman" w:cstheme="minorHAnsi"/>
                <w:color w:val="002060"/>
                <w:sz w:val="16"/>
                <w:szCs w:val="18"/>
                <w:lang w:val="sr-Cyrl-RS" w:eastAsia="sr-Cyrl-RS"/>
              </w:rPr>
              <w:t>Републик</w:t>
            </w:r>
            <w:r w:rsidR="00E74834">
              <w:rPr>
                <w:rFonts w:eastAsia="Times New Roman" w:cstheme="minorHAnsi"/>
                <w:color w:val="002060"/>
                <w:sz w:val="16"/>
                <w:szCs w:val="18"/>
                <w:lang w:val="sr-Cyrl-RS" w:eastAsia="sr-Cyrl-RS"/>
              </w:rPr>
              <w:t>у</w:t>
            </w:r>
            <w:r w:rsidR="00E74834" w:rsidRPr="00E74834">
              <w:rPr>
                <w:rFonts w:eastAsia="Times New Roman" w:cstheme="minorHAnsi"/>
                <w:color w:val="002060"/>
                <w:sz w:val="16"/>
                <w:szCs w:val="18"/>
                <w:lang w:val="sr-Cyrl-RS" w:eastAsia="sr-Cyrl-RS"/>
              </w:rPr>
              <w:t xml:space="preserve"> </w:t>
            </w:r>
            <w:r w:rsidRPr="00A37BCE">
              <w:rPr>
                <w:rFonts w:eastAsia="Times New Roman" w:cstheme="minorHAnsi"/>
                <w:color w:val="002060"/>
                <w:sz w:val="16"/>
                <w:szCs w:val="18"/>
                <w:lang w:val="sr-Cyrl-RS" w:eastAsia="sr-Cyrl-RS"/>
              </w:rPr>
              <w:t>Србију, %</w:t>
            </w:r>
          </w:p>
        </w:tc>
      </w:tr>
      <w:tr w:rsidR="00C030A9" w:rsidRPr="00A37BCE" w14:paraId="68EDEF65" w14:textId="77777777" w:rsidTr="00DB77D7">
        <w:trPr>
          <w:trHeight w:val="302"/>
        </w:trPr>
        <w:tc>
          <w:tcPr>
            <w:tcW w:w="2743" w:type="pct"/>
            <w:vMerge/>
            <w:tcBorders>
              <w:bottom w:val="single" w:sz="4" w:space="0" w:color="002060"/>
            </w:tcBorders>
            <w:shd w:val="clear" w:color="auto" w:fill="auto"/>
            <w:vAlign w:val="center"/>
            <w:hideMark/>
          </w:tcPr>
          <w:p w14:paraId="3F17D158" w14:textId="77777777" w:rsidR="00C030A9" w:rsidRPr="00A37BCE" w:rsidRDefault="00C030A9" w:rsidP="00C95098">
            <w:pPr>
              <w:spacing w:after="0" w:line="240" w:lineRule="auto"/>
              <w:rPr>
                <w:rFonts w:eastAsia="Times New Roman" w:cstheme="minorHAnsi"/>
                <w:color w:val="002060"/>
                <w:sz w:val="16"/>
                <w:szCs w:val="18"/>
                <w:lang w:val="sr-Cyrl-RS" w:eastAsia="sr-Cyrl-RS"/>
              </w:rPr>
            </w:pPr>
          </w:p>
        </w:tc>
        <w:tc>
          <w:tcPr>
            <w:tcW w:w="537" w:type="pct"/>
            <w:vMerge/>
            <w:tcBorders>
              <w:bottom w:val="single" w:sz="4" w:space="0" w:color="002060"/>
            </w:tcBorders>
            <w:shd w:val="clear" w:color="auto" w:fill="auto"/>
            <w:vAlign w:val="center"/>
            <w:hideMark/>
          </w:tcPr>
          <w:p w14:paraId="0FC6E5CD" w14:textId="77777777" w:rsidR="00C030A9" w:rsidRPr="00A37BCE" w:rsidRDefault="00C030A9" w:rsidP="00C95098">
            <w:pPr>
              <w:spacing w:after="0" w:line="240" w:lineRule="auto"/>
              <w:rPr>
                <w:rFonts w:eastAsia="Times New Roman" w:cstheme="minorHAnsi"/>
                <w:color w:val="002060"/>
                <w:sz w:val="16"/>
                <w:szCs w:val="18"/>
                <w:lang w:val="sr-Cyrl-RS" w:eastAsia="sr-Cyrl-RS"/>
              </w:rPr>
            </w:pPr>
          </w:p>
        </w:tc>
        <w:tc>
          <w:tcPr>
            <w:tcW w:w="304" w:type="pct"/>
            <w:vMerge/>
            <w:tcBorders>
              <w:bottom w:val="single" w:sz="4" w:space="0" w:color="002060"/>
            </w:tcBorders>
            <w:shd w:val="clear" w:color="auto" w:fill="auto"/>
            <w:vAlign w:val="center"/>
            <w:hideMark/>
          </w:tcPr>
          <w:p w14:paraId="5C6AB23A" w14:textId="77777777" w:rsidR="00C030A9" w:rsidRPr="00A37BCE" w:rsidRDefault="00C030A9" w:rsidP="00C95098">
            <w:pPr>
              <w:spacing w:after="0" w:line="240" w:lineRule="auto"/>
              <w:rPr>
                <w:rFonts w:eastAsia="Times New Roman" w:cstheme="minorHAnsi"/>
                <w:color w:val="002060"/>
                <w:sz w:val="16"/>
                <w:szCs w:val="18"/>
                <w:lang w:val="sr-Cyrl-RS" w:eastAsia="sr-Cyrl-RS"/>
              </w:rPr>
            </w:pPr>
          </w:p>
        </w:tc>
        <w:tc>
          <w:tcPr>
            <w:tcW w:w="454" w:type="pct"/>
            <w:vMerge/>
            <w:tcBorders>
              <w:bottom w:val="single" w:sz="4" w:space="0" w:color="002060"/>
            </w:tcBorders>
            <w:shd w:val="clear" w:color="auto" w:fill="auto"/>
            <w:vAlign w:val="center"/>
            <w:hideMark/>
          </w:tcPr>
          <w:p w14:paraId="04444339" w14:textId="77777777" w:rsidR="00C030A9" w:rsidRPr="00A37BCE" w:rsidRDefault="00C030A9" w:rsidP="00C95098">
            <w:pPr>
              <w:spacing w:after="0" w:line="240" w:lineRule="auto"/>
              <w:rPr>
                <w:rFonts w:eastAsia="Times New Roman" w:cstheme="minorHAnsi"/>
                <w:color w:val="002060"/>
                <w:sz w:val="16"/>
                <w:szCs w:val="18"/>
                <w:lang w:val="sr-Cyrl-RS" w:eastAsia="sr-Cyrl-RS"/>
              </w:rPr>
            </w:pPr>
          </w:p>
        </w:tc>
        <w:tc>
          <w:tcPr>
            <w:tcW w:w="321" w:type="pct"/>
            <w:tcBorders>
              <w:top w:val="single" w:sz="4" w:space="0" w:color="002060"/>
              <w:bottom w:val="single" w:sz="4" w:space="0" w:color="002060"/>
            </w:tcBorders>
            <w:shd w:val="clear" w:color="auto" w:fill="auto"/>
            <w:noWrap/>
            <w:vAlign w:val="bottom"/>
            <w:hideMark/>
          </w:tcPr>
          <w:p w14:paraId="49D3A79D" w14:textId="77777777" w:rsidR="00C030A9" w:rsidRPr="00A37BCE" w:rsidRDefault="00C030A9" w:rsidP="00C95098">
            <w:pPr>
              <w:spacing w:after="0" w:line="240" w:lineRule="auto"/>
              <w:jc w:val="center"/>
              <w:rPr>
                <w:rFonts w:eastAsia="Times New Roman" w:cstheme="minorHAnsi"/>
                <w:b/>
                <w:bCs/>
                <w:color w:val="002060"/>
                <w:sz w:val="16"/>
                <w:szCs w:val="18"/>
                <w:lang w:val="sr-Cyrl-RS" w:eastAsia="sr-Cyrl-RS"/>
              </w:rPr>
            </w:pPr>
            <w:r w:rsidRPr="00A37BCE">
              <w:rPr>
                <w:rFonts w:eastAsia="Times New Roman" w:cstheme="minorHAnsi"/>
                <w:b/>
                <w:bCs/>
                <w:color w:val="002060"/>
                <w:sz w:val="16"/>
                <w:szCs w:val="18"/>
                <w:lang w:val="sr-Cyrl-RS" w:eastAsia="sr-Cyrl-RS"/>
              </w:rPr>
              <w:t>2015</w:t>
            </w:r>
          </w:p>
        </w:tc>
        <w:tc>
          <w:tcPr>
            <w:tcW w:w="321" w:type="pct"/>
            <w:tcBorders>
              <w:top w:val="single" w:sz="4" w:space="0" w:color="002060"/>
              <w:bottom w:val="single" w:sz="4" w:space="0" w:color="002060"/>
            </w:tcBorders>
            <w:shd w:val="clear" w:color="auto" w:fill="auto"/>
            <w:noWrap/>
            <w:vAlign w:val="bottom"/>
            <w:hideMark/>
          </w:tcPr>
          <w:p w14:paraId="57D21DEE" w14:textId="77777777" w:rsidR="00C030A9" w:rsidRPr="00A37BCE" w:rsidRDefault="00C030A9" w:rsidP="00C95098">
            <w:pPr>
              <w:spacing w:after="0" w:line="240" w:lineRule="auto"/>
              <w:jc w:val="center"/>
              <w:rPr>
                <w:rFonts w:eastAsia="Times New Roman" w:cstheme="minorHAnsi"/>
                <w:b/>
                <w:bCs/>
                <w:color w:val="002060"/>
                <w:sz w:val="16"/>
                <w:szCs w:val="18"/>
                <w:lang w:val="sr-Cyrl-RS" w:eastAsia="sr-Cyrl-RS"/>
              </w:rPr>
            </w:pPr>
            <w:r w:rsidRPr="00A37BCE">
              <w:rPr>
                <w:rFonts w:eastAsia="Times New Roman" w:cstheme="minorHAnsi"/>
                <w:b/>
                <w:bCs/>
                <w:color w:val="002060"/>
                <w:sz w:val="16"/>
                <w:szCs w:val="18"/>
                <w:lang w:val="sr-Cyrl-RS" w:eastAsia="sr-Cyrl-RS"/>
              </w:rPr>
              <w:t>2016</w:t>
            </w:r>
          </w:p>
        </w:tc>
        <w:tc>
          <w:tcPr>
            <w:tcW w:w="321" w:type="pct"/>
            <w:tcBorders>
              <w:top w:val="single" w:sz="4" w:space="0" w:color="002060"/>
              <w:bottom w:val="single" w:sz="4" w:space="0" w:color="002060"/>
            </w:tcBorders>
            <w:shd w:val="clear" w:color="auto" w:fill="auto"/>
            <w:noWrap/>
            <w:vAlign w:val="bottom"/>
            <w:hideMark/>
          </w:tcPr>
          <w:p w14:paraId="32D322E1" w14:textId="77777777" w:rsidR="00C030A9" w:rsidRPr="00A37BCE" w:rsidRDefault="00C030A9" w:rsidP="00C95098">
            <w:pPr>
              <w:spacing w:after="0" w:line="240" w:lineRule="auto"/>
              <w:jc w:val="center"/>
              <w:rPr>
                <w:rFonts w:eastAsia="Times New Roman" w:cstheme="minorHAnsi"/>
                <w:b/>
                <w:bCs/>
                <w:color w:val="002060"/>
                <w:sz w:val="16"/>
                <w:szCs w:val="18"/>
                <w:lang w:val="sr-Cyrl-RS" w:eastAsia="sr-Cyrl-RS"/>
              </w:rPr>
            </w:pPr>
            <w:r w:rsidRPr="00A37BCE">
              <w:rPr>
                <w:rFonts w:eastAsia="Times New Roman" w:cstheme="minorHAnsi"/>
                <w:b/>
                <w:bCs/>
                <w:color w:val="002060"/>
                <w:sz w:val="16"/>
                <w:szCs w:val="18"/>
                <w:lang w:val="sr-Cyrl-RS" w:eastAsia="sr-Cyrl-RS"/>
              </w:rPr>
              <w:t>2017</w:t>
            </w:r>
          </w:p>
        </w:tc>
      </w:tr>
      <w:tr w:rsidR="00C030A9" w:rsidRPr="00A37BCE" w14:paraId="3A943F58" w14:textId="77777777" w:rsidTr="00DB77D7">
        <w:trPr>
          <w:trHeight w:val="302"/>
        </w:trPr>
        <w:tc>
          <w:tcPr>
            <w:tcW w:w="2743" w:type="pct"/>
            <w:tcBorders>
              <w:top w:val="single" w:sz="4" w:space="0" w:color="002060"/>
            </w:tcBorders>
            <w:shd w:val="clear" w:color="auto" w:fill="E7E6E6" w:themeFill="background2"/>
            <w:noWrap/>
            <w:vAlign w:val="bottom"/>
            <w:hideMark/>
          </w:tcPr>
          <w:p w14:paraId="0B05F7D8" w14:textId="34C68F77" w:rsidR="00C030A9" w:rsidRPr="00A37BCE" w:rsidRDefault="00C030A9" w:rsidP="00C95098">
            <w:pPr>
              <w:spacing w:after="0" w:line="240" w:lineRule="auto"/>
              <w:rPr>
                <w:rFonts w:eastAsia="Times New Roman" w:cstheme="minorHAnsi"/>
                <w:bCs/>
                <w:color w:val="002060"/>
                <w:sz w:val="16"/>
                <w:szCs w:val="18"/>
                <w:lang w:val="sr-Cyrl-RS" w:eastAsia="sr-Cyrl-RS"/>
              </w:rPr>
            </w:pPr>
            <w:r w:rsidRPr="00A37BCE">
              <w:rPr>
                <w:rFonts w:eastAsia="Times New Roman" w:cstheme="minorHAnsi"/>
                <w:bCs/>
                <w:color w:val="002060"/>
                <w:sz w:val="16"/>
                <w:szCs w:val="18"/>
                <w:lang w:val="sr-Cyrl-RS" w:eastAsia="sr-Cyrl-RS"/>
              </w:rPr>
              <w:t>Фискални подиндекс</w:t>
            </w:r>
          </w:p>
        </w:tc>
        <w:tc>
          <w:tcPr>
            <w:tcW w:w="537" w:type="pct"/>
            <w:tcBorders>
              <w:top w:val="single" w:sz="4" w:space="0" w:color="002060"/>
            </w:tcBorders>
            <w:shd w:val="clear" w:color="auto" w:fill="E7E6E6" w:themeFill="background2"/>
            <w:noWrap/>
            <w:vAlign w:val="bottom"/>
            <w:hideMark/>
          </w:tcPr>
          <w:p w14:paraId="7F01E07F" w14:textId="450D2F2C"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&lt;</w:t>
            </w:r>
          </w:p>
        </w:tc>
        <w:tc>
          <w:tcPr>
            <w:tcW w:w="304" w:type="pct"/>
            <w:tcBorders>
              <w:top w:val="single" w:sz="4" w:space="0" w:color="002060"/>
            </w:tcBorders>
            <w:shd w:val="clear" w:color="auto" w:fill="E7E6E6" w:themeFill="background2"/>
            <w:noWrap/>
            <w:vAlign w:val="bottom"/>
            <w:hideMark/>
          </w:tcPr>
          <w:p w14:paraId="060E6FD6"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0,36</w:t>
            </w:r>
          </w:p>
        </w:tc>
        <w:tc>
          <w:tcPr>
            <w:tcW w:w="454" w:type="pct"/>
            <w:tcBorders>
              <w:top w:val="single" w:sz="4" w:space="0" w:color="002060"/>
            </w:tcBorders>
            <w:shd w:val="clear" w:color="auto" w:fill="E7E6E6" w:themeFill="background2"/>
            <w:noWrap/>
            <w:vAlign w:val="bottom"/>
            <w:hideMark/>
          </w:tcPr>
          <w:p w14:paraId="72E5166B"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0,00</w:t>
            </w:r>
          </w:p>
        </w:tc>
        <w:tc>
          <w:tcPr>
            <w:tcW w:w="321" w:type="pct"/>
            <w:tcBorders>
              <w:top w:val="single" w:sz="4" w:space="0" w:color="002060"/>
            </w:tcBorders>
            <w:shd w:val="clear" w:color="auto" w:fill="E7E6E6" w:themeFill="background2"/>
            <w:noWrap/>
            <w:vAlign w:val="bottom"/>
            <w:hideMark/>
          </w:tcPr>
          <w:p w14:paraId="5999F11E" w14:textId="77777777" w:rsidR="00C030A9" w:rsidRPr="00A37BCE" w:rsidRDefault="00C030A9" w:rsidP="00C95098">
            <w:pPr>
              <w:spacing w:after="0" w:line="240" w:lineRule="auto"/>
              <w:jc w:val="right"/>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0,41</w:t>
            </w:r>
          </w:p>
        </w:tc>
        <w:tc>
          <w:tcPr>
            <w:tcW w:w="321" w:type="pct"/>
            <w:tcBorders>
              <w:top w:val="single" w:sz="4" w:space="0" w:color="002060"/>
            </w:tcBorders>
            <w:shd w:val="clear" w:color="auto" w:fill="E7E6E6" w:themeFill="background2"/>
            <w:noWrap/>
            <w:vAlign w:val="bottom"/>
            <w:hideMark/>
          </w:tcPr>
          <w:p w14:paraId="01C3FB9F" w14:textId="77777777" w:rsidR="00C030A9" w:rsidRPr="00A37BCE" w:rsidRDefault="00C030A9" w:rsidP="00C95098">
            <w:pPr>
              <w:spacing w:after="0" w:line="240" w:lineRule="auto"/>
              <w:jc w:val="right"/>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0,19</w:t>
            </w:r>
          </w:p>
        </w:tc>
        <w:tc>
          <w:tcPr>
            <w:tcW w:w="321" w:type="pct"/>
            <w:tcBorders>
              <w:top w:val="single" w:sz="4" w:space="0" w:color="002060"/>
            </w:tcBorders>
            <w:shd w:val="clear" w:color="auto" w:fill="E7E6E6" w:themeFill="background2"/>
            <w:noWrap/>
            <w:vAlign w:val="bottom"/>
            <w:hideMark/>
          </w:tcPr>
          <w:p w14:paraId="5698AF91" w14:textId="77777777" w:rsidR="00C030A9" w:rsidRPr="00A37BCE" w:rsidRDefault="00C030A9" w:rsidP="00C95098">
            <w:pPr>
              <w:spacing w:after="0" w:line="240" w:lineRule="auto"/>
              <w:jc w:val="right"/>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0,00</w:t>
            </w:r>
          </w:p>
        </w:tc>
      </w:tr>
      <w:tr w:rsidR="00C030A9" w:rsidRPr="00A37BCE" w14:paraId="46A4D18B" w14:textId="77777777" w:rsidTr="00DB77D7">
        <w:trPr>
          <w:trHeight w:val="288"/>
        </w:trPr>
        <w:tc>
          <w:tcPr>
            <w:tcW w:w="2743" w:type="pct"/>
            <w:shd w:val="clear" w:color="auto" w:fill="auto"/>
            <w:noWrap/>
            <w:vAlign w:val="bottom"/>
            <w:hideMark/>
          </w:tcPr>
          <w:p w14:paraId="644EF280" w14:textId="72CB9404" w:rsidR="00C030A9" w:rsidRPr="00A37BCE" w:rsidRDefault="00C030A9" w:rsidP="00C95098">
            <w:pPr>
              <w:spacing w:after="0" w:line="240" w:lineRule="auto"/>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1. Фискални баланс, % БДП</w:t>
            </w:r>
          </w:p>
        </w:tc>
        <w:tc>
          <w:tcPr>
            <w:tcW w:w="537" w:type="pct"/>
            <w:shd w:val="clear" w:color="auto" w:fill="auto"/>
            <w:noWrap/>
            <w:vAlign w:val="bottom"/>
            <w:hideMark/>
          </w:tcPr>
          <w:p w14:paraId="43BA090B" w14:textId="5AF77C9B"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&gt;</w:t>
            </w:r>
          </w:p>
        </w:tc>
        <w:tc>
          <w:tcPr>
            <w:tcW w:w="304" w:type="pct"/>
            <w:shd w:val="clear" w:color="auto" w:fill="auto"/>
            <w:noWrap/>
            <w:vAlign w:val="bottom"/>
            <w:hideMark/>
          </w:tcPr>
          <w:p w14:paraId="52F9BE17"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-9,61</w:t>
            </w:r>
          </w:p>
        </w:tc>
        <w:tc>
          <w:tcPr>
            <w:tcW w:w="454" w:type="pct"/>
            <w:shd w:val="clear" w:color="auto" w:fill="auto"/>
            <w:noWrap/>
            <w:vAlign w:val="bottom"/>
            <w:hideMark/>
          </w:tcPr>
          <w:p w14:paraId="51FE630D" w14:textId="77777777"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0,07</w:t>
            </w:r>
          </w:p>
        </w:tc>
        <w:tc>
          <w:tcPr>
            <w:tcW w:w="321" w:type="pct"/>
            <w:shd w:val="clear" w:color="auto" w:fill="auto"/>
            <w:noWrap/>
            <w:vAlign w:val="bottom"/>
            <w:hideMark/>
          </w:tcPr>
          <w:p w14:paraId="272ADCBD"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-3,46</w:t>
            </w:r>
          </w:p>
        </w:tc>
        <w:tc>
          <w:tcPr>
            <w:tcW w:w="321" w:type="pct"/>
            <w:shd w:val="clear" w:color="auto" w:fill="auto"/>
            <w:noWrap/>
            <w:vAlign w:val="bottom"/>
            <w:hideMark/>
          </w:tcPr>
          <w:p w14:paraId="32631188"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-1,19</w:t>
            </w:r>
          </w:p>
        </w:tc>
        <w:tc>
          <w:tcPr>
            <w:tcW w:w="321" w:type="pct"/>
            <w:shd w:val="clear" w:color="auto" w:fill="auto"/>
            <w:noWrap/>
            <w:vAlign w:val="bottom"/>
            <w:hideMark/>
          </w:tcPr>
          <w:p w14:paraId="1DA46434"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1,10</w:t>
            </w:r>
          </w:p>
        </w:tc>
      </w:tr>
      <w:tr w:rsidR="00C030A9" w:rsidRPr="00A37BCE" w14:paraId="65E281C3" w14:textId="77777777" w:rsidTr="00DB77D7">
        <w:trPr>
          <w:trHeight w:val="288"/>
        </w:trPr>
        <w:tc>
          <w:tcPr>
            <w:tcW w:w="2743" w:type="pct"/>
            <w:shd w:val="clear" w:color="auto" w:fill="auto"/>
            <w:noWrap/>
            <w:vAlign w:val="bottom"/>
            <w:hideMark/>
          </w:tcPr>
          <w:p w14:paraId="3C07933E" w14:textId="5747B457" w:rsidR="00C030A9" w:rsidRPr="00A37BCE" w:rsidRDefault="00C030A9" w:rsidP="00C95098">
            <w:pPr>
              <w:spacing w:after="0" w:line="240" w:lineRule="auto"/>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2. Примарни баланс, %</w:t>
            </w:r>
            <w:r w:rsidR="00CE52F1" w:rsidRPr="00A37BCE">
              <w:rPr>
                <w:rFonts w:eastAsia="Times New Roman" w:cstheme="minorHAnsi"/>
                <w:color w:val="002060"/>
                <w:sz w:val="16"/>
                <w:szCs w:val="18"/>
                <w:lang w:val="sr-Cyrl-RS" w:eastAsia="sr-Cyrl-RS"/>
              </w:rPr>
              <w:t xml:space="preserve"> </w:t>
            </w:r>
            <w:r w:rsidRPr="00A37BCE">
              <w:rPr>
                <w:rFonts w:eastAsia="Times New Roman" w:cstheme="minorHAnsi"/>
                <w:color w:val="002060"/>
                <w:sz w:val="16"/>
                <w:szCs w:val="18"/>
                <w:lang w:val="sr-Cyrl-RS" w:eastAsia="sr-Cyrl-RS"/>
              </w:rPr>
              <w:t>БДП</w:t>
            </w:r>
          </w:p>
        </w:tc>
        <w:tc>
          <w:tcPr>
            <w:tcW w:w="537" w:type="pct"/>
            <w:shd w:val="clear" w:color="auto" w:fill="auto"/>
            <w:noWrap/>
            <w:vAlign w:val="bottom"/>
            <w:hideMark/>
          </w:tcPr>
          <w:p w14:paraId="09A891E3"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&gt;</w:t>
            </w:r>
          </w:p>
        </w:tc>
        <w:tc>
          <w:tcPr>
            <w:tcW w:w="304" w:type="pct"/>
            <w:shd w:val="clear" w:color="auto" w:fill="auto"/>
            <w:noWrap/>
            <w:vAlign w:val="bottom"/>
            <w:hideMark/>
          </w:tcPr>
          <w:p w14:paraId="22F15535"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0,23</w:t>
            </w:r>
          </w:p>
        </w:tc>
        <w:tc>
          <w:tcPr>
            <w:tcW w:w="454" w:type="pct"/>
            <w:shd w:val="clear" w:color="auto" w:fill="auto"/>
            <w:noWrap/>
            <w:vAlign w:val="bottom"/>
            <w:hideMark/>
          </w:tcPr>
          <w:p w14:paraId="1F5E9E62" w14:textId="77777777"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0,13</w:t>
            </w:r>
          </w:p>
        </w:tc>
        <w:tc>
          <w:tcPr>
            <w:tcW w:w="321" w:type="pct"/>
            <w:shd w:val="clear" w:color="auto" w:fill="auto"/>
            <w:noWrap/>
            <w:vAlign w:val="bottom"/>
            <w:hideMark/>
          </w:tcPr>
          <w:p w14:paraId="0BEEDE10"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-0,47</w:t>
            </w:r>
          </w:p>
        </w:tc>
        <w:tc>
          <w:tcPr>
            <w:tcW w:w="321" w:type="pct"/>
            <w:shd w:val="clear" w:color="auto" w:fill="auto"/>
            <w:noWrap/>
            <w:vAlign w:val="bottom"/>
            <w:hideMark/>
          </w:tcPr>
          <w:p w14:paraId="65C9B1B9"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1,71</w:t>
            </w:r>
          </w:p>
        </w:tc>
        <w:tc>
          <w:tcPr>
            <w:tcW w:w="321" w:type="pct"/>
            <w:shd w:val="clear" w:color="auto" w:fill="auto"/>
            <w:noWrap/>
            <w:vAlign w:val="bottom"/>
            <w:hideMark/>
          </w:tcPr>
          <w:p w14:paraId="05B402F7"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3,64</w:t>
            </w:r>
          </w:p>
        </w:tc>
      </w:tr>
      <w:tr w:rsidR="00C030A9" w:rsidRPr="00A37BCE" w14:paraId="5F981013" w14:textId="77777777" w:rsidTr="00DB77D7">
        <w:trPr>
          <w:trHeight w:val="288"/>
        </w:trPr>
        <w:tc>
          <w:tcPr>
            <w:tcW w:w="2743" w:type="pct"/>
            <w:shd w:val="clear" w:color="auto" w:fill="auto"/>
            <w:noWrap/>
            <w:vAlign w:val="bottom"/>
            <w:hideMark/>
          </w:tcPr>
          <w:p w14:paraId="3D991358" w14:textId="77777777" w:rsidR="00C030A9" w:rsidRPr="00A37BCE" w:rsidRDefault="00C030A9" w:rsidP="00C95098">
            <w:pPr>
              <w:spacing w:after="0" w:line="240" w:lineRule="auto"/>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3. Циклично прилагођени баланс, % БДП</w:t>
            </w:r>
          </w:p>
        </w:tc>
        <w:tc>
          <w:tcPr>
            <w:tcW w:w="537" w:type="pct"/>
            <w:shd w:val="clear" w:color="auto" w:fill="auto"/>
            <w:noWrap/>
            <w:vAlign w:val="bottom"/>
            <w:hideMark/>
          </w:tcPr>
          <w:p w14:paraId="3487FA53"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&gt;</w:t>
            </w:r>
          </w:p>
        </w:tc>
        <w:tc>
          <w:tcPr>
            <w:tcW w:w="304" w:type="pct"/>
            <w:shd w:val="clear" w:color="auto" w:fill="auto"/>
            <w:noWrap/>
            <w:vAlign w:val="bottom"/>
            <w:hideMark/>
          </w:tcPr>
          <w:p w14:paraId="5F9B1672"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-2,5</w:t>
            </w:r>
          </w:p>
        </w:tc>
        <w:tc>
          <w:tcPr>
            <w:tcW w:w="454" w:type="pct"/>
            <w:shd w:val="clear" w:color="auto" w:fill="auto"/>
            <w:noWrap/>
            <w:vAlign w:val="bottom"/>
            <w:hideMark/>
          </w:tcPr>
          <w:p w14:paraId="5BB8FA84" w14:textId="77777777"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0,23</w:t>
            </w:r>
          </w:p>
        </w:tc>
        <w:tc>
          <w:tcPr>
            <w:tcW w:w="321" w:type="pct"/>
            <w:shd w:val="clear" w:color="auto" w:fill="auto"/>
            <w:noWrap/>
            <w:vAlign w:val="bottom"/>
            <w:hideMark/>
          </w:tcPr>
          <w:p w14:paraId="626F7165"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-2,95</w:t>
            </w:r>
          </w:p>
        </w:tc>
        <w:tc>
          <w:tcPr>
            <w:tcW w:w="321" w:type="pct"/>
            <w:shd w:val="clear" w:color="auto" w:fill="auto"/>
            <w:noWrap/>
            <w:vAlign w:val="bottom"/>
            <w:hideMark/>
          </w:tcPr>
          <w:p w14:paraId="685E088E"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-1,05</w:t>
            </w:r>
          </w:p>
        </w:tc>
        <w:tc>
          <w:tcPr>
            <w:tcW w:w="321" w:type="pct"/>
            <w:shd w:val="clear" w:color="auto" w:fill="auto"/>
            <w:noWrap/>
            <w:vAlign w:val="bottom"/>
            <w:hideMark/>
          </w:tcPr>
          <w:p w14:paraId="7A7B19C2"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1,42</w:t>
            </w:r>
          </w:p>
        </w:tc>
      </w:tr>
      <w:tr w:rsidR="00C030A9" w:rsidRPr="00A37BCE" w14:paraId="5165C69D" w14:textId="77777777" w:rsidTr="00DB77D7">
        <w:trPr>
          <w:trHeight w:val="288"/>
        </w:trPr>
        <w:tc>
          <w:tcPr>
            <w:tcW w:w="2743" w:type="pct"/>
            <w:shd w:val="clear" w:color="auto" w:fill="auto"/>
            <w:noWrap/>
            <w:vAlign w:val="bottom"/>
            <w:hideMark/>
          </w:tcPr>
          <w:p w14:paraId="67AD989E" w14:textId="6E075901" w:rsidR="00C030A9" w:rsidRPr="00A37BCE" w:rsidRDefault="00C030A9" w:rsidP="00C95098">
            <w:pPr>
              <w:spacing w:after="0" w:line="240" w:lineRule="auto"/>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4. Стабилизујући примарни баланс, % БДП</w:t>
            </w:r>
          </w:p>
        </w:tc>
        <w:tc>
          <w:tcPr>
            <w:tcW w:w="537" w:type="pct"/>
            <w:shd w:val="clear" w:color="auto" w:fill="auto"/>
            <w:noWrap/>
            <w:vAlign w:val="bottom"/>
            <w:hideMark/>
          </w:tcPr>
          <w:p w14:paraId="09C4DEF0"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&lt;</w:t>
            </w:r>
          </w:p>
        </w:tc>
        <w:tc>
          <w:tcPr>
            <w:tcW w:w="304" w:type="pct"/>
            <w:shd w:val="clear" w:color="auto" w:fill="auto"/>
            <w:noWrap/>
            <w:vAlign w:val="bottom"/>
            <w:hideMark/>
          </w:tcPr>
          <w:p w14:paraId="60A94220"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2,34</w:t>
            </w:r>
          </w:p>
        </w:tc>
        <w:tc>
          <w:tcPr>
            <w:tcW w:w="454" w:type="pct"/>
            <w:shd w:val="clear" w:color="auto" w:fill="auto"/>
            <w:noWrap/>
            <w:vAlign w:val="bottom"/>
            <w:hideMark/>
          </w:tcPr>
          <w:p w14:paraId="585AB485" w14:textId="77777777"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0,08</w:t>
            </w:r>
          </w:p>
        </w:tc>
        <w:tc>
          <w:tcPr>
            <w:tcW w:w="321" w:type="pct"/>
            <w:shd w:val="clear" w:color="auto" w:fill="auto"/>
            <w:noWrap/>
            <w:vAlign w:val="bottom"/>
            <w:hideMark/>
          </w:tcPr>
          <w:p w14:paraId="2ACC2590"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0,54</w:t>
            </w:r>
          </w:p>
        </w:tc>
        <w:tc>
          <w:tcPr>
            <w:tcW w:w="321" w:type="pct"/>
            <w:shd w:val="clear" w:color="auto" w:fill="auto"/>
            <w:noWrap/>
            <w:vAlign w:val="bottom"/>
            <w:hideMark/>
          </w:tcPr>
          <w:p w14:paraId="74C9D795"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-0,37</w:t>
            </w:r>
          </w:p>
        </w:tc>
        <w:tc>
          <w:tcPr>
            <w:tcW w:w="321" w:type="pct"/>
            <w:shd w:val="clear" w:color="auto" w:fill="auto"/>
            <w:noWrap/>
            <w:vAlign w:val="bottom"/>
            <w:hideMark/>
          </w:tcPr>
          <w:p w14:paraId="7E6059E6"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-0,48</w:t>
            </w:r>
          </w:p>
        </w:tc>
      </w:tr>
      <w:tr w:rsidR="00C030A9" w:rsidRPr="00A37BCE" w14:paraId="2E944BEF" w14:textId="77777777" w:rsidTr="00DB77D7">
        <w:trPr>
          <w:trHeight w:val="288"/>
        </w:trPr>
        <w:tc>
          <w:tcPr>
            <w:tcW w:w="2743" w:type="pct"/>
            <w:shd w:val="clear" w:color="auto" w:fill="auto"/>
            <w:noWrap/>
            <w:vAlign w:val="bottom"/>
            <w:hideMark/>
          </w:tcPr>
          <w:p w14:paraId="48814AD4" w14:textId="77777777" w:rsidR="00C030A9" w:rsidRPr="00A37BCE" w:rsidRDefault="00C030A9" w:rsidP="00C95098">
            <w:pPr>
              <w:spacing w:after="0" w:line="240" w:lineRule="auto"/>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5. Бруто дуг опште државе, % БДП</w:t>
            </w:r>
          </w:p>
        </w:tc>
        <w:tc>
          <w:tcPr>
            <w:tcW w:w="537" w:type="pct"/>
            <w:shd w:val="clear" w:color="auto" w:fill="auto"/>
            <w:noWrap/>
            <w:vAlign w:val="bottom"/>
            <w:hideMark/>
          </w:tcPr>
          <w:p w14:paraId="23208008"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&lt;</w:t>
            </w:r>
          </w:p>
        </w:tc>
        <w:tc>
          <w:tcPr>
            <w:tcW w:w="304" w:type="pct"/>
            <w:shd w:val="clear" w:color="auto" w:fill="auto"/>
            <w:noWrap/>
            <w:vAlign w:val="bottom"/>
            <w:hideMark/>
          </w:tcPr>
          <w:p w14:paraId="30DC84A7"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68,44</w:t>
            </w:r>
          </w:p>
        </w:tc>
        <w:tc>
          <w:tcPr>
            <w:tcW w:w="454" w:type="pct"/>
            <w:shd w:val="clear" w:color="auto" w:fill="auto"/>
            <w:noWrap/>
            <w:vAlign w:val="bottom"/>
            <w:hideMark/>
          </w:tcPr>
          <w:p w14:paraId="16D9DB07" w14:textId="77777777"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0,12</w:t>
            </w:r>
          </w:p>
        </w:tc>
        <w:tc>
          <w:tcPr>
            <w:tcW w:w="321" w:type="pct"/>
            <w:shd w:val="clear" w:color="auto" w:fill="auto"/>
            <w:noWrap/>
            <w:vAlign w:val="bottom"/>
            <w:hideMark/>
          </w:tcPr>
          <w:p w14:paraId="3EB465A6"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71,25</w:t>
            </w:r>
          </w:p>
        </w:tc>
        <w:tc>
          <w:tcPr>
            <w:tcW w:w="321" w:type="pct"/>
            <w:shd w:val="clear" w:color="auto" w:fill="auto"/>
            <w:noWrap/>
            <w:vAlign w:val="bottom"/>
            <w:hideMark/>
          </w:tcPr>
          <w:p w14:paraId="29AC5D6F"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68,80</w:t>
            </w:r>
          </w:p>
        </w:tc>
        <w:tc>
          <w:tcPr>
            <w:tcW w:w="321" w:type="pct"/>
            <w:shd w:val="clear" w:color="auto" w:fill="auto"/>
            <w:noWrap/>
            <w:vAlign w:val="bottom"/>
            <w:hideMark/>
          </w:tcPr>
          <w:p w14:paraId="548933C7"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58,69</w:t>
            </w:r>
          </w:p>
        </w:tc>
      </w:tr>
      <w:tr w:rsidR="00C030A9" w:rsidRPr="00A37BCE" w14:paraId="179925C8" w14:textId="77777777" w:rsidTr="00DB77D7">
        <w:trPr>
          <w:trHeight w:val="288"/>
        </w:trPr>
        <w:tc>
          <w:tcPr>
            <w:tcW w:w="2743" w:type="pct"/>
            <w:shd w:val="clear" w:color="auto" w:fill="auto"/>
            <w:noWrap/>
            <w:vAlign w:val="bottom"/>
            <w:hideMark/>
          </w:tcPr>
          <w:p w14:paraId="0A31E638" w14:textId="4AB865A5" w:rsidR="00C030A9" w:rsidRPr="00A37BCE" w:rsidRDefault="00C030A9" w:rsidP="00C95098">
            <w:pPr>
              <w:spacing w:after="0" w:line="240" w:lineRule="auto"/>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6. Бруто дуг опште државе, мг</w:t>
            </w:r>
            <w:r w:rsidR="002D7C40">
              <w:rPr>
                <w:rFonts w:eastAsia="Times New Roman" w:cstheme="minorHAnsi"/>
                <w:color w:val="002060"/>
                <w:sz w:val="16"/>
                <w:szCs w:val="18"/>
                <w:lang w:val="sr-Cyrl-RS" w:eastAsia="sr-Cyrl-RS"/>
              </w:rPr>
              <w:t>.</w:t>
            </w:r>
            <w:r w:rsidRPr="00A37BCE">
              <w:rPr>
                <w:rFonts w:eastAsia="Times New Roman" w:cstheme="minorHAnsi"/>
                <w:color w:val="002060"/>
                <w:sz w:val="16"/>
                <w:szCs w:val="18"/>
                <w:lang w:val="sr-Cyrl-RS" w:eastAsia="sr-Cyrl-RS"/>
              </w:rPr>
              <w:t xml:space="preserve"> промена % БДП</w:t>
            </w:r>
          </w:p>
        </w:tc>
        <w:tc>
          <w:tcPr>
            <w:tcW w:w="537" w:type="pct"/>
            <w:shd w:val="clear" w:color="auto" w:fill="auto"/>
            <w:noWrap/>
            <w:vAlign w:val="bottom"/>
            <w:hideMark/>
          </w:tcPr>
          <w:p w14:paraId="3759B661"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&lt;</w:t>
            </w:r>
          </w:p>
        </w:tc>
        <w:tc>
          <w:tcPr>
            <w:tcW w:w="304" w:type="pct"/>
            <w:shd w:val="clear" w:color="auto" w:fill="auto"/>
            <w:noWrap/>
            <w:vAlign w:val="bottom"/>
            <w:hideMark/>
          </w:tcPr>
          <w:p w14:paraId="07B67E62"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8,06</w:t>
            </w:r>
          </w:p>
        </w:tc>
        <w:tc>
          <w:tcPr>
            <w:tcW w:w="454" w:type="pct"/>
            <w:shd w:val="clear" w:color="auto" w:fill="auto"/>
            <w:noWrap/>
            <w:vAlign w:val="bottom"/>
            <w:hideMark/>
          </w:tcPr>
          <w:p w14:paraId="7F1B3297" w14:textId="77777777"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0,12</w:t>
            </w:r>
          </w:p>
        </w:tc>
        <w:tc>
          <w:tcPr>
            <w:tcW w:w="321" w:type="pct"/>
            <w:shd w:val="clear" w:color="auto" w:fill="auto"/>
            <w:noWrap/>
            <w:vAlign w:val="bottom"/>
            <w:hideMark/>
          </w:tcPr>
          <w:p w14:paraId="5170C583"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3,88</w:t>
            </w:r>
          </w:p>
        </w:tc>
        <w:tc>
          <w:tcPr>
            <w:tcW w:w="321" w:type="pct"/>
            <w:shd w:val="clear" w:color="auto" w:fill="auto"/>
            <w:noWrap/>
            <w:vAlign w:val="bottom"/>
            <w:hideMark/>
          </w:tcPr>
          <w:p w14:paraId="6E5619C3"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-2,45</w:t>
            </w:r>
          </w:p>
        </w:tc>
        <w:tc>
          <w:tcPr>
            <w:tcW w:w="321" w:type="pct"/>
            <w:shd w:val="clear" w:color="auto" w:fill="auto"/>
            <w:noWrap/>
            <w:vAlign w:val="bottom"/>
            <w:hideMark/>
          </w:tcPr>
          <w:p w14:paraId="7827529C"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-10,11</w:t>
            </w:r>
          </w:p>
        </w:tc>
      </w:tr>
      <w:tr w:rsidR="00C030A9" w:rsidRPr="00A37BCE" w14:paraId="5BCE696F" w14:textId="77777777" w:rsidTr="00DB77D7">
        <w:trPr>
          <w:trHeight w:val="288"/>
        </w:trPr>
        <w:tc>
          <w:tcPr>
            <w:tcW w:w="2743" w:type="pct"/>
            <w:shd w:val="clear" w:color="auto" w:fill="auto"/>
            <w:noWrap/>
            <w:vAlign w:val="bottom"/>
            <w:hideMark/>
          </w:tcPr>
          <w:p w14:paraId="694B2DEA" w14:textId="3C7A8E95" w:rsidR="00C030A9" w:rsidRPr="00A37BCE" w:rsidRDefault="00D82D2A" w:rsidP="00C95098">
            <w:pPr>
              <w:spacing w:after="0" w:line="240" w:lineRule="auto"/>
              <w:rPr>
                <w:rFonts w:eastAsia="Times New Roman" w:cstheme="minorHAnsi"/>
                <w:color w:val="002060"/>
                <w:sz w:val="16"/>
                <w:szCs w:val="18"/>
                <w:lang w:val="sr-Cyrl-RS" w:eastAsia="sr-Cyrl-RS"/>
              </w:rPr>
            </w:pPr>
            <w:r>
              <w:rPr>
                <w:rFonts w:eastAsia="Times New Roman" w:cstheme="minorHAnsi"/>
                <w:color w:val="002060"/>
                <w:sz w:val="16"/>
                <w:szCs w:val="18"/>
                <w:lang w:val="sr-Cyrl-RS" w:eastAsia="sr-Cyrl-RS"/>
              </w:rPr>
              <w:t>7. Краткорочни дуг опште државе</w:t>
            </w:r>
            <w:r w:rsidR="00C030A9" w:rsidRPr="00A37BCE">
              <w:rPr>
                <w:rFonts w:eastAsia="Times New Roman" w:cstheme="minorHAnsi"/>
                <w:color w:val="002060"/>
                <w:sz w:val="16"/>
                <w:szCs w:val="18"/>
                <w:lang w:val="sr-Cyrl-RS" w:eastAsia="sr-Cyrl-RS"/>
              </w:rPr>
              <w:t xml:space="preserve">, % БДП </w:t>
            </w:r>
          </w:p>
        </w:tc>
        <w:tc>
          <w:tcPr>
            <w:tcW w:w="537" w:type="pct"/>
            <w:shd w:val="clear" w:color="auto" w:fill="auto"/>
            <w:noWrap/>
            <w:vAlign w:val="bottom"/>
            <w:hideMark/>
          </w:tcPr>
          <w:p w14:paraId="042D560F"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&lt;</w:t>
            </w:r>
          </w:p>
        </w:tc>
        <w:tc>
          <w:tcPr>
            <w:tcW w:w="304" w:type="pct"/>
            <w:shd w:val="clear" w:color="auto" w:fill="auto"/>
            <w:noWrap/>
            <w:vAlign w:val="bottom"/>
            <w:hideMark/>
          </w:tcPr>
          <w:p w14:paraId="5A4B2E14"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13,2</w:t>
            </w:r>
          </w:p>
        </w:tc>
        <w:tc>
          <w:tcPr>
            <w:tcW w:w="454" w:type="pct"/>
            <w:shd w:val="clear" w:color="auto" w:fill="auto"/>
            <w:noWrap/>
            <w:vAlign w:val="bottom"/>
            <w:hideMark/>
          </w:tcPr>
          <w:p w14:paraId="11338AB0" w14:textId="77777777"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0,20</w:t>
            </w:r>
          </w:p>
        </w:tc>
        <w:tc>
          <w:tcPr>
            <w:tcW w:w="321" w:type="pct"/>
            <w:shd w:val="clear" w:color="auto" w:fill="auto"/>
            <w:noWrap/>
            <w:vAlign w:val="bottom"/>
            <w:hideMark/>
          </w:tcPr>
          <w:p w14:paraId="015C381D"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0,12</w:t>
            </w:r>
          </w:p>
        </w:tc>
        <w:tc>
          <w:tcPr>
            <w:tcW w:w="321" w:type="pct"/>
            <w:shd w:val="clear" w:color="auto" w:fill="auto"/>
            <w:noWrap/>
            <w:vAlign w:val="bottom"/>
            <w:hideMark/>
          </w:tcPr>
          <w:p w14:paraId="49E17086"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0,13</w:t>
            </w:r>
          </w:p>
        </w:tc>
        <w:tc>
          <w:tcPr>
            <w:tcW w:w="321" w:type="pct"/>
            <w:shd w:val="clear" w:color="auto" w:fill="auto"/>
            <w:noWrap/>
            <w:vAlign w:val="bottom"/>
            <w:hideMark/>
          </w:tcPr>
          <w:p w14:paraId="68A6A32A"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0,10</w:t>
            </w:r>
          </w:p>
        </w:tc>
      </w:tr>
      <w:tr w:rsidR="00C030A9" w:rsidRPr="00A37BCE" w14:paraId="44D09029" w14:textId="77777777" w:rsidTr="00DB77D7">
        <w:trPr>
          <w:trHeight w:val="288"/>
        </w:trPr>
        <w:tc>
          <w:tcPr>
            <w:tcW w:w="2743" w:type="pct"/>
            <w:shd w:val="clear" w:color="auto" w:fill="auto"/>
            <w:noWrap/>
            <w:vAlign w:val="bottom"/>
            <w:hideMark/>
          </w:tcPr>
          <w:p w14:paraId="18AFA5BD" w14:textId="77777777" w:rsidR="00C030A9" w:rsidRPr="00A37BCE" w:rsidRDefault="00C030A9" w:rsidP="00C95098">
            <w:pPr>
              <w:spacing w:after="0" w:line="240" w:lineRule="auto"/>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8. Нето дуг опште државе, % БДП</w:t>
            </w:r>
          </w:p>
        </w:tc>
        <w:tc>
          <w:tcPr>
            <w:tcW w:w="537" w:type="pct"/>
            <w:shd w:val="clear" w:color="auto" w:fill="auto"/>
            <w:noWrap/>
            <w:vAlign w:val="bottom"/>
            <w:hideMark/>
          </w:tcPr>
          <w:p w14:paraId="2575F20B"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&lt;</w:t>
            </w:r>
          </w:p>
        </w:tc>
        <w:tc>
          <w:tcPr>
            <w:tcW w:w="304" w:type="pct"/>
            <w:shd w:val="clear" w:color="auto" w:fill="auto"/>
            <w:noWrap/>
            <w:vAlign w:val="bottom"/>
            <w:hideMark/>
          </w:tcPr>
          <w:p w14:paraId="38D3542E"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59,51</w:t>
            </w:r>
          </w:p>
        </w:tc>
        <w:tc>
          <w:tcPr>
            <w:tcW w:w="454" w:type="pct"/>
            <w:shd w:val="clear" w:color="auto" w:fill="auto"/>
            <w:noWrap/>
            <w:vAlign w:val="bottom"/>
            <w:hideMark/>
          </w:tcPr>
          <w:p w14:paraId="1E514DCB" w14:textId="77777777"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0,20</w:t>
            </w:r>
          </w:p>
        </w:tc>
        <w:tc>
          <w:tcPr>
            <w:tcW w:w="321" w:type="pct"/>
            <w:shd w:val="clear" w:color="auto" w:fill="auto"/>
            <w:noWrap/>
            <w:vAlign w:val="bottom"/>
            <w:hideMark/>
          </w:tcPr>
          <w:p w14:paraId="3022197F"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71,25</w:t>
            </w:r>
          </w:p>
        </w:tc>
        <w:tc>
          <w:tcPr>
            <w:tcW w:w="321" w:type="pct"/>
            <w:shd w:val="clear" w:color="auto" w:fill="auto"/>
            <w:noWrap/>
            <w:vAlign w:val="bottom"/>
            <w:hideMark/>
          </w:tcPr>
          <w:p w14:paraId="2738F22F"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68,80</w:t>
            </w:r>
          </w:p>
        </w:tc>
        <w:tc>
          <w:tcPr>
            <w:tcW w:w="321" w:type="pct"/>
            <w:shd w:val="clear" w:color="auto" w:fill="auto"/>
            <w:noWrap/>
            <w:vAlign w:val="bottom"/>
            <w:hideMark/>
          </w:tcPr>
          <w:p w14:paraId="4EAFAEC5"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58,69</w:t>
            </w:r>
          </w:p>
        </w:tc>
      </w:tr>
      <w:tr w:rsidR="00C030A9" w:rsidRPr="00A37BCE" w14:paraId="1309A4FC" w14:textId="77777777" w:rsidTr="00DB77D7">
        <w:trPr>
          <w:trHeight w:val="288"/>
        </w:trPr>
        <w:tc>
          <w:tcPr>
            <w:tcW w:w="2743" w:type="pct"/>
            <w:shd w:val="clear" w:color="auto" w:fill="auto"/>
            <w:noWrap/>
            <w:vAlign w:val="bottom"/>
            <w:hideMark/>
          </w:tcPr>
          <w:p w14:paraId="10375182" w14:textId="77777777" w:rsidR="00C030A9" w:rsidRPr="00A37BCE" w:rsidRDefault="00C030A9" w:rsidP="00C95098">
            <w:pPr>
              <w:spacing w:after="0" w:line="240" w:lineRule="auto"/>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9. Укупне потребе за финансирањем, % БДП</w:t>
            </w:r>
          </w:p>
        </w:tc>
        <w:tc>
          <w:tcPr>
            <w:tcW w:w="537" w:type="pct"/>
            <w:shd w:val="clear" w:color="auto" w:fill="auto"/>
            <w:noWrap/>
            <w:vAlign w:val="bottom"/>
            <w:hideMark/>
          </w:tcPr>
          <w:p w14:paraId="353EAF2F"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&lt;</w:t>
            </w:r>
          </w:p>
        </w:tc>
        <w:tc>
          <w:tcPr>
            <w:tcW w:w="304" w:type="pct"/>
            <w:shd w:val="clear" w:color="auto" w:fill="auto"/>
            <w:noWrap/>
            <w:vAlign w:val="bottom"/>
            <w:hideMark/>
          </w:tcPr>
          <w:p w14:paraId="40D37870"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15,95</w:t>
            </w:r>
          </w:p>
        </w:tc>
        <w:tc>
          <w:tcPr>
            <w:tcW w:w="454" w:type="pct"/>
            <w:shd w:val="clear" w:color="auto" w:fill="auto"/>
            <w:noWrap/>
            <w:vAlign w:val="bottom"/>
            <w:hideMark/>
          </w:tcPr>
          <w:p w14:paraId="0BC03CC7" w14:textId="77777777"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0,26</w:t>
            </w:r>
          </w:p>
        </w:tc>
        <w:tc>
          <w:tcPr>
            <w:tcW w:w="321" w:type="pct"/>
            <w:shd w:val="clear" w:color="auto" w:fill="auto"/>
            <w:noWrap/>
            <w:vAlign w:val="bottom"/>
            <w:hideMark/>
          </w:tcPr>
          <w:p w14:paraId="68E85AD5"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14,93</w:t>
            </w:r>
          </w:p>
        </w:tc>
        <w:tc>
          <w:tcPr>
            <w:tcW w:w="321" w:type="pct"/>
            <w:shd w:val="clear" w:color="auto" w:fill="auto"/>
            <w:noWrap/>
            <w:vAlign w:val="bottom"/>
            <w:hideMark/>
          </w:tcPr>
          <w:p w14:paraId="34F19497"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13,17</w:t>
            </w:r>
          </w:p>
        </w:tc>
        <w:tc>
          <w:tcPr>
            <w:tcW w:w="321" w:type="pct"/>
            <w:shd w:val="clear" w:color="auto" w:fill="auto"/>
            <w:noWrap/>
            <w:vAlign w:val="bottom"/>
            <w:hideMark/>
          </w:tcPr>
          <w:p w14:paraId="32DE3E52"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10,65</w:t>
            </w:r>
          </w:p>
        </w:tc>
      </w:tr>
      <w:tr w:rsidR="00C030A9" w:rsidRPr="00A37BCE" w14:paraId="681DE61F" w14:textId="77777777" w:rsidTr="00DB77D7">
        <w:trPr>
          <w:trHeight w:val="288"/>
        </w:trPr>
        <w:tc>
          <w:tcPr>
            <w:tcW w:w="2743" w:type="pct"/>
            <w:shd w:val="clear" w:color="auto" w:fill="auto"/>
            <w:noWrap/>
            <w:vAlign w:val="bottom"/>
            <w:hideMark/>
          </w:tcPr>
          <w:p w14:paraId="740B1F2D" w14:textId="77777777" w:rsidR="00C030A9" w:rsidRPr="00A37BCE" w:rsidRDefault="00C030A9" w:rsidP="00C95098">
            <w:pPr>
              <w:spacing w:after="0" w:line="240" w:lineRule="auto"/>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10. Диференцијал каматне стопе и стопе раста БДП</w:t>
            </w:r>
          </w:p>
        </w:tc>
        <w:tc>
          <w:tcPr>
            <w:tcW w:w="537" w:type="pct"/>
            <w:shd w:val="clear" w:color="auto" w:fill="auto"/>
            <w:noWrap/>
            <w:vAlign w:val="bottom"/>
            <w:hideMark/>
          </w:tcPr>
          <w:p w14:paraId="69B7F410"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&lt;</w:t>
            </w:r>
          </w:p>
        </w:tc>
        <w:tc>
          <w:tcPr>
            <w:tcW w:w="304" w:type="pct"/>
            <w:shd w:val="clear" w:color="auto" w:fill="auto"/>
            <w:noWrap/>
            <w:vAlign w:val="bottom"/>
            <w:hideMark/>
          </w:tcPr>
          <w:p w14:paraId="511AE73F"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4,8</w:t>
            </w:r>
          </w:p>
        </w:tc>
        <w:tc>
          <w:tcPr>
            <w:tcW w:w="454" w:type="pct"/>
            <w:shd w:val="clear" w:color="auto" w:fill="auto"/>
            <w:noWrap/>
            <w:vAlign w:val="bottom"/>
            <w:hideMark/>
          </w:tcPr>
          <w:p w14:paraId="10264923" w14:textId="77777777"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0,08</w:t>
            </w:r>
          </w:p>
        </w:tc>
        <w:tc>
          <w:tcPr>
            <w:tcW w:w="321" w:type="pct"/>
            <w:shd w:val="clear" w:color="auto" w:fill="auto"/>
            <w:noWrap/>
            <w:vAlign w:val="bottom"/>
            <w:hideMark/>
          </w:tcPr>
          <w:p w14:paraId="27D070C0"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1,17</w:t>
            </w:r>
          </w:p>
        </w:tc>
        <w:tc>
          <w:tcPr>
            <w:tcW w:w="321" w:type="pct"/>
            <w:shd w:val="clear" w:color="auto" w:fill="auto"/>
            <w:noWrap/>
            <w:vAlign w:val="bottom"/>
            <w:hideMark/>
          </w:tcPr>
          <w:p w14:paraId="02822F99"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-0,57</w:t>
            </w:r>
          </w:p>
        </w:tc>
        <w:tc>
          <w:tcPr>
            <w:tcW w:w="321" w:type="pct"/>
            <w:shd w:val="clear" w:color="auto" w:fill="auto"/>
            <w:noWrap/>
            <w:vAlign w:val="bottom"/>
            <w:hideMark/>
          </w:tcPr>
          <w:p w14:paraId="5768BCC0"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-1,26</w:t>
            </w:r>
          </w:p>
        </w:tc>
      </w:tr>
      <w:tr w:rsidR="00C030A9" w:rsidRPr="00A37BCE" w14:paraId="76B5BD39" w14:textId="77777777" w:rsidTr="00DB77D7">
        <w:trPr>
          <w:trHeight w:val="288"/>
        </w:trPr>
        <w:tc>
          <w:tcPr>
            <w:tcW w:w="2743" w:type="pct"/>
            <w:shd w:val="clear" w:color="auto" w:fill="auto"/>
            <w:noWrap/>
            <w:vAlign w:val="bottom"/>
            <w:hideMark/>
          </w:tcPr>
          <w:p w14:paraId="5E1211F8" w14:textId="2AAD7275" w:rsidR="00C030A9" w:rsidRPr="00A37BCE" w:rsidRDefault="00C030A9" w:rsidP="00C95098">
            <w:pPr>
              <w:spacing w:after="0" w:line="240" w:lineRule="auto"/>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11. Јавни расходи опште државе, мг</w:t>
            </w:r>
            <w:r w:rsidR="00E74834">
              <w:rPr>
                <w:rFonts w:eastAsia="Times New Roman" w:cstheme="minorHAnsi"/>
                <w:color w:val="002060"/>
                <w:sz w:val="16"/>
                <w:szCs w:val="18"/>
                <w:lang w:val="sr-Cyrl-RS" w:eastAsia="sr-Cyrl-RS"/>
              </w:rPr>
              <w:t>.</w:t>
            </w:r>
            <w:r w:rsidRPr="00A37BCE">
              <w:rPr>
                <w:rFonts w:eastAsia="Times New Roman" w:cstheme="minorHAnsi"/>
                <w:color w:val="002060"/>
                <w:sz w:val="16"/>
                <w:szCs w:val="18"/>
                <w:lang w:val="sr-Cyrl-RS" w:eastAsia="sr-Cyrl-RS"/>
              </w:rPr>
              <w:t xml:space="preserve"> промена, % БДП</w:t>
            </w:r>
          </w:p>
        </w:tc>
        <w:tc>
          <w:tcPr>
            <w:tcW w:w="537" w:type="pct"/>
            <w:shd w:val="clear" w:color="auto" w:fill="auto"/>
            <w:noWrap/>
            <w:vAlign w:val="bottom"/>
            <w:hideMark/>
          </w:tcPr>
          <w:p w14:paraId="764847B5"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&lt;</w:t>
            </w:r>
          </w:p>
        </w:tc>
        <w:tc>
          <w:tcPr>
            <w:tcW w:w="304" w:type="pct"/>
            <w:shd w:val="clear" w:color="auto" w:fill="auto"/>
            <w:noWrap/>
            <w:vAlign w:val="bottom"/>
            <w:hideMark/>
          </w:tcPr>
          <w:p w14:paraId="4DF3EB2E"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1,9</w:t>
            </w:r>
          </w:p>
        </w:tc>
        <w:tc>
          <w:tcPr>
            <w:tcW w:w="454" w:type="pct"/>
            <w:shd w:val="clear" w:color="auto" w:fill="auto"/>
            <w:noWrap/>
            <w:vAlign w:val="bottom"/>
            <w:hideMark/>
          </w:tcPr>
          <w:p w14:paraId="21922A71" w14:textId="77777777"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0,11</w:t>
            </w:r>
          </w:p>
        </w:tc>
        <w:tc>
          <w:tcPr>
            <w:tcW w:w="321" w:type="pct"/>
            <w:shd w:val="clear" w:color="auto" w:fill="auto"/>
            <w:noWrap/>
            <w:vAlign w:val="bottom"/>
            <w:hideMark/>
          </w:tcPr>
          <w:p w14:paraId="7F72E5A6"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-2,31</w:t>
            </w:r>
          </w:p>
        </w:tc>
        <w:tc>
          <w:tcPr>
            <w:tcW w:w="321" w:type="pct"/>
            <w:shd w:val="clear" w:color="auto" w:fill="auto"/>
            <w:noWrap/>
            <w:vAlign w:val="bottom"/>
            <w:hideMark/>
          </w:tcPr>
          <w:p w14:paraId="75E0FEC6"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-0,81</w:t>
            </w:r>
          </w:p>
        </w:tc>
        <w:tc>
          <w:tcPr>
            <w:tcW w:w="321" w:type="pct"/>
            <w:shd w:val="clear" w:color="auto" w:fill="auto"/>
            <w:noWrap/>
            <w:vAlign w:val="bottom"/>
            <w:hideMark/>
          </w:tcPr>
          <w:p w14:paraId="539ADA4E"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-1,54</w:t>
            </w:r>
          </w:p>
        </w:tc>
      </w:tr>
      <w:tr w:rsidR="00C030A9" w:rsidRPr="00A37BCE" w14:paraId="20D5BCE6" w14:textId="77777777" w:rsidTr="00DB77D7">
        <w:trPr>
          <w:trHeight w:val="302"/>
        </w:trPr>
        <w:tc>
          <w:tcPr>
            <w:tcW w:w="2743" w:type="pct"/>
            <w:shd w:val="clear" w:color="auto" w:fill="auto"/>
            <w:noWrap/>
            <w:vAlign w:val="bottom"/>
            <w:hideMark/>
          </w:tcPr>
          <w:p w14:paraId="35291A36" w14:textId="5B0CCB71" w:rsidR="00C030A9" w:rsidRPr="00A37BCE" w:rsidRDefault="00C030A9" w:rsidP="00C95098">
            <w:pPr>
              <w:spacing w:after="0" w:line="240" w:lineRule="auto"/>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12. Финална потрошња опште државе, мг</w:t>
            </w:r>
            <w:r w:rsidR="00E74834">
              <w:rPr>
                <w:rFonts w:eastAsia="Times New Roman" w:cstheme="minorHAnsi"/>
                <w:color w:val="002060"/>
                <w:sz w:val="16"/>
                <w:szCs w:val="18"/>
                <w:lang w:val="sr-Cyrl-RS" w:eastAsia="sr-Cyrl-RS"/>
              </w:rPr>
              <w:t>.</w:t>
            </w:r>
            <w:r w:rsidRPr="00A37BCE">
              <w:rPr>
                <w:rFonts w:eastAsia="Times New Roman" w:cstheme="minorHAnsi"/>
                <w:color w:val="002060"/>
                <w:sz w:val="16"/>
                <w:szCs w:val="18"/>
                <w:lang w:val="sr-Cyrl-RS" w:eastAsia="sr-Cyrl-RS"/>
              </w:rPr>
              <w:t xml:space="preserve"> промена, % БДП</w:t>
            </w:r>
          </w:p>
        </w:tc>
        <w:tc>
          <w:tcPr>
            <w:tcW w:w="537" w:type="pct"/>
            <w:shd w:val="clear" w:color="auto" w:fill="auto"/>
            <w:noWrap/>
            <w:vAlign w:val="bottom"/>
            <w:hideMark/>
          </w:tcPr>
          <w:p w14:paraId="04DF4FAE"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&lt;</w:t>
            </w:r>
          </w:p>
        </w:tc>
        <w:tc>
          <w:tcPr>
            <w:tcW w:w="304" w:type="pct"/>
            <w:shd w:val="clear" w:color="auto" w:fill="auto"/>
            <w:noWrap/>
            <w:vAlign w:val="bottom"/>
            <w:hideMark/>
          </w:tcPr>
          <w:p w14:paraId="06007352"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0,61</w:t>
            </w:r>
          </w:p>
        </w:tc>
        <w:tc>
          <w:tcPr>
            <w:tcW w:w="454" w:type="pct"/>
            <w:shd w:val="clear" w:color="auto" w:fill="auto"/>
            <w:noWrap/>
            <w:vAlign w:val="bottom"/>
            <w:hideMark/>
          </w:tcPr>
          <w:p w14:paraId="5A54D19A" w14:textId="77777777"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0,07</w:t>
            </w:r>
          </w:p>
        </w:tc>
        <w:tc>
          <w:tcPr>
            <w:tcW w:w="321" w:type="pct"/>
            <w:shd w:val="clear" w:color="auto" w:fill="auto"/>
            <w:noWrap/>
            <w:vAlign w:val="bottom"/>
            <w:hideMark/>
          </w:tcPr>
          <w:p w14:paraId="02F9DF5C"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-1,41</w:t>
            </w:r>
          </w:p>
        </w:tc>
        <w:tc>
          <w:tcPr>
            <w:tcW w:w="321" w:type="pct"/>
            <w:shd w:val="clear" w:color="auto" w:fill="auto"/>
            <w:noWrap/>
            <w:vAlign w:val="bottom"/>
            <w:hideMark/>
          </w:tcPr>
          <w:p w14:paraId="46FA7ACD"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-0,14</w:t>
            </w:r>
          </w:p>
        </w:tc>
        <w:tc>
          <w:tcPr>
            <w:tcW w:w="321" w:type="pct"/>
            <w:shd w:val="clear" w:color="auto" w:fill="auto"/>
            <w:noWrap/>
            <w:vAlign w:val="bottom"/>
            <w:hideMark/>
          </w:tcPr>
          <w:p w14:paraId="1245F507"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-0,12</w:t>
            </w:r>
          </w:p>
        </w:tc>
      </w:tr>
      <w:tr w:rsidR="00C030A9" w:rsidRPr="00A37BCE" w14:paraId="691D01B0" w14:textId="77777777" w:rsidTr="00DB77D7">
        <w:trPr>
          <w:trHeight w:val="302"/>
        </w:trPr>
        <w:tc>
          <w:tcPr>
            <w:tcW w:w="2743" w:type="pct"/>
            <w:shd w:val="clear" w:color="auto" w:fill="E7E6E6" w:themeFill="background2"/>
            <w:noWrap/>
            <w:vAlign w:val="bottom"/>
            <w:hideMark/>
          </w:tcPr>
          <w:p w14:paraId="42BC959A" w14:textId="77777777" w:rsidR="00C030A9" w:rsidRPr="00A37BCE" w:rsidRDefault="00C030A9" w:rsidP="00C95098">
            <w:pPr>
              <w:spacing w:after="0" w:line="240" w:lineRule="auto"/>
              <w:rPr>
                <w:rFonts w:eastAsia="Times New Roman" w:cstheme="minorHAnsi"/>
                <w:bCs/>
                <w:color w:val="002060"/>
                <w:sz w:val="16"/>
                <w:szCs w:val="18"/>
                <w:lang w:val="sr-Cyrl-RS" w:eastAsia="sr-Cyrl-RS"/>
              </w:rPr>
            </w:pPr>
            <w:r w:rsidRPr="00A37BCE">
              <w:rPr>
                <w:rFonts w:eastAsia="Times New Roman" w:cstheme="minorHAnsi"/>
                <w:bCs/>
                <w:color w:val="002060"/>
                <w:sz w:val="16"/>
                <w:szCs w:val="18"/>
                <w:lang w:val="sr-Cyrl-RS" w:eastAsia="sr-Cyrl-RS"/>
              </w:rPr>
              <w:t>Подиндекс финансијске конкурентности</w:t>
            </w:r>
          </w:p>
        </w:tc>
        <w:tc>
          <w:tcPr>
            <w:tcW w:w="537" w:type="pct"/>
            <w:shd w:val="clear" w:color="auto" w:fill="E7E6E6" w:themeFill="background2"/>
            <w:noWrap/>
            <w:vAlign w:val="bottom"/>
            <w:hideMark/>
          </w:tcPr>
          <w:p w14:paraId="57C40AD0"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&lt;</w:t>
            </w:r>
          </w:p>
        </w:tc>
        <w:tc>
          <w:tcPr>
            <w:tcW w:w="304" w:type="pct"/>
            <w:shd w:val="clear" w:color="auto" w:fill="E7E6E6" w:themeFill="background2"/>
            <w:noWrap/>
            <w:vAlign w:val="bottom"/>
            <w:hideMark/>
          </w:tcPr>
          <w:p w14:paraId="16DFAD8C"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0,49</w:t>
            </w:r>
          </w:p>
        </w:tc>
        <w:tc>
          <w:tcPr>
            <w:tcW w:w="454" w:type="pct"/>
            <w:shd w:val="clear" w:color="auto" w:fill="E7E6E6" w:themeFill="background2"/>
            <w:noWrap/>
            <w:vAlign w:val="bottom"/>
            <w:hideMark/>
          </w:tcPr>
          <w:p w14:paraId="1E11A17D"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0,55</w:t>
            </w:r>
          </w:p>
        </w:tc>
        <w:tc>
          <w:tcPr>
            <w:tcW w:w="321" w:type="pct"/>
            <w:shd w:val="clear" w:color="auto" w:fill="E7E6E6" w:themeFill="background2"/>
            <w:noWrap/>
            <w:vAlign w:val="bottom"/>
            <w:hideMark/>
          </w:tcPr>
          <w:p w14:paraId="256CF2C8" w14:textId="77777777" w:rsidR="00C030A9" w:rsidRPr="00A37BCE" w:rsidRDefault="00C030A9" w:rsidP="00C95098">
            <w:pPr>
              <w:spacing w:after="0" w:line="240" w:lineRule="auto"/>
              <w:jc w:val="right"/>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0,27</w:t>
            </w:r>
          </w:p>
        </w:tc>
        <w:tc>
          <w:tcPr>
            <w:tcW w:w="321" w:type="pct"/>
            <w:shd w:val="clear" w:color="auto" w:fill="E7E6E6" w:themeFill="background2"/>
            <w:noWrap/>
            <w:vAlign w:val="bottom"/>
            <w:hideMark/>
          </w:tcPr>
          <w:p w14:paraId="5FAAA93D" w14:textId="77777777" w:rsidR="00C030A9" w:rsidRPr="00A37BCE" w:rsidRDefault="00C030A9" w:rsidP="00C95098">
            <w:pPr>
              <w:spacing w:after="0" w:line="240" w:lineRule="auto"/>
              <w:jc w:val="right"/>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0,27</w:t>
            </w:r>
          </w:p>
        </w:tc>
        <w:tc>
          <w:tcPr>
            <w:tcW w:w="321" w:type="pct"/>
            <w:shd w:val="clear" w:color="auto" w:fill="E7E6E6" w:themeFill="background2"/>
            <w:noWrap/>
            <w:vAlign w:val="bottom"/>
            <w:hideMark/>
          </w:tcPr>
          <w:p w14:paraId="312B670C" w14:textId="77777777" w:rsidR="00C030A9" w:rsidRPr="00A37BCE" w:rsidRDefault="00C030A9" w:rsidP="00C95098">
            <w:pPr>
              <w:spacing w:after="0" w:line="240" w:lineRule="auto"/>
              <w:jc w:val="right"/>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0,27</w:t>
            </w:r>
          </w:p>
        </w:tc>
      </w:tr>
      <w:tr w:rsidR="00C030A9" w:rsidRPr="00A37BCE" w14:paraId="0E5FF4EC" w14:textId="77777777" w:rsidTr="00DB77D7">
        <w:trPr>
          <w:trHeight w:val="288"/>
        </w:trPr>
        <w:tc>
          <w:tcPr>
            <w:tcW w:w="2743" w:type="pct"/>
            <w:shd w:val="clear" w:color="auto" w:fill="auto"/>
            <w:noWrap/>
            <w:vAlign w:val="bottom"/>
            <w:hideMark/>
          </w:tcPr>
          <w:p w14:paraId="18D69DF9" w14:textId="77777777" w:rsidR="00C030A9" w:rsidRPr="00A37BCE" w:rsidRDefault="00C030A9" w:rsidP="00C95098">
            <w:pPr>
              <w:spacing w:after="0" w:line="240" w:lineRule="auto"/>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1. Међународна инвестициона позиција, нето, % БДП</w:t>
            </w:r>
          </w:p>
        </w:tc>
        <w:tc>
          <w:tcPr>
            <w:tcW w:w="537" w:type="pct"/>
            <w:shd w:val="clear" w:color="auto" w:fill="auto"/>
            <w:noWrap/>
            <w:vAlign w:val="bottom"/>
            <w:hideMark/>
          </w:tcPr>
          <w:p w14:paraId="7C77158C"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&gt;</w:t>
            </w:r>
          </w:p>
        </w:tc>
        <w:tc>
          <w:tcPr>
            <w:tcW w:w="304" w:type="pct"/>
            <w:shd w:val="clear" w:color="auto" w:fill="auto"/>
            <w:noWrap/>
            <w:vAlign w:val="bottom"/>
            <w:hideMark/>
          </w:tcPr>
          <w:p w14:paraId="7F828F9F"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-19,8</w:t>
            </w:r>
          </w:p>
        </w:tc>
        <w:tc>
          <w:tcPr>
            <w:tcW w:w="454" w:type="pct"/>
            <w:shd w:val="clear" w:color="auto" w:fill="auto"/>
            <w:noWrap/>
            <w:vAlign w:val="bottom"/>
            <w:hideMark/>
          </w:tcPr>
          <w:p w14:paraId="4ECCB907" w14:textId="77777777"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0,29</w:t>
            </w:r>
          </w:p>
        </w:tc>
        <w:tc>
          <w:tcPr>
            <w:tcW w:w="321" w:type="pct"/>
            <w:shd w:val="clear" w:color="auto" w:fill="auto"/>
            <w:noWrap/>
            <w:vAlign w:val="bottom"/>
            <w:hideMark/>
          </w:tcPr>
          <w:p w14:paraId="1EE31B89"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-95,51</w:t>
            </w:r>
          </w:p>
        </w:tc>
        <w:tc>
          <w:tcPr>
            <w:tcW w:w="321" w:type="pct"/>
            <w:shd w:val="clear" w:color="auto" w:fill="auto"/>
            <w:noWrap/>
            <w:vAlign w:val="bottom"/>
            <w:hideMark/>
          </w:tcPr>
          <w:p w14:paraId="09A41005"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-94,97</w:t>
            </w:r>
          </w:p>
        </w:tc>
        <w:tc>
          <w:tcPr>
            <w:tcW w:w="321" w:type="pct"/>
            <w:shd w:val="clear" w:color="auto" w:fill="auto"/>
            <w:noWrap/>
            <w:vAlign w:val="bottom"/>
            <w:hideMark/>
          </w:tcPr>
          <w:p w14:paraId="76073A99"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-97,14</w:t>
            </w:r>
          </w:p>
        </w:tc>
      </w:tr>
      <w:tr w:rsidR="00C030A9" w:rsidRPr="00A37BCE" w14:paraId="73E4D508" w14:textId="77777777" w:rsidTr="00DB77D7">
        <w:trPr>
          <w:trHeight w:val="288"/>
        </w:trPr>
        <w:tc>
          <w:tcPr>
            <w:tcW w:w="2743" w:type="pct"/>
            <w:shd w:val="clear" w:color="auto" w:fill="auto"/>
            <w:noWrap/>
            <w:vAlign w:val="bottom"/>
            <w:hideMark/>
          </w:tcPr>
          <w:p w14:paraId="1243C699" w14:textId="77777777" w:rsidR="00C030A9" w:rsidRPr="00A37BCE" w:rsidRDefault="00C030A9" w:rsidP="00C95098">
            <w:pPr>
              <w:spacing w:after="0" w:line="240" w:lineRule="auto"/>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2. Нето штедња домаћинстава, % БДП</w:t>
            </w:r>
          </w:p>
        </w:tc>
        <w:tc>
          <w:tcPr>
            <w:tcW w:w="537" w:type="pct"/>
            <w:shd w:val="clear" w:color="auto" w:fill="auto"/>
            <w:noWrap/>
            <w:vAlign w:val="bottom"/>
            <w:hideMark/>
          </w:tcPr>
          <w:p w14:paraId="4D268C49"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&gt;</w:t>
            </w:r>
          </w:p>
        </w:tc>
        <w:tc>
          <w:tcPr>
            <w:tcW w:w="304" w:type="pct"/>
            <w:shd w:val="clear" w:color="auto" w:fill="auto"/>
            <w:noWrap/>
            <w:vAlign w:val="bottom"/>
            <w:hideMark/>
          </w:tcPr>
          <w:p w14:paraId="5AE0A8E8"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2,61</w:t>
            </w:r>
          </w:p>
        </w:tc>
        <w:tc>
          <w:tcPr>
            <w:tcW w:w="454" w:type="pct"/>
            <w:shd w:val="clear" w:color="auto" w:fill="auto"/>
            <w:noWrap/>
            <w:vAlign w:val="bottom"/>
            <w:hideMark/>
          </w:tcPr>
          <w:p w14:paraId="77BCA4B2" w14:textId="77777777"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0,33</w:t>
            </w:r>
          </w:p>
        </w:tc>
        <w:tc>
          <w:tcPr>
            <w:tcW w:w="321" w:type="pct"/>
            <w:shd w:val="clear" w:color="auto" w:fill="auto"/>
            <w:noWrap/>
            <w:vAlign w:val="bottom"/>
            <w:hideMark/>
          </w:tcPr>
          <w:p w14:paraId="1B072765"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26,52</w:t>
            </w:r>
          </w:p>
        </w:tc>
        <w:tc>
          <w:tcPr>
            <w:tcW w:w="321" w:type="pct"/>
            <w:shd w:val="clear" w:color="auto" w:fill="auto"/>
            <w:noWrap/>
            <w:vAlign w:val="bottom"/>
            <w:hideMark/>
          </w:tcPr>
          <w:p w14:paraId="7C7F025D"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24,57</w:t>
            </w:r>
          </w:p>
        </w:tc>
        <w:tc>
          <w:tcPr>
            <w:tcW w:w="321" w:type="pct"/>
            <w:shd w:val="clear" w:color="auto" w:fill="auto"/>
            <w:noWrap/>
            <w:vAlign w:val="bottom"/>
            <w:hideMark/>
          </w:tcPr>
          <w:p w14:paraId="2F8A9E3A"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24,80</w:t>
            </w:r>
          </w:p>
        </w:tc>
      </w:tr>
      <w:tr w:rsidR="00C030A9" w:rsidRPr="00A37BCE" w14:paraId="03778979" w14:textId="77777777" w:rsidTr="00DB77D7">
        <w:trPr>
          <w:trHeight w:val="288"/>
        </w:trPr>
        <w:tc>
          <w:tcPr>
            <w:tcW w:w="2743" w:type="pct"/>
            <w:shd w:val="clear" w:color="auto" w:fill="auto"/>
            <w:noWrap/>
            <w:vAlign w:val="bottom"/>
            <w:hideMark/>
          </w:tcPr>
          <w:p w14:paraId="2CCD9C6D" w14:textId="77777777" w:rsidR="00C030A9" w:rsidRPr="00A37BCE" w:rsidRDefault="00C030A9" w:rsidP="00C95098">
            <w:pPr>
              <w:spacing w:after="0" w:line="240" w:lineRule="auto"/>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3. Дуг приватног сектора, % БДП</w:t>
            </w:r>
          </w:p>
        </w:tc>
        <w:tc>
          <w:tcPr>
            <w:tcW w:w="537" w:type="pct"/>
            <w:shd w:val="clear" w:color="auto" w:fill="auto"/>
            <w:noWrap/>
            <w:vAlign w:val="bottom"/>
            <w:hideMark/>
          </w:tcPr>
          <w:p w14:paraId="66F6D9A3"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&lt;</w:t>
            </w:r>
          </w:p>
        </w:tc>
        <w:tc>
          <w:tcPr>
            <w:tcW w:w="304" w:type="pct"/>
            <w:shd w:val="clear" w:color="auto" w:fill="auto"/>
            <w:noWrap/>
            <w:vAlign w:val="bottom"/>
            <w:hideMark/>
          </w:tcPr>
          <w:p w14:paraId="27082C77"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164,7</w:t>
            </w:r>
          </w:p>
        </w:tc>
        <w:tc>
          <w:tcPr>
            <w:tcW w:w="454" w:type="pct"/>
            <w:shd w:val="clear" w:color="auto" w:fill="auto"/>
            <w:noWrap/>
            <w:vAlign w:val="bottom"/>
            <w:hideMark/>
          </w:tcPr>
          <w:p w14:paraId="7F9E9A6F" w14:textId="77777777"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0,18</w:t>
            </w:r>
          </w:p>
        </w:tc>
        <w:tc>
          <w:tcPr>
            <w:tcW w:w="321" w:type="pct"/>
            <w:shd w:val="clear" w:color="auto" w:fill="auto"/>
            <w:noWrap/>
            <w:vAlign w:val="bottom"/>
            <w:hideMark/>
          </w:tcPr>
          <w:p w14:paraId="02977FED"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47,67</w:t>
            </w:r>
          </w:p>
        </w:tc>
        <w:tc>
          <w:tcPr>
            <w:tcW w:w="321" w:type="pct"/>
            <w:shd w:val="clear" w:color="auto" w:fill="auto"/>
            <w:noWrap/>
            <w:vAlign w:val="bottom"/>
            <w:hideMark/>
          </w:tcPr>
          <w:p w14:paraId="09135448"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44,52</w:t>
            </w:r>
          </w:p>
        </w:tc>
        <w:tc>
          <w:tcPr>
            <w:tcW w:w="321" w:type="pct"/>
            <w:shd w:val="clear" w:color="auto" w:fill="auto"/>
            <w:noWrap/>
            <w:vAlign w:val="bottom"/>
            <w:hideMark/>
          </w:tcPr>
          <w:p w14:paraId="459515F1"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43,45</w:t>
            </w:r>
          </w:p>
        </w:tc>
      </w:tr>
      <w:tr w:rsidR="00C030A9" w:rsidRPr="00A37BCE" w14:paraId="1C31DBFB" w14:textId="77777777" w:rsidTr="00DB77D7">
        <w:trPr>
          <w:trHeight w:val="288"/>
        </w:trPr>
        <w:tc>
          <w:tcPr>
            <w:tcW w:w="2743" w:type="pct"/>
            <w:shd w:val="clear" w:color="auto" w:fill="auto"/>
            <w:noWrap/>
            <w:vAlign w:val="bottom"/>
            <w:hideMark/>
          </w:tcPr>
          <w:p w14:paraId="1BE1A3BA" w14:textId="77777777" w:rsidR="00C030A9" w:rsidRPr="00A37BCE" w:rsidRDefault="00C030A9" w:rsidP="00C95098">
            <w:pPr>
              <w:spacing w:after="0" w:line="240" w:lineRule="auto"/>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4. Кредити приватном сектору, % БДП</w:t>
            </w:r>
          </w:p>
        </w:tc>
        <w:tc>
          <w:tcPr>
            <w:tcW w:w="537" w:type="pct"/>
            <w:shd w:val="clear" w:color="auto" w:fill="auto"/>
            <w:noWrap/>
            <w:vAlign w:val="bottom"/>
            <w:hideMark/>
          </w:tcPr>
          <w:p w14:paraId="3A52D5F6"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&lt;</w:t>
            </w:r>
          </w:p>
        </w:tc>
        <w:tc>
          <w:tcPr>
            <w:tcW w:w="304" w:type="pct"/>
            <w:shd w:val="clear" w:color="auto" w:fill="auto"/>
            <w:noWrap/>
            <w:vAlign w:val="bottom"/>
            <w:hideMark/>
          </w:tcPr>
          <w:p w14:paraId="16E70B79"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10,7</w:t>
            </w:r>
          </w:p>
        </w:tc>
        <w:tc>
          <w:tcPr>
            <w:tcW w:w="454" w:type="pct"/>
            <w:shd w:val="clear" w:color="auto" w:fill="auto"/>
            <w:noWrap/>
            <w:vAlign w:val="bottom"/>
            <w:hideMark/>
          </w:tcPr>
          <w:p w14:paraId="38AFD0E9" w14:textId="77777777"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0,37</w:t>
            </w:r>
          </w:p>
        </w:tc>
        <w:tc>
          <w:tcPr>
            <w:tcW w:w="321" w:type="pct"/>
            <w:shd w:val="clear" w:color="auto" w:fill="auto"/>
            <w:noWrap/>
            <w:vAlign w:val="bottom"/>
            <w:hideMark/>
          </w:tcPr>
          <w:p w14:paraId="4BEE5E13"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2,04</w:t>
            </w:r>
          </w:p>
        </w:tc>
        <w:tc>
          <w:tcPr>
            <w:tcW w:w="321" w:type="pct"/>
            <w:shd w:val="clear" w:color="auto" w:fill="auto"/>
            <w:noWrap/>
            <w:vAlign w:val="bottom"/>
            <w:hideMark/>
          </w:tcPr>
          <w:p w14:paraId="129BDA2B"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1,31</w:t>
            </w:r>
          </w:p>
        </w:tc>
        <w:tc>
          <w:tcPr>
            <w:tcW w:w="321" w:type="pct"/>
            <w:shd w:val="clear" w:color="auto" w:fill="auto"/>
            <w:noWrap/>
            <w:vAlign w:val="bottom"/>
            <w:hideMark/>
          </w:tcPr>
          <w:p w14:paraId="000D603E"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1,00</w:t>
            </w:r>
          </w:p>
        </w:tc>
      </w:tr>
      <w:tr w:rsidR="00C030A9" w:rsidRPr="00A37BCE" w14:paraId="60446266" w14:textId="77777777" w:rsidTr="00DB77D7">
        <w:trPr>
          <w:trHeight w:val="288"/>
        </w:trPr>
        <w:tc>
          <w:tcPr>
            <w:tcW w:w="2743" w:type="pct"/>
            <w:shd w:val="clear" w:color="auto" w:fill="auto"/>
            <w:noWrap/>
            <w:vAlign w:val="bottom"/>
            <w:hideMark/>
          </w:tcPr>
          <w:p w14:paraId="3FD0DB2A" w14:textId="77777777" w:rsidR="00C030A9" w:rsidRPr="00A37BCE" w:rsidRDefault="00C030A9" w:rsidP="00C95098">
            <w:pPr>
              <w:spacing w:after="0" w:line="240" w:lineRule="auto"/>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5. Краткорочни дуг нефинансијских институција, % БДП</w:t>
            </w:r>
          </w:p>
        </w:tc>
        <w:tc>
          <w:tcPr>
            <w:tcW w:w="537" w:type="pct"/>
            <w:shd w:val="clear" w:color="auto" w:fill="auto"/>
            <w:noWrap/>
            <w:vAlign w:val="bottom"/>
            <w:hideMark/>
          </w:tcPr>
          <w:p w14:paraId="4A74BD76"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&lt;</w:t>
            </w:r>
          </w:p>
        </w:tc>
        <w:tc>
          <w:tcPr>
            <w:tcW w:w="304" w:type="pct"/>
            <w:shd w:val="clear" w:color="auto" w:fill="auto"/>
            <w:noWrap/>
            <w:vAlign w:val="bottom"/>
            <w:hideMark/>
          </w:tcPr>
          <w:p w14:paraId="7B954496"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15,4</w:t>
            </w:r>
          </w:p>
        </w:tc>
        <w:tc>
          <w:tcPr>
            <w:tcW w:w="454" w:type="pct"/>
            <w:shd w:val="clear" w:color="auto" w:fill="auto"/>
            <w:noWrap/>
            <w:vAlign w:val="bottom"/>
            <w:hideMark/>
          </w:tcPr>
          <w:p w14:paraId="28751DD6" w14:textId="77777777"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0,2</w:t>
            </w:r>
          </w:p>
        </w:tc>
        <w:tc>
          <w:tcPr>
            <w:tcW w:w="321" w:type="pct"/>
            <w:shd w:val="clear" w:color="auto" w:fill="auto"/>
            <w:noWrap/>
            <w:vAlign w:val="bottom"/>
            <w:hideMark/>
          </w:tcPr>
          <w:p w14:paraId="30067196"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7,88</w:t>
            </w:r>
          </w:p>
        </w:tc>
        <w:tc>
          <w:tcPr>
            <w:tcW w:w="321" w:type="pct"/>
            <w:shd w:val="clear" w:color="auto" w:fill="auto"/>
            <w:noWrap/>
            <w:vAlign w:val="bottom"/>
            <w:hideMark/>
          </w:tcPr>
          <w:p w14:paraId="02404EFA"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5,99</w:t>
            </w:r>
          </w:p>
        </w:tc>
        <w:tc>
          <w:tcPr>
            <w:tcW w:w="321" w:type="pct"/>
            <w:shd w:val="clear" w:color="auto" w:fill="auto"/>
            <w:noWrap/>
            <w:vAlign w:val="bottom"/>
            <w:hideMark/>
          </w:tcPr>
          <w:p w14:paraId="78228B3C"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6,29</w:t>
            </w:r>
          </w:p>
        </w:tc>
      </w:tr>
      <w:tr w:rsidR="00C030A9" w:rsidRPr="00A37BCE" w14:paraId="3D9EC383" w14:textId="77777777" w:rsidTr="00DB77D7">
        <w:trPr>
          <w:trHeight w:val="288"/>
        </w:trPr>
        <w:tc>
          <w:tcPr>
            <w:tcW w:w="2743" w:type="pct"/>
            <w:shd w:val="clear" w:color="auto" w:fill="auto"/>
            <w:noWrap/>
            <w:vAlign w:val="bottom"/>
            <w:hideMark/>
          </w:tcPr>
          <w:p w14:paraId="3A7FDFA9" w14:textId="77777777" w:rsidR="00C030A9" w:rsidRPr="00A37BCE" w:rsidRDefault="00C030A9" w:rsidP="00C95098">
            <w:pPr>
              <w:spacing w:after="0" w:line="240" w:lineRule="auto"/>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6. Краткорочни дуг домаћинстава, % БДП</w:t>
            </w:r>
          </w:p>
        </w:tc>
        <w:tc>
          <w:tcPr>
            <w:tcW w:w="537" w:type="pct"/>
            <w:shd w:val="clear" w:color="auto" w:fill="auto"/>
            <w:noWrap/>
            <w:vAlign w:val="bottom"/>
            <w:hideMark/>
          </w:tcPr>
          <w:p w14:paraId="56B432DB"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&lt;</w:t>
            </w:r>
          </w:p>
        </w:tc>
        <w:tc>
          <w:tcPr>
            <w:tcW w:w="304" w:type="pct"/>
            <w:shd w:val="clear" w:color="auto" w:fill="auto"/>
            <w:noWrap/>
            <w:vAlign w:val="bottom"/>
            <w:hideMark/>
          </w:tcPr>
          <w:p w14:paraId="5A0FDAF1"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2,9</w:t>
            </w:r>
          </w:p>
        </w:tc>
        <w:tc>
          <w:tcPr>
            <w:tcW w:w="454" w:type="pct"/>
            <w:shd w:val="clear" w:color="auto" w:fill="auto"/>
            <w:noWrap/>
            <w:vAlign w:val="bottom"/>
            <w:hideMark/>
          </w:tcPr>
          <w:p w14:paraId="2D4F3228" w14:textId="77777777"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0,21</w:t>
            </w:r>
          </w:p>
        </w:tc>
        <w:tc>
          <w:tcPr>
            <w:tcW w:w="321" w:type="pct"/>
            <w:shd w:val="clear" w:color="auto" w:fill="auto"/>
            <w:noWrap/>
            <w:vAlign w:val="bottom"/>
            <w:hideMark/>
          </w:tcPr>
          <w:p w14:paraId="524403DE"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1,70</w:t>
            </w:r>
          </w:p>
        </w:tc>
        <w:tc>
          <w:tcPr>
            <w:tcW w:w="321" w:type="pct"/>
            <w:shd w:val="clear" w:color="auto" w:fill="auto"/>
            <w:noWrap/>
            <w:vAlign w:val="bottom"/>
            <w:hideMark/>
          </w:tcPr>
          <w:p w14:paraId="1655459A"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1,10</w:t>
            </w:r>
          </w:p>
        </w:tc>
        <w:tc>
          <w:tcPr>
            <w:tcW w:w="321" w:type="pct"/>
            <w:shd w:val="clear" w:color="auto" w:fill="auto"/>
            <w:noWrap/>
            <w:vAlign w:val="bottom"/>
            <w:hideMark/>
          </w:tcPr>
          <w:p w14:paraId="605BD246"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1,27</w:t>
            </w:r>
          </w:p>
        </w:tc>
      </w:tr>
      <w:tr w:rsidR="00C030A9" w:rsidRPr="00A37BCE" w14:paraId="70B3A26D" w14:textId="77777777" w:rsidTr="00DB77D7">
        <w:trPr>
          <w:trHeight w:val="288"/>
        </w:trPr>
        <w:tc>
          <w:tcPr>
            <w:tcW w:w="2743" w:type="pct"/>
            <w:shd w:val="clear" w:color="auto" w:fill="auto"/>
            <w:noWrap/>
            <w:vAlign w:val="bottom"/>
            <w:hideMark/>
          </w:tcPr>
          <w:p w14:paraId="0EBF4AA4" w14:textId="77777777" w:rsidR="00C030A9" w:rsidRPr="00A37BCE" w:rsidRDefault="00C030A9" w:rsidP="00C95098">
            <w:pPr>
              <w:spacing w:after="0" w:line="240" w:lineRule="auto"/>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7. Грађевинарство, % БДВ</w:t>
            </w:r>
          </w:p>
        </w:tc>
        <w:tc>
          <w:tcPr>
            <w:tcW w:w="537" w:type="pct"/>
            <w:shd w:val="clear" w:color="auto" w:fill="auto"/>
            <w:noWrap/>
            <w:vAlign w:val="bottom"/>
            <w:hideMark/>
          </w:tcPr>
          <w:p w14:paraId="5B9F2515"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&lt;</w:t>
            </w:r>
          </w:p>
        </w:tc>
        <w:tc>
          <w:tcPr>
            <w:tcW w:w="304" w:type="pct"/>
            <w:shd w:val="clear" w:color="auto" w:fill="auto"/>
            <w:noWrap/>
            <w:vAlign w:val="bottom"/>
            <w:hideMark/>
          </w:tcPr>
          <w:p w14:paraId="035E769E"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7,46</w:t>
            </w:r>
          </w:p>
        </w:tc>
        <w:tc>
          <w:tcPr>
            <w:tcW w:w="454" w:type="pct"/>
            <w:shd w:val="clear" w:color="auto" w:fill="auto"/>
            <w:noWrap/>
            <w:vAlign w:val="bottom"/>
            <w:hideMark/>
          </w:tcPr>
          <w:p w14:paraId="59F932A9" w14:textId="77777777"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0,22</w:t>
            </w:r>
          </w:p>
        </w:tc>
        <w:tc>
          <w:tcPr>
            <w:tcW w:w="321" w:type="pct"/>
            <w:shd w:val="clear" w:color="auto" w:fill="auto"/>
            <w:noWrap/>
            <w:vAlign w:val="bottom"/>
            <w:hideMark/>
          </w:tcPr>
          <w:p w14:paraId="48195E20"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3,70</w:t>
            </w:r>
          </w:p>
        </w:tc>
        <w:tc>
          <w:tcPr>
            <w:tcW w:w="321" w:type="pct"/>
            <w:shd w:val="clear" w:color="auto" w:fill="auto"/>
            <w:noWrap/>
            <w:vAlign w:val="bottom"/>
            <w:hideMark/>
          </w:tcPr>
          <w:p w14:paraId="103CDE93"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3,90</w:t>
            </w:r>
          </w:p>
        </w:tc>
        <w:tc>
          <w:tcPr>
            <w:tcW w:w="321" w:type="pct"/>
            <w:shd w:val="clear" w:color="auto" w:fill="auto"/>
            <w:noWrap/>
            <w:vAlign w:val="bottom"/>
            <w:hideMark/>
          </w:tcPr>
          <w:p w14:paraId="0A3364EE"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4,10</w:t>
            </w:r>
          </w:p>
        </w:tc>
      </w:tr>
      <w:tr w:rsidR="00C030A9" w:rsidRPr="00A37BCE" w14:paraId="21971C5E" w14:textId="77777777" w:rsidTr="00DB77D7">
        <w:trPr>
          <w:trHeight w:val="288"/>
        </w:trPr>
        <w:tc>
          <w:tcPr>
            <w:tcW w:w="2743" w:type="pct"/>
            <w:shd w:val="clear" w:color="auto" w:fill="auto"/>
            <w:noWrap/>
            <w:vAlign w:val="bottom"/>
            <w:hideMark/>
          </w:tcPr>
          <w:p w14:paraId="366B10A1" w14:textId="77777777" w:rsidR="00C030A9" w:rsidRPr="00A37BCE" w:rsidRDefault="00C030A9" w:rsidP="00C95098">
            <w:pPr>
              <w:spacing w:after="0" w:line="240" w:lineRule="auto"/>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8. Салдо текућег рачуна, трогодишњи покретни просек, % БДП</w:t>
            </w:r>
          </w:p>
        </w:tc>
        <w:tc>
          <w:tcPr>
            <w:tcW w:w="537" w:type="pct"/>
            <w:shd w:val="clear" w:color="auto" w:fill="auto"/>
            <w:noWrap/>
            <w:vAlign w:val="bottom"/>
            <w:hideMark/>
          </w:tcPr>
          <w:p w14:paraId="4469D305"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&gt;</w:t>
            </w:r>
          </w:p>
        </w:tc>
        <w:tc>
          <w:tcPr>
            <w:tcW w:w="304" w:type="pct"/>
            <w:shd w:val="clear" w:color="auto" w:fill="auto"/>
            <w:noWrap/>
            <w:vAlign w:val="bottom"/>
            <w:hideMark/>
          </w:tcPr>
          <w:p w14:paraId="2AD13B30"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-2,5</w:t>
            </w:r>
          </w:p>
        </w:tc>
        <w:tc>
          <w:tcPr>
            <w:tcW w:w="454" w:type="pct"/>
            <w:shd w:val="clear" w:color="auto" w:fill="auto"/>
            <w:noWrap/>
            <w:vAlign w:val="bottom"/>
            <w:hideMark/>
          </w:tcPr>
          <w:p w14:paraId="37D86825" w14:textId="77777777"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0,34</w:t>
            </w:r>
          </w:p>
        </w:tc>
        <w:tc>
          <w:tcPr>
            <w:tcW w:w="321" w:type="pct"/>
            <w:shd w:val="clear" w:color="auto" w:fill="auto"/>
            <w:noWrap/>
            <w:vAlign w:val="bottom"/>
            <w:hideMark/>
          </w:tcPr>
          <w:p w14:paraId="042026C4"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-5,18</w:t>
            </w:r>
          </w:p>
        </w:tc>
        <w:tc>
          <w:tcPr>
            <w:tcW w:w="321" w:type="pct"/>
            <w:shd w:val="clear" w:color="auto" w:fill="auto"/>
            <w:noWrap/>
            <w:vAlign w:val="bottom"/>
            <w:hideMark/>
          </w:tcPr>
          <w:p w14:paraId="607BE014"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-4,11</w:t>
            </w:r>
          </w:p>
        </w:tc>
        <w:tc>
          <w:tcPr>
            <w:tcW w:w="321" w:type="pct"/>
            <w:shd w:val="clear" w:color="auto" w:fill="auto"/>
            <w:noWrap/>
            <w:vAlign w:val="bottom"/>
            <w:hideMark/>
          </w:tcPr>
          <w:p w14:paraId="0B5045EC"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-3,99</w:t>
            </w:r>
          </w:p>
        </w:tc>
      </w:tr>
      <w:tr w:rsidR="00C030A9" w:rsidRPr="00A37BCE" w14:paraId="156CD428" w14:textId="77777777" w:rsidTr="00DB77D7">
        <w:trPr>
          <w:trHeight w:val="288"/>
        </w:trPr>
        <w:tc>
          <w:tcPr>
            <w:tcW w:w="2743" w:type="pct"/>
            <w:shd w:val="clear" w:color="auto" w:fill="auto"/>
            <w:noWrap/>
            <w:vAlign w:val="bottom"/>
            <w:hideMark/>
          </w:tcPr>
          <w:p w14:paraId="3D280D60" w14:textId="77777777" w:rsidR="00C030A9" w:rsidRPr="00A37BCE" w:rsidRDefault="00C030A9" w:rsidP="00C95098">
            <w:pPr>
              <w:spacing w:after="0" w:line="240" w:lineRule="auto"/>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9. Реални ефективни курс, трогодишња промена, %</w:t>
            </w:r>
          </w:p>
        </w:tc>
        <w:tc>
          <w:tcPr>
            <w:tcW w:w="537" w:type="pct"/>
            <w:shd w:val="clear" w:color="auto" w:fill="auto"/>
            <w:noWrap/>
            <w:vAlign w:val="bottom"/>
            <w:hideMark/>
          </w:tcPr>
          <w:p w14:paraId="449603CD"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&lt;</w:t>
            </w:r>
          </w:p>
        </w:tc>
        <w:tc>
          <w:tcPr>
            <w:tcW w:w="304" w:type="pct"/>
            <w:shd w:val="clear" w:color="auto" w:fill="auto"/>
            <w:noWrap/>
            <w:vAlign w:val="bottom"/>
            <w:hideMark/>
          </w:tcPr>
          <w:p w14:paraId="4A1CA6D7"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9,67</w:t>
            </w:r>
          </w:p>
        </w:tc>
        <w:tc>
          <w:tcPr>
            <w:tcW w:w="454" w:type="pct"/>
            <w:shd w:val="clear" w:color="auto" w:fill="auto"/>
            <w:noWrap/>
            <w:vAlign w:val="bottom"/>
            <w:hideMark/>
          </w:tcPr>
          <w:p w14:paraId="48395800" w14:textId="77777777"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0,11</w:t>
            </w:r>
          </w:p>
        </w:tc>
        <w:tc>
          <w:tcPr>
            <w:tcW w:w="321" w:type="pct"/>
            <w:shd w:val="clear" w:color="auto" w:fill="auto"/>
            <w:noWrap/>
            <w:vAlign w:val="bottom"/>
            <w:hideMark/>
          </w:tcPr>
          <w:p w14:paraId="5AF1E64B"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-2,73</w:t>
            </w:r>
          </w:p>
        </w:tc>
        <w:tc>
          <w:tcPr>
            <w:tcW w:w="321" w:type="pct"/>
            <w:shd w:val="clear" w:color="auto" w:fill="auto"/>
            <w:noWrap/>
            <w:vAlign w:val="bottom"/>
            <w:hideMark/>
          </w:tcPr>
          <w:p w14:paraId="0D1CB37A"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-0,80</w:t>
            </w:r>
          </w:p>
        </w:tc>
        <w:tc>
          <w:tcPr>
            <w:tcW w:w="321" w:type="pct"/>
            <w:shd w:val="clear" w:color="auto" w:fill="auto"/>
            <w:noWrap/>
            <w:vAlign w:val="bottom"/>
            <w:hideMark/>
          </w:tcPr>
          <w:p w14:paraId="211DF5D6"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-8,40</w:t>
            </w:r>
          </w:p>
        </w:tc>
      </w:tr>
      <w:tr w:rsidR="00C030A9" w:rsidRPr="00A37BCE" w14:paraId="13A9A40B" w14:textId="77777777" w:rsidTr="00DB77D7">
        <w:trPr>
          <w:trHeight w:val="288"/>
        </w:trPr>
        <w:tc>
          <w:tcPr>
            <w:tcW w:w="2743" w:type="pct"/>
            <w:shd w:val="clear" w:color="auto" w:fill="auto"/>
            <w:noWrap/>
            <w:vAlign w:val="bottom"/>
            <w:hideMark/>
          </w:tcPr>
          <w:p w14:paraId="0B13CBF7" w14:textId="77777777" w:rsidR="00C030A9" w:rsidRPr="00A37BCE" w:rsidRDefault="00C030A9" w:rsidP="00C95098">
            <w:pPr>
              <w:spacing w:after="0" w:line="240" w:lineRule="auto"/>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10. Номинални јединични трошак рада, трогодишња промена, %</w:t>
            </w:r>
          </w:p>
        </w:tc>
        <w:tc>
          <w:tcPr>
            <w:tcW w:w="537" w:type="pct"/>
            <w:shd w:val="clear" w:color="auto" w:fill="auto"/>
            <w:noWrap/>
            <w:vAlign w:val="bottom"/>
            <w:hideMark/>
          </w:tcPr>
          <w:p w14:paraId="11847682"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&lt;</w:t>
            </w:r>
          </w:p>
        </w:tc>
        <w:tc>
          <w:tcPr>
            <w:tcW w:w="304" w:type="pct"/>
            <w:shd w:val="clear" w:color="auto" w:fill="auto"/>
            <w:noWrap/>
            <w:vAlign w:val="bottom"/>
            <w:hideMark/>
          </w:tcPr>
          <w:p w14:paraId="21C32069"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7</w:t>
            </w:r>
          </w:p>
        </w:tc>
        <w:tc>
          <w:tcPr>
            <w:tcW w:w="454" w:type="pct"/>
            <w:shd w:val="clear" w:color="auto" w:fill="auto"/>
            <w:noWrap/>
            <w:vAlign w:val="bottom"/>
            <w:hideMark/>
          </w:tcPr>
          <w:p w14:paraId="55BF250C" w14:textId="77777777"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0,18</w:t>
            </w:r>
          </w:p>
        </w:tc>
        <w:tc>
          <w:tcPr>
            <w:tcW w:w="321" w:type="pct"/>
            <w:shd w:val="clear" w:color="auto" w:fill="auto"/>
            <w:noWrap/>
            <w:vAlign w:val="bottom"/>
            <w:hideMark/>
          </w:tcPr>
          <w:p w14:paraId="20FD3373"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0,90</w:t>
            </w:r>
          </w:p>
        </w:tc>
        <w:tc>
          <w:tcPr>
            <w:tcW w:w="321" w:type="pct"/>
            <w:shd w:val="clear" w:color="auto" w:fill="auto"/>
            <w:noWrap/>
            <w:vAlign w:val="bottom"/>
            <w:hideMark/>
          </w:tcPr>
          <w:p w14:paraId="2CAB8072"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-5,60</w:t>
            </w:r>
          </w:p>
        </w:tc>
        <w:tc>
          <w:tcPr>
            <w:tcW w:w="321" w:type="pct"/>
            <w:shd w:val="clear" w:color="auto" w:fill="auto"/>
            <w:noWrap/>
            <w:vAlign w:val="bottom"/>
            <w:hideMark/>
          </w:tcPr>
          <w:p w14:paraId="4A6B5BB2"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5,90</w:t>
            </w:r>
          </w:p>
        </w:tc>
      </w:tr>
      <w:tr w:rsidR="00C030A9" w:rsidRPr="00A37BCE" w14:paraId="2E5B1489" w14:textId="77777777" w:rsidTr="00DB77D7">
        <w:trPr>
          <w:trHeight w:val="273"/>
        </w:trPr>
        <w:tc>
          <w:tcPr>
            <w:tcW w:w="2743" w:type="pct"/>
            <w:shd w:val="clear" w:color="auto" w:fill="auto"/>
            <w:noWrap/>
            <w:vAlign w:val="bottom"/>
            <w:hideMark/>
          </w:tcPr>
          <w:p w14:paraId="6E06EE72" w14:textId="77777777" w:rsidR="00C030A9" w:rsidRPr="00A37BCE" w:rsidRDefault="00C030A9" w:rsidP="00C95098">
            <w:pPr>
              <w:spacing w:after="0" w:line="240" w:lineRule="auto"/>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11. Стопа приноса на државне ХоВ</w:t>
            </w:r>
          </w:p>
        </w:tc>
        <w:tc>
          <w:tcPr>
            <w:tcW w:w="537" w:type="pct"/>
            <w:shd w:val="clear" w:color="auto" w:fill="auto"/>
            <w:noWrap/>
            <w:vAlign w:val="bottom"/>
            <w:hideMark/>
          </w:tcPr>
          <w:p w14:paraId="1AF66AF3"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&gt;</w:t>
            </w:r>
          </w:p>
        </w:tc>
        <w:tc>
          <w:tcPr>
            <w:tcW w:w="304" w:type="pct"/>
            <w:shd w:val="clear" w:color="auto" w:fill="auto"/>
            <w:noWrap/>
            <w:vAlign w:val="bottom"/>
            <w:hideMark/>
          </w:tcPr>
          <w:p w14:paraId="7A71B687"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0,59</w:t>
            </w:r>
          </w:p>
        </w:tc>
        <w:tc>
          <w:tcPr>
            <w:tcW w:w="454" w:type="pct"/>
            <w:shd w:val="clear" w:color="auto" w:fill="auto"/>
            <w:noWrap/>
            <w:vAlign w:val="bottom"/>
            <w:hideMark/>
          </w:tcPr>
          <w:p w14:paraId="77745978" w14:textId="77777777"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0,37</w:t>
            </w:r>
          </w:p>
        </w:tc>
        <w:tc>
          <w:tcPr>
            <w:tcW w:w="321" w:type="pct"/>
            <w:shd w:val="clear" w:color="auto" w:fill="auto"/>
            <w:noWrap/>
            <w:vAlign w:val="bottom"/>
            <w:hideMark/>
          </w:tcPr>
          <w:p w14:paraId="45993752"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4,55</w:t>
            </w:r>
          </w:p>
        </w:tc>
        <w:tc>
          <w:tcPr>
            <w:tcW w:w="321" w:type="pct"/>
            <w:shd w:val="clear" w:color="auto" w:fill="auto"/>
            <w:noWrap/>
            <w:vAlign w:val="bottom"/>
            <w:hideMark/>
          </w:tcPr>
          <w:p w14:paraId="21EC1FD4"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5,00</w:t>
            </w:r>
          </w:p>
        </w:tc>
        <w:tc>
          <w:tcPr>
            <w:tcW w:w="321" w:type="pct"/>
            <w:shd w:val="clear" w:color="auto" w:fill="auto"/>
            <w:noWrap/>
            <w:vAlign w:val="bottom"/>
            <w:hideMark/>
          </w:tcPr>
          <w:p w14:paraId="7A8DD616"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2,01</w:t>
            </w:r>
          </w:p>
        </w:tc>
      </w:tr>
      <w:tr w:rsidR="00C030A9" w:rsidRPr="00A37BCE" w14:paraId="730CC242" w14:textId="77777777" w:rsidTr="00DB77D7">
        <w:trPr>
          <w:trHeight w:val="288"/>
        </w:trPr>
        <w:tc>
          <w:tcPr>
            <w:tcW w:w="2743" w:type="pct"/>
            <w:shd w:val="clear" w:color="auto" w:fill="auto"/>
            <w:noWrap/>
            <w:vAlign w:val="bottom"/>
            <w:hideMark/>
          </w:tcPr>
          <w:p w14:paraId="772FA010" w14:textId="77777777" w:rsidR="00C030A9" w:rsidRPr="00A37BCE" w:rsidRDefault="00C030A9" w:rsidP="00C95098">
            <w:pPr>
              <w:spacing w:after="0" w:line="240" w:lineRule="auto"/>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12. БДП, реални раст</w:t>
            </w:r>
          </w:p>
        </w:tc>
        <w:tc>
          <w:tcPr>
            <w:tcW w:w="537" w:type="pct"/>
            <w:shd w:val="clear" w:color="auto" w:fill="auto"/>
            <w:noWrap/>
            <w:vAlign w:val="bottom"/>
            <w:hideMark/>
          </w:tcPr>
          <w:p w14:paraId="791C6CE9"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&gt;</w:t>
            </w:r>
          </w:p>
        </w:tc>
        <w:tc>
          <w:tcPr>
            <w:tcW w:w="304" w:type="pct"/>
            <w:shd w:val="clear" w:color="auto" w:fill="auto"/>
            <w:noWrap/>
            <w:vAlign w:val="bottom"/>
            <w:hideMark/>
          </w:tcPr>
          <w:p w14:paraId="528B2473"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-0,67</w:t>
            </w:r>
          </w:p>
        </w:tc>
        <w:tc>
          <w:tcPr>
            <w:tcW w:w="454" w:type="pct"/>
            <w:shd w:val="clear" w:color="auto" w:fill="auto"/>
            <w:noWrap/>
            <w:vAlign w:val="bottom"/>
            <w:hideMark/>
          </w:tcPr>
          <w:p w14:paraId="3F0228B8" w14:textId="08A1FBB0"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0,1</w:t>
            </w:r>
          </w:p>
        </w:tc>
        <w:tc>
          <w:tcPr>
            <w:tcW w:w="321" w:type="pct"/>
            <w:shd w:val="clear" w:color="auto" w:fill="auto"/>
            <w:noWrap/>
            <w:vAlign w:val="bottom"/>
            <w:hideMark/>
          </w:tcPr>
          <w:p w14:paraId="50E0E59F"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0,76</w:t>
            </w:r>
          </w:p>
        </w:tc>
        <w:tc>
          <w:tcPr>
            <w:tcW w:w="321" w:type="pct"/>
            <w:shd w:val="clear" w:color="auto" w:fill="auto"/>
            <w:noWrap/>
            <w:vAlign w:val="bottom"/>
            <w:hideMark/>
          </w:tcPr>
          <w:p w14:paraId="5ED5E93D"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3,30</w:t>
            </w:r>
          </w:p>
        </w:tc>
        <w:tc>
          <w:tcPr>
            <w:tcW w:w="321" w:type="pct"/>
            <w:shd w:val="clear" w:color="auto" w:fill="auto"/>
            <w:noWrap/>
            <w:vAlign w:val="bottom"/>
            <w:hideMark/>
          </w:tcPr>
          <w:p w14:paraId="4F61B941"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2,00</w:t>
            </w:r>
          </w:p>
        </w:tc>
      </w:tr>
      <w:tr w:rsidR="00C030A9" w:rsidRPr="00A37BCE" w14:paraId="3ABCA52F" w14:textId="77777777" w:rsidTr="00DB77D7">
        <w:trPr>
          <w:trHeight w:val="302"/>
        </w:trPr>
        <w:tc>
          <w:tcPr>
            <w:tcW w:w="2743" w:type="pct"/>
            <w:shd w:val="clear" w:color="auto" w:fill="auto"/>
            <w:noWrap/>
            <w:vAlign w:val="bottom"/>
            <w:hideMark/>
          </w:tcPr>
          <w:p w14:paraId="4B856167" w14:textId="77777777" w:rsidR="00C030A9" w:rsidRPr="00A37BCE" w:rsidRDefault="00C030A9" w:rsidP="00C95098">
            <w:pPr>
              <w:spacing w:after="0" w:line="240" w:lineRule="auto"/>
              <w:rPr>
                <w:rFonts w:eastAsia="Times New Roman" w:cstheme="minorHAnsi"/>
                <w:color w:val="002060"/>
                <w:sz w:val="16"/>
                <w:szCs w:val="18"/>
                <w:lang w:val="sr-Cyrl-RS" w:eastAsia="sr-Cyrl-RS"/>
              </w:rPr>
            </w:pPr>
            <w:r w:rsidRPr="00A37BCE">
              <w:rPr>
                <w:rFonts w:eastAsia="Times New Roman" w:cstheme="minorHAnsi"/>
                <w:color w:val="002060"/>
                <w:sz w:val="16"/>
                <w:szCs w:val="18"/>
                <w:lang w:val="sr-Cyrl-RS" w:eastAsia="sr-Cyrl-RS"/>
              </w:rPr>
              <w:t>13. БДП по глави становника према паритету куповне моћи, % БДП САД</w:t>
            </w:r>
          </w:p>
        </w:tc>
        <w:tc>
          <w:tcPr>
            <w:tcW w:w="537" w:type="pct"/>
            <w:shd w:val="clear" w:color="auto" w:fill="auto"/>
            <w:noWrap/>
            <w:vAlign w:val="bottom"/>
            <w:hideMark/>
          </w:tcPr>
          <w:p w14:paraId="56F676F8"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&gt;</w:t>
            </w:r>
          </w:p>
        </w:tc>
        <w:tc>
          <w:tcPr>
            <w:tcW w:w="304" w:type="pct"/>
            <w:shd w:val="clear" w:color="auto" w:fill="auto"/>
            <w:noWrap/>
            <w:vAlign w:val="bottom"/>
            <w:hideMark/>
          </w:tcPr>
          <w:p w14:paraId="483EFE08"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72,7</w:t>
            </w:r>
          </w:p>
        </w:tc>
        <w:tc>
          <w:tcPr>
            <w:tcW w:w="454" w:type="pct"/>
            <w:shd w:val="clear" w:color="auto" w:fill="auto"/>
            <w:noWrap/>
            <w:vAlign w:val="bottom"/>
            <w:hideMark/>
          </w:tcPr>
          <w:p w14:paraId="33A44F00" w14:textId="7711A1FD" w:rsidR="00C030A9" w:rsidRPr="00A37BCE" w:rsidRDefault="00C030A9" w:rsidP="00C95098">
            <w:pPr>
              <w:spacing w:after="0" w:line="240" w:lineRule="auto"/>
              <w:jc w:val="center"/>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0,22</w:t>
            </w:r>
          </w:p>
        </w:tc>
        <w:tc>
          <w:tcPr>
            <w:tcW w:w="321" w:type="pct"/>
            <w:shd w:val="clear" w:color="auto" w:fill="auto"/>
            <w:noWrap/>
            <w:vAlign w:val="bottom"/>
            <w:hideMark/>
          </w:tcPr>
          <w:p w14:paraId="41778186"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24,62</w:t>
            </w:r>
          </w:p>
        </w:tc>
        <w:tc>
          <w:tcPr>
            <w:tcW w:w="321" w:type="pct"/>
            <w:shd w:val="clear" w:color="auto" w:fill="auto"/>
            <w:noWrap/>
            <w:vAlign w:val="bottom"/>
            <w:hideMark/>
          </w:tcPr>
          <w:p w14:paraId="20B0D94F"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25,20</w:t>
            </w:r>
          </w:p>
        </w:tc>
        <w:tc>
          <w:tcPr>
            <w:tcW w:w="321" w:type="pct"/>
            <w:shd w:val="clear" w:color="auto" w:fill="auto"/>
            <w:noWrap/>
            <w:vAlign w:val="bottom"/>
            <w:hideMark/>
          </w:tcPr>
          <w:p w14:paraId="3B8D6731" w14:textId="77777777" w:rsidR="00C030A9" w:rsidRPr="00A37BCE" w:rsidRDefault="00C030A9" w:rsidP="00C95098">
            <w:pPr>
              <w:spacing w:after="0" w:line="240" w:lineRule="auto"/>
              <w:jc w:val="right"/>
              <w:rPr>
                <w:rFonts w:eastAsia="Times New Roman" w:cstheme="minorHAnsi"/>
                <w:color w:val="002060"/>
                <w:sz w:val="14"/>
                <w:szCs w:val="18"/>
                <w:lang w:val="sr-Cyrl-RS" w:eastAsia="sr-Cyrl-RS"/>
              </w:rPr>
            </w:pPr>
            <w:r w:rsidRPr="00A37BCE">
              <w:rPr>
                <w:rFonts w:eastAsia="Times New Roman" w:cstheme="minorHAnsi"/>
                <w:color w:val="002060"/>
                <w:sz w:val="14"/>
                <w:szCs w:val="18"/>
                <w:lang w:val="sr-Cyrl-RS" w:eastAsia="sr-Cyrl-RS"/>
              </w:rPr>
              <w:t>25,35</w:t>
            </w:r>
          </w:p>
        </w:tc>
      </w:tr>
      <w:tr w:rsidR="00C030A9" w:rsidRPr="00A37BCE" w14:paraId="759C3F6C" w14:textId="77777777" w:rsidTr="00DB77D7">
        <w:trPr>
          <w:trHeight w:val="302"/>
        </w:trPr>
        <w:tc>
          <w:tcPr>
            <w:tcW w:w="2743" w:type="pct"/>
            <w:tcBorders>
              <w:bottom w:val="single" w:sz="4" w:space="0" w:color="002060"/>
            </w:tcBorders>
            <w:shd w:val="clear" w:color="auto" w:fill="E7E6E6" w:themeFill="background2"/>
            <w:noWrap/>
            <w:vAlign w:val="bottom"/>
            <w:hideMark/>
          </w:tcPr>
          <w:p w14:paraId="7219C281" w14:textId="77777777" w:rsidR="00C030A9" w:rsidRPr="00A37BCE" w:rsidRDefault="00C030A9" w:rsidP="00C95098">
            <w:pPr>
              <w:spacing w:after="0" w:line="240" w:lineRule="auto"/>
              <w:rPr>
                <w:rFonts w:eastAsia="Times New Roman" w:cstheme="minorHAnsi"/>
                <w:bCs/>
                <w:color w:val="002060"/>
                <w:sz w:val="16"/>
                <w:szCs w:val="18"/>
                <w:lang w:val="sr-Cyrl-RS" w:eastAsia="sr-Cyrl-RS"/>
              </w:rPr>
            </w:pPr>
            <w:r w:rsidRPr="00A37BCE">
              <w:rPr>
                <w:rFonts w:eastAsia="Times New Roman" w:cstheme="minorHAnsi"/>
                <w:bCs/>
                <w:color w:val="002060"/>
                <w:sz w:val="16"/>
                <w:szCs w:val="18"/>
                <w:lang w:val="sr-Cyrl-RS" w:eastAsia="sr-Cyrl-RS"/>
              </w:rPr>
              <w:t>S0 индикатор</w:t>
            </w:r>
          </w:p>
        </w:tc>
        <w:tc>
          <w:tcPr>
            <w:tcW w:w="537" w:type="pct"/>
            <w:tcBorders>
              <w:bottom w:val="single" w:sz="4" w:space="0" w:color="002060"/>
            </w:tcBorders>
            <w:shd w:val="clear" w:color="auto" w:fill="E7E6E6" w:themeFill="background2"/>
            <w:noWrap/>
            <w:vAlign w:val="bottom"/>
            <w:hideMark/>
          </w:tcPr>
          <w:p w14:paraId="6147C52C"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&lt;</w:t>
            </w:r>
          </w:p>
        </w:tc>
        <w:tc>
          <w:tcPr>
            <w:tcW w:w="304" w:type="pct"/>
            <w:tcBorders>
              <w:bottom w:val="single" w:sz="4" w:space="0" w:color="002060"/>
            </w:tcBorders>
            <w:shd w:val="clear" w:color="auto" w:fill="E7E6E6" w:themeFill="background2"/>
            <w:noWrap/>
            <w:vAlign w:val="bottom"/>
            <w:hideMark/>
          </w:tcPr>
          <w:p w14:paraId="196421FF" w14:textId="77777777"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0,46</w:t>
            </w:r>
          </w:p>
        </w:tc>
        <w:tc>
          <w:tcPr>
            <w:tcW w:w="454" w:type="pct"/>
            <w:tcBorders>
              <w:bottom w:val="single" w:sz="4" w:space="0" w:color="002060"/>
            </w:tcBorders>
            <w:shd w:val="clear" w:color="auto" w:fill="E7E6E6" w:themeFill="background2"/>
            <w:noWrap/>
            <w:vAlign w:val="bottom"/>
            <w:hideMark/>
          </w:tcPr>
          <w:p w14:paraId="3178F487" w14:textId="4541CE88" w:rsidR="00C030A9" w:rsidRPr="00A37BCE" w:rsidRDefault="00C030A9" w:rsidP="00C95098">
            <w:pPr>
              <w:spacing w:after="0" w:line="240" w:lineRule="auto"/>
              <w:jc w:val="center"/>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0,55</w:t>
            </w:r>
          </w:p>
        </w:tc>
        <w:tc>
          <w:tcPr>
            <w:tcW w:w="321" w:type="pct"/>
            <w:tcBorders>
              <w:bottom w:val="single" w:sz="4" w:space="0" w:color="002060"/>
            </w:tcBorders>
            <w:shd w:val="clear" w:color="auto" w:fill="E7E6E6" w:themeFill="background2"/>
            <w:noWrap/>
            <w:vAlign w:val="bottom"/>
            <w:hideMark/>
          </w:tcPr>
          <w:p w14:paraId="08499E10" w14:textId="77777777" w:rsidR="00C030A9" w:rsidRPr="00A37BCE" w:rsidRDefault="00C030A9" w:rsidP="00C95098">
            <w:pPr>
              <w:spacing w:after="0" w:line="240" w:lineRule="auto"/>
              <w:jc w:val="right"/>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0,32</w:t>
            </w:r>
          </w:p>
        </w:tc>
        <w:tc>
          <w:tcPr>
            <w:tcW w:w="321" w:type="pct"/>
            <w:tcBorders>
              <w:bottom w:val="single" w:sz="4" w:space="0" w:color="002060"/>
            </w:tcBorders>
            <w:shd w:val="clear" w:color="auto" w:fill="E7E6E6" w:themeFill="background2"/>
            <w:noWrap/>
            <w:vAlign w:val="bottom"/>
            <w:hideMark/>
          </w:tcPr>
          <w:p w14:paraId="0B417613" w14:textId="77777777" w:rsidR="00C030A9" w:rsidRPr="00A37BCE" w:rsidRDefault="00C030A9" w:rsidP="00C95098">
            <w:pPr>
              <w:spacing w:after="0" w:line="240" w:lineRule="auto"/>
              <w:jc w:val="right"/>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0,24</w:t>
            </w:r>
          </w:p>
        </w:tc>
        <w:tc>
          <w:tcPr>
            <w:tcW w:w="321" w:type="pct"/>
            <w:tcBorders>
              <w:bottom w:val="single" w:sz="4" w:space="0" w:color="002060"/>
            </w:tcBorders>
            <w:shd w:val="clear" w:color="auto" w:fill="E7E6E6" w:themeFill="background2"/>
            <w:noWrap/>
            <w:vAlign w:val="bottom"/>
            <w:hideMark/>
          </w:tcPr>
          <w:p w14:paraId="695B7B76" w14:textId="77777777" w:rsidR="00C030A9" w:rsidRPr="00A37BCE" w:rsidRDefault="00C030A9" w:rsidP="00C95098">
            <w:pPr>
              <w:spacing w:after="0" w:line="240" w:lineRule="auto"/>
              <w:jc w:val="right"/>
              <w:rPr>
                <w:rFonts w:eastAsia="Times New Roman" w:cstheme="minorHAnsi"/>
                <w:bCs/>
                <w:color w:val="002060"/>
                <w:sz w:val="14"/>
                <w:szCs w:val="18"/>
                <w:lang w:val="sr-Cyrl-RS" w:eastAsia="sr-Cyrl-RS"/>
              </w:rPr>
            </w:pPr>
            <w:r w:rsidRPr="00A37BCE">
              <w:rPr>
                <w:rFonts w:eastAsia="Times New Roman" w:cstheme="minorHAnsi"/>
                <w:bCs/>
                <w:color w:val="002060"/>
                <w:sz w:val="14"/>
                <w:szCs w:val="18"/>
                <w:lang w:val="sr-Cyrl-RS" w:eastAsia="sr-Cyrl-RS"/>
              </w:rPr>
              <w:t>0,18</w:t>
            </w:r>
          </w:p>
        </w:tc>
      </w:tr>
    </w:tbl>
    <w:p w14:paraId="01EFFE08" w14:textId="08983674" w:rsidR="00C030A9" w:rsidRPr="00A37BCE" w:rsidRDefault="00C030A9" w:rsidP="00C030A9">
      <w:pPr>
        <w:jc w:val="both"/>
        <w:rPr>
          <w:rFonts w:cstheme="minorHAnsi"/>
          <w:color w:val="44546A" w:themeColor="text2"/>
          <w:sz w:val="16"/>
          <w:szCs w:val="14"/>
          <w:lang w:val="sr-Cyrl-RS"/>
        </w:rPr>
      </w:pPr>
      <w:r w:rsidRPr="00A37BCE">
        <w:rPr>
          <w:rFonts w:cstheme="minorHAnsi"/>
          <w:color w:val="44546A" w:themeColor="text2"/>
          <w:sz w:val="16"/>
          <w:szCs w:val="14"/>
          <w:lang w:val="sr-Cyrl-RS"/>
        </w:rPr>
        <w:t>Извор: Калкулација Министарства финансија</w:t>
      </w:r>
    </w:p>
    <w:p w14:paraId="2732C052" w14:textId="77777777" w:rsidR="00C030A9" w:rsidRPr="00A37BCE" w:rsidRDefault="00C030A9" w:rsidP="00C030A9">
      <w:pPr>
        <w:jc w:val="both"/>
        <w:rPr>
          <w:rFonts w:cstheme="minorHAnsi"/>
          <w:sz w:val="20"/>
          <w:szCs w:val="20"/>
          <w:lang w:val="sr-Cyrl-RS"/>
        </w:rPr>
        <w:sectPr w:rsidR="00C030A9" w:rsidRPr="00A37BCE" w:rsidSect="00BA4876">
          <w:type w:val="continuous"/>
          <w:pgSz w:w="12240" w:h="15840"/>
          <w:pgMar w:top="1440" w:right="1440" w:bottom="1440" w:left="1440" w:header="720" w:footer="720" w:gutter="0"/>
          <w:cols w:space="720"/>
          <w:docGrid w:linePitch="360"/>
        </w:sectPr>
      </w:pPr>
    </w:p>
    <w:p w14:paraId="4444DA3D" w14:textId="4459ECFC" w:rsidR="00C030A9" w:rsidRPr="00A37BCE" w:rsidRDefault="00C030A9" w:rsidP="00C030A9">
      <w:pPr>
        <w:jc w:val="both"/>
        <w:rPr>
          <w:rFonts w:cstheme="minorHAnsi"/>
          <w:color w:val="44546A" w:themeColor="text2"/>
          <w:sz w:val="14"/>
          <w:szCs w:val="14"/>
          <w:lang w:val="sr-Cyrl-RS"/>
        </w:rPr>
      </w:pPr>
      <w:r w:rsidRPr="00A37BCE">
        <w:rPr>
          <w:rFonts w:cstheme="minorHAnsi"/>
          <w:color w:val="44546A" w:themeColor="text2"/>
          <w:sz w:val="20"/>
          <w:szCs w:val="20"/>
          <w:lang w:val="sr-Cyrl-RS"/>
        </w:rPr>
        <w:lastRenderedPageBreak/>
        <w:t xml:space="preserve">На основу података Европске комисије за земље ЕУ за 2017. годину и обрачуна Министарства финансија за Републику Србију, за 2016. и 2017. годину закључујемо да ниједна од посматраних земаља није изложена краткорочном ризику реализације фискалног стреса, будући да вредност </w:t>
      </w:r>
      <w:r w:rsidRPr="00A37BCE">
        <w:rPr>
          <w:rFonts w:cstheme="minorHAnsi"/>
          <w:color w:val="44546A" w:themeColor="text2"/>
          <w:sz w:val="20"/>
          <w:szCs w:val="20"/>
          <w:lang w:val="sr-Cyrl-RS"/>
        </w:rPr>
        <w:lastRenderedPageBreak/>
        <w:t>S0 нигде не премашује дефинисани праг. Поједине земље се суочавају са фискалним односно макро-финансијским изазовима, док се Република Србија заједно са већином земаља ЕУ и даље налази унутар дефинисаних прагова S0 индикатора.</w:t>
      </w:r>
    </w:p>
    <w:p w14:paraId="286E3E93" w14:textId="77777777" w:rsidR="00C030A9" w:rsidRPr="00A37BCE" w:rsidRDefault="00C030A9">
      <w:pPr>
        <w:rPr>
          <w:rFonts w:eastAsia="Calibri" w:cstheme="minorHAnsi"/>
          <w:b/>
          <w:color w:val="2F5496" w:themeColor="accent1" w:themeShade="BF"/>
          <w:sz w:val="24"/>
          <w:szCs w:val="26"/>
          <w:lang w:val="sr-Cyrl-RS"/>
        </w:rPr>
        <w:sectPr w:rsidR="00C030A9" w:rsidRPr="00A37BCE" w:rsidSect="00C030A9">
          <w:type w:val="continuous"/>
          <w:pgSz w:w="12240" w:h="15840"/>
          <w:pgMar w:top="1440" w:right="1440" w:bottom="1440" w:left="1440" w:header="720" w:footer="720" w:gutter="0"/>
          <w:cols w:num="2" w:space="720"/>
          <w:docGrid w:linePitch="360"/>
        </w:sectPr>
      </w:pPr>
    </w:p>
    <w:p w14:paraId="6381F824" w14:textId="3EB7B2B4" w:rsidR="00C030A9" w:rsidRPr="00A37BCE" w:rsidRDefault="00562F03" w:rsidP="00C030A9">
      <w:pPr>
        <w:jc w:val="center"/>
        <w:rPr>
          <w:rFonts w:eastAsia="MS PGothic" w:cstheme="minorHAnsi"/>
          <w:b/>
          <w:color w:val="002060"/>
          <w:sz w:val="20"/>
          <w:szCs w:val="20"/>
          <w:lang w:val="sr-Cyrl-RS" w:eastAsia="ja-JP"/>
        </w:rPr>
      </w:pPr>
      <w:r w:rsidRPr="00A37BCE">
        <w:rPr>
          <w:rFonts w:cstheme="minorHAnsi"/>
          <w:noProof/>
        </w:rPr>
        <w:lastRenderedPageBreak/>
        <mc:AlternateContent>
          <mc:Choice Requires="wps">
            <w:drawing>
              <wp:anchor distT="0" distB="0" distL="114300" distR="114300" simplePos="0" relativeHeight="251695104" behindDoc="1" locked="0" layoutInCell="1" allowOverlap="1" wp14:anchorId="0BB175CB" wp14:editId="241CAEB1">
                <wp:simplePos x="0" y="0"/>
                <wp:positionH relativeFrom="margin">
                  <wp:posOffset>-15903</wp:posOffset>
                </wp:positionH>
                <wp:positionV relativeFrom="paragraph">
                  <wp:posOffset>-127221</wp:posOffset>
                </wp:positionV>
                <wp:extent cx="6028055" cy="4381169"/>
                <wp:effectExtent l="0" t="0" r="0" b="635"/>
                <wp:wrapNone/>
                <wp:docPr id="54" name="Rectangle 54"/>
                <wp:cNvGraphicFramePr/>
                <a:graphic xmlns:a="http://schemas.openxmlformats.org/drawingml/2006/main">
                  <a:graphicData uri="http://schemas.microsoft.com/office/word/2010/wordprocessingShape">
                    <wps:wsp>
                      <wps:cNvSpPr/>
                      <wps:spPr>
                        <a:xfrm>
                          <a:off x="0" y="0"/>
                          <a:ext cx="6028055" cy="4381169"/>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75A4C21A" id="Rectangle 54" o:spid="_x0000_s1026" style="position:absolute;margin-left:-1.25pt;margin-top:-10pt;width:474.65pt;height:344.95pt;z-index:-2516213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skrtgIAAPQFAAAOAAAAZHJzL2Uyb0RvYy54bWysVF1P2zAUfZ+0/2D5fSTpWlYqUlSBmCYx&#10;QMDEs+vYTSTH17Pdpt2v37WdpAgQD9NeHH8cn3vuie89v9i3iuyEdQ3okhYnOSVCc6gavSnpr6fr&#10;L3NKnGe6Ygq0KOlBOHqx/PzpvDMLMYEaVCUsQRLtFp0pae29WWSZ47VomTsBIzQeSrAt87i0m6yy&#10;rEP2VmWTPD/NOrCVscCFc7h7lQ7pMvJLKbi/k9IJT1RJUZuPo43jOozZ8pwtNpaZuuG9DPYPKlrW&#10;aAw6Ul0xz8jWNm+o2oZbcCD9CYc2AykbLmIOmE2Rv8rmsWZGxFzQHGdGm9z/o+W3u3tLmqqksykl&#10;mrX4jx7QNaY3ShDcQ4M64xaIezT3tl85nIZs99K24Yt5kH009TCaKvaecNw8zSfzfDajhOPZ9Ou8&#10;KE7PAmt2vG6s898FtCRMSmoxfjST7W6cT9ABEqIZ5v11o1QPN9xPZhEvN5cq6orPR+CC7Bj++PWm&#10;iOdq2/6EKu3NZ3kefz/qGOFR1ciy/oAuqeoRSDFoCvqUDqOGoDHhwk4WbEzGxZk/KJHQD0LiH0Cr&#10;JlHlqCYJZZwL7VMCrmaVSNtB/vv6lUbCwCwx/sjdE4S6OhozcCeVPT5cFbF0xsv5R8LS5fFGjAza&#10;j5fbRoN9j0BhVn3khB9MStYEl9ZQHfB9WkiF6wy/bvCN3DDn75nFSsWaxu7j73CQCrqSQj+jpAb7&#10;5739gMcCwlNKOqz8krrfW2YFJeqHxtI6K6bT0CriYjr7NsGFfXmyfnmit+0l4BsrsM8ZHqcB79Uw&#10;lRbaZ2xSqxAVj5jmGLuk3NthcelTR8I2x8VqFWHYHvBN3ehHwwN5cDXUwNP+mVnTv3yPNXYLQ5dg&#10;i1f1krDhpobV1oNsYjEdfe39xtYSH37fBkPvermOqGOzXv4FAAD//wMAUEsDBBQABgAIAAAAIQCA&#10;x+Ep4AAAAAoBAAAPAAAAZHJzL2Rvd25yZXYueG1sTI/BSsNAEIbvgu+wjOCt3bXY2MRsigqigiDW&#10;Fq/T7JgNZndjdtumb+/0pKdhmI9/vr9cjq4TexpiG7yGq6kCQb4OpvWNhvXH42QBIib0BrvgScOR&#10;Iiyr87MSCxMO/p32q9QIDvGxQA02pb6QMtaWHMZp6Mnz7SsMDhOvQyPNgAcOd52cKZVJh63nDxZ7&#10;erBUf692TgM+3Uc7f8NNftys1Yv9XDzf/LxqfXkx3t2CSDSmPxhO+qwOFTttw86bKDoNk9mcydNU&#10;3ImB/DrjLlsNWZbnIKtS/q9Q/QIAAP//AwBQSwECLQAUAAYACAAAACEAtoM4kv4AAADhAQAAEwAA&#10;AAAAAAAAAAAAAAAAAAAAW0NvbnRlbnRfVHlwZXNdLnhtbFBLAQItABQABgAIAAAAIQA4/SH/1gAA&#10;AJQBAAALAAAAAAAAAAAAAAAAAC8BAABfcmVscy8ucmVsc1BLAQItABQABgAIAAAAIQBH5skrtgIA&#10;APQFAAAOAAAAAAAAAAAAAAAAAC4CAABkcnMvZTJvRG9jLnhtbFBLAQItABQABgAIAAAAIQCAx+Ep&#10;4AAAAAoBAAAPAAAAAAAAAAAAAAAAABAFAABkcnMvZG93bnJldi54bWxQSwUGAAAAAAQABADzAAAA&#10;HQYAAAAA&#10;" fillcolor="#d8d8d8 [2732]" stroked="f" strokeweight="1pt">
                <v:fill r:id="rId64" o:title="" color2="white [3212]" type="pattern"/>
                <w10:wrap anchorx="margin"/>
              </v:rect>
            </w:pict>
          </mc:Fallback>
        </mc:AlternateContent>
      </w:r>
      <w:r w:rsidR="00C030A9" w:rsidRPr="00A37BCE">
        <w:rPr>
          <w:rFonts w:eastAsia="MS PGothic" w:cstheme="minorHAnsi"/>
          <w:b/>
          <w:color w:val="002060"/>
          <w:sz w:val="20"/>
          <w:szCs w:val="20"/>
          <w:lang w:val="sr-Cyrl-RS" w:eastAsia="ja-JP"/>
        </w:rPr>
        <w:t xml:space="preserve">Фискални подиндекс и подиндекс макро-финансијске конкурентности за земље ЕУ и </w:t>
      </w:r>
      <w:r w:rsidR="00BB1858" w:rsidRPr="00A37BCE">
        <w:rPr>
          <w:rFonts w:eastAsia="MS PGothic" w:cstheme="minorHAnsi"/>
          <w:b/>
          <w:color w:val="002060"/>
          <w:sz w:val="20"/>
          <w:szCs w:val="20"/>
          <w:lang w:val="sr-Cyrl-RS" w:eastAsia="ja-JP"/>
        </w:rPr>
        <w:t>за</w:t>
      </w:r>
      <w:r w:rsidR="00E74834">
        <w:rPr>
          <w:rFonts w:eastAsia="MS PGothic" w:cstheme="minorHAnsi"/>
          <w:b/>
          <w:color w:val="002060"/>
          <w:sz w:val="20"/>
          <w:szCs w:val="20"/>
          <w:lang w:val="sr-Cyrl-RS" w:eastAsia="ja-JP"/>
        </w:rPr>
        <w:t xml:space="preserve"> </w:t>
      </w:r>
      <w:r w:rsidR="00E74834" w:rsidRPr="00E74834">
        <w:rPr>
          <w:rFonts w:eastAsia="MS PGothic" w:cstheme="minorHAnsi"/>
          <w:b/>
          <w:color w:val="002060"/>
          <w:sz w:val="20"/>
          <w:szCs w:val="20"/>
          <w:lang w:val="sr-Cyrl-RS" w:eastAsia="ja-JP"/>
        </w:rPr>
        <w:t>Републик</w:t>
      </w:r>
      <w:r w:rsidR="00E74834">
        <w:rPr>
          <w:rFonts w:eastAsia="MS PGothic" w:cstheme="minorHAnsi"/>
          <w:b/>
          <w:color w:val="002060"/>
          <w:sz w:val="20"/>
          <w:szCs w:val="20"/>
          <w:lang w:val="sr-Cyrl-RS" w:eastAsia="ja-JP"/>
        </w:rPr>
        <w:t>у</w:t>
      </w:r>
      <w:r w:rsidR="00BB1858" w:rsidRPr="00A37BCE">
        <w:rPr>
          <w:rFonts w:eastAsia="MS PGothic" w:cstheme="minorHAnsi"/>
          <w:b/>
          <w:color w:val="002060"/>
          <w:sz w:val="20"/>
          <w:szCs w:val="20"/>
          <w:lang w:val="sr-Cyrl-RS" w:eastAsia="ja-JP"/>
        </w:rPr>
        <w:t xml:space="preserve"> </w:t>
      </w:r>
      <w:r w:rsidR="00C030A9" w:rsidRPr="00A37BCE">
        <w:rPr>
          <w:rFonts w:eastAsia="MS PGothic" w:cstheme="minorHAnsi"/>
          <w:b/>
          <w:color w:val="002060"/>
          <w:sz w:val="20"/>
          <w:szCs w:val="20"/>
          <w:lang w:val="sr-Cyrl-RS" w:eastAsia="ja-JP"/>
        </w:rPr>
        <w:t>Србију за 2015, 2016. и 2017. годину</w:t>
      </w:r>
      <w:r w:rsidR="00C030A9" w:rsidRPr="00A37BCE">
        <w:rPr>
          <w:rFonts w:eastAsia="Calibri" w:cstheme="minorHAnsi"/>
          <w:b/>
          <w:noProof/>
          <w:color w:val="2F5496" w:themeColor="accent1" w:themeShade="BF"/>
          <w:sz w:val="24"/>
          <w:szCs w:val="26"/>
        </w:rPr>
        <w:drawing>
          <wp:inline distT="0" distB="0" distL="0" distR="0" wp14:anchorId="28217DEE" wp14:editId="2CAD0C50">
            <wp:extent cx="5801535" cy="3801005"/>
            <wp:effectExtent l="0" t="0" r="8890" b="952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So kordinatni.PNG"/>
                    <pic:cNvPicPr/>
                  </pic:nvPicPr>
                  <pic:blipFill>
                    <a:blip r:embed="rId65">
                      <a:extLst>
                        <a:ext uri="{28A0092B-C50C-407E-A947-70E740481C1C}">
                          <a14:useLocalDpi xmlns:a14="http://schemas.microsoft.com/office/drawing/2010/main" val="0"/>
                        </a:ext>
                      </a:extLst>
                    </a:blip>
                    <a:stretch>
                      <a:fillRect/>
                    </a:stretch>
                  </pic:blipFill>
                  <pic:spPr>
                    <a:xfrm>
                      <a:off x="0" y="0"/>
                      <a:ext cx="5801535" cy="3801005"/>
                    </a:xfrm>
                    <a:prstGeom prst="rect">
                      <a:avLst/>
                    </a:prstGeom>
                  </pic:spPr>
                </pic:pic>
              </a:graphicData>
            </a:graphic>
          </wp:inline>
        </w:drawing>
      </w:r>
    </w:p>
    <w:p w14:paraId="783C388C" w14:textId="77777777" w:rsidR="008F33BB" w:rsidRDefault="008F33BB" w:rsidP="00A236FE">
      <w:pPr>
        <w:pStyle w:val="Heading2"/>
        <w:jc w:val="center"/>
        <w:rPr>
          <w:rFonts w:asciiTheme="minorHAnsi" w:eastAsia="Calibri" w:hAnsiTheme="minorHAnsi" w:cstheme="minorHAnsi"/>
          <w:b/>
          <w:sz w:val="24"/>
          <w:lang w:val="sr-Cyrl-RS"/>
        </w:rPr>
      </w:pPr>
    </w:p>
    <w:p w14:paraId="2ED2E9F0" w14:textId="318A1DEC" w:rsidR="00BA4876" w:rsidRPr="008F33BB" w:rsidRDefault="00BA4876" w:rsidP="00D64586">
      <w:pPr>
        <w:pStyle w:val="Heading2"/>
        <w:spacing w:before="0" w:after="120"/>
        <w:jc w:val="center"/>
        <w:rPr>
          <w:rFonts w:asciiTheme="minorHAnsi" w:eastAsia="Calibri" w:hAnsiTheme="minorHAnsi" w:cstheme="minorHAnsi"/>
          <w:b/>
          <w:sz w:val="24"/>
          <w:lang w:val="sr-Cyrl-RS"/>
        </w:rPr>
        <w:sectPr w:rsidR="00BA4876" w:rsidRPr="008F33BB" w:rsidSect="00BA4876">
          <w:type w:val="continuous"/>
          <w:pgSz w:w="12240" w:h="15840"/>
          <w:pgMar w:top="1440" w:right="1440" w:bottom="1440" w:left="1440" w:header="720" w:footer="720" w:gutter="0"/>
          <w:cols w:space="720"/>
          <w:docGrid w:linePitch="360"/>
        </w:sectPr>
      </w:pPr>
      <w:bookmarkStart w:id="13" w:name="_Toc530042000"/>
      <w:r w:rsidRPr="00A236FE">
        <w:rPr>
          <w:rFonts w:asciiTheme="minorHAnsi" w:eastAsia="Calibri" w:hAnsiTheme="minorHAnsi" w:cstheme="minorHAnsi"/>
          <w:b/>
          <w:sz w:val="24"/>
          <w:lang w:val="sr-Cyrl-RS"/>
        </w:rPr>
        <w:t>4. Фискалне пројекције у периоду 2019–2021. годин</w:t>
      </w:r>
      <w:r w:rsidR="00B3546C" w:rsidRPr="00A236FE">
        <w:rPr>
          <w:rFonts w:asciiTheme="minorHAnsi" w:eastAsia="Calibri" w:hAnsiTheme="minorHAnsi" w:cstheme="minorHAnsi"/>
          <w:b/>
          <w:sz w:val="24"/>
          <w:lang w:val="sr-Cyrl-RS"/>
        </w:rPr>
        <w:t>е</w:t>
      </w:r>
      <w:bookmarkEnd w:id="13"/>
    </w:p>
    <w:p w14:paraId="6C656F95" w14:textId="0481661E" w:rsidR="00BA4876" w:rsidRPr="00A37BCE" w:rsidRDefault="00BA4876" w:rsidP="00D64586">
      <w:pPr>
        <w:spacing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lastRenderedPageBreak/>
        <w:t>У наредном средњорочном периоду циљеви фискалне политике усмерени су на одржање фискалне стабилности што води даљем смањењу учешћа јавног дуга. Средњорочни фискални оквир предвиђа дефицит опште државе на нивоу од 0,5% БДП до 2021. године и пад учешћа јавног дуга</w:t>
      </w:r>
      <w:r w:rsidR="00BB1858" w:rsidRPr="00A37BCE">
        <w:rPr>
          <w:rFonts w:eastAsia="MS PGothic" w:cstheme="minorHAnsi"/>
          <w:color w:val="44546A" w:themeColor="text2"/>
          <w:sz w:val="20"/>
          <w:szCs w:val="20"/>
          <w:lang w:val="sr-Cyrl-RS" w:eastAsia="ja-JP"/>
        </w:rPr>
        <w:t xml:space="preserve"> </w:t>
      </w:r>
      <w:r w:rsidRPr="00A37BCE">
        <w:rPr>
          <w:rFonts w:eastAsia="MS PGothic" w:cstheme="minorHAnsi"/>
          <w:color w:val="44546A" w:themeColor="text2"/>
          <w:sz w:val="20"/>
          <w:szCs w:val="20"/>
          <w:lang w:val="sr-Cyrl-RS" w:eastAsia="ja-JP"/>
        </w:rPr>
        <w:t>испод 50% БДП. Пројекције фискалних агрегата у периоду од 2019. до 2021. године заснивају се на пројекцијама макроекономских показатеља за наведени период, планираној пореској политици која подразумева даље усаглашавање са законима и директивама ЕУ и фискалним и структурним мерама, укључујући и даљу реформу великих јавних предузећа.</w:t>
      </w:r>
    </w:p>
    <w:p w14:paraId="0A768757" w14:textId="77777777" w:rsidR="00BA4876" w:rsidRPr="00A37BCE" w:rsidRDefault="00BA4876" w:rsidP="00D64586">
      <w:pPr>
        <w:spacing w:line="276" w:lineRule="auto"/>
        <w:jc w:val="both"/>
        <w:rPr>
          <w:rFonts w:eastAsia="Calibri"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lastRenderedPageBreak/>
        <w:t>Захваљујући мерама фискалне консолидације створен је фискални простор који ће у 2019. години бити искоришћен за повећање капиталних инвестиција, укидање кризних мера код пензија и плата, повећање најнижих пензија и повећање плата у јавном сектору, те за смањење пореског оптерећења рада. Ове мере и њихове фискалне импликације дизајниране</w:t>
      </w:r>
      <w:r w:rsidRPr="00A37BCE">
        <w:rPr>
          <w:rFonts w:eastAsia="Calibri" w:cstheme="minorHAnsi"/>
          <w:color w:val="44546A" w:themeColor="text2"/>
          <w:sz w:val="20"/>
          <w:szCs w:val="20"/>
          <w:lang w:val="sr-Cyrl-RS" w:eastAsia="ja-JP"/>
        </w:rPr>
        <w:t xml:space="preserve"> су тако да не угрозе стабилност јавних финансија и темпо смањења јавног дуга, а са друге стране да подигну животни стандард становништва, стимулишу приватну потрошњу и убрзају привредни развој.</w:t>
      </w:r>
    </w:p>
    <w:p w14:paraId="0032D0C7" w14:textId="77777777"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p>
    <w:p w14:paraId="3880104D" w14:textId="77777777" w:rsidR="00BA4876" w:rsidRPr="00A37BCE" w:rsidRDefault="00BA4876" w:rsidP="00BA4876">
      <w:pPr>
        <w:spacing w:after="120" w:line="276" w:lineRule="auto"/>
        <w:jc w:val="both"/>
        <w:rPr>
          <w:rFonts w:eastAsia="Calibri" w:cstheme="minorHAnsi"/>
          <w:color w:val="44546A" w:themeColor="text2"/>
          <w:sz w:val="20"/>
          <w:szCs w:val="20"/>
          <w:lang w:val="sr-Cyrl-RS" w:eastAsia="ja-JP"/>
        </w:rPr>
        <w:sectPr w:rsidR="00BA4876" w:rsidRPr="00A37BCE" w:rsidSect="00BA4876">
          <w:type w:val="continuous"/>
          <w:pgSz w:w="12240" w:h="15840"/>
          <w:pgMar w:top="1440" w:right="1440" w:bottom="1440" w:left="1440" w:header="720" w:footer="720" w:gutter="0"/>
          <w:cols w:num="2" w:space="720"/>
          <w:docGrid w:linePitch="360"/>
        </w:sectPr>
      </w:pPr>
    </w:p>
    <w:p w14:paraId="47701719" w14:textId="77777777" w:rsidR="003D2901" w:rsidRPr="00A37BCE" w:rsidRDefault="003D2901">
      <w:pPr>
        <w:rPr>
          <w:rFonts w:eastAsia="MS PGothic" w:cstheme="minorHAnsi"/>
          <w:b/>
          <w:color w:val="002060"/>
          <w:sz w:val="20"/>
          <w:szCs w:val="20"/>
          <w:lang w:val="sr-Cyrl-RS" w:eastAsia="ja-JP"/>
        </w:rPr>
      </w:pPr>
      <w:r w:rsidRPr="00A37BCE">
        <w:rPr>
          <w:rFonts w:eastAsia="MS PGothic" w:cstheme="minorHAnsi"/>
          <w:b/>
          <w:color w:val="002060"/>
          <w:sz w:val="20"/>
          <w:szCs w:val="20"/>
          <w:lang w:val="sr-Cyrl-RS" w:eastAsia="ja-JP"/>
        </w:rPr>
        <w:lastRenderedPageBreak/>
        <w:br w:type="page"/>
      </w:r>
    </w:p>
    <w:p w14:paraId="23FE21AF" w14:textId="3E01F0E5" w:rsidR="00BA4876" w:rsidRPr="00A37BCE" w:rsidRDefault="00BA4876" w:rsidP="00BA4876">
      <w:pPr>
        <w:widowControl w:val="0"/>
        <w:spacing w:after="120" w:line="276" w:lineRule="auto"/>
        <w:jc w:val="center"/>
        <w:rPr>
          <w:rFonts w:eastAsia="MS PGothic" w:cstheme="minorHAnsi"/>
          <w:b/>
          <w:color w:val="002060"/>
          <w:sz w:val="20"/>
          <w:szCs w:val="20"/>
          <w:lang w:val="sr-Cyrl-RS" w:eastAsia="ja-JP"/>
        </w:rPr>
      </w:pPr>
      <w:r w:rsidRPr="00A37BCE">
        <w:rPr>
          <w:rFonts w:eastAsia="MS PGothic" w:cstheme="minorHAnsi"/>
          <w:b/>
          <w:color w:val="002060"/>
          <w:sz w:val="20"/>
          <w:szCs w:val="20"/>
          <w:lang w:val="sr-Cyrl-RS" w:eastAsia="ja-JP"/>
        </w:rPr>
        <w:lastRenderedPageBreak/>
        <w:t xml:space="preserve">Табела </w:t>
      </w:r>
      <w:r w:rsidR="005B01D9" w:rsidRPr="00A37BCE">
        <w:rPr>
          <w:rFonts w:eastAsia="MS PGothic" w:cstheme="minorHAnsi"/>
          <w:b/>
          <w:color w:val="002060"/>
          <w:sz w:val="20"/>
          <w:szCs w:val="20"/>
          <w:lang w:val="sr-Cyrl-RS" w:eastAsia="ja-JP"/>
        </w:rPr>
        <w:t>8</w:t>
      </w:r>
      <w:r w:rsidRPr="00A37BCE">
        <w:rPr>
          <w:rFonts w:eastAsia="MS PGothic" w:cstheme="minorHAnsi"/>
          <w:b/>
          <w:color w:val="002060"/>
          <w:sz w:val="20"/>
          <w:szCs w:val="20"/>
          <w:lang w:val="sr-Cyrl-RS" w:eastAsia="ja-JP"/>
        </w:rPr>
        <w:t>. Фискални агрегати у периоду 2017–2021. године, % БДП</w:t>
      </w:r>
    </w:p>
    <w:tbl>
      <w:tblPr>
        <w:tblStyle w:val="LightShading-Accent1221"/>
        <w:tblW w:w="5000" w:type="pct"/>
        <w:tblBorders>
          <w:top w:val="none" w:sz="0" w:space="0" w:color="auto"/>
          <w:bottom w:val="none" w:sz="0" w:space="0" w:color="auto"/>
        </w:tblBorders>
        <w:tblLook w:val="0420" w:firstRow="1" w:lastRow="0" w:firstColumn="0" w:lastColumn="0" w:noHBand="0" w:noVBand="1"/>
      </w:tblPr>
      <w:tblGrid>
        <w:gridCol w:w="4274"/>
        <w:gridCol w:w="1207"/>
        <w:gridCol w:w="1020"/>
        <w:gridCol w:w="953"/>
        <w:gridCol w:w="953"/>
        <w:gridCol w:w="953"/>
      </w:tblGrid>
      <w:tr w:rsidR="00BA4876" w:rsidRPr="00A37BCE" w14:paraId="6D14F40E" w14:textId="77777777" w:rsidTr="00BA4876">
        <w:trPr>
          <w:cnfStyle w:val="100000000000" w:firstRow="1" w:lastRow="0" w:firstColumn="0" w:lastColumn="0" w:oddVBand="0" w:evenVBand="0" w:oddHBand="0" w:evenHBand="0" w:firstRowFirstColumn="0" w:firstRowLastColumn="0" w:lastRowFirstColumn="0" w:lastRowLastColumn="0"/>
          <w:trHeight w:val="48"/>
        </w:trPr>
        <w:tc>
          <w:tcPr>
            <w:tcW w:w="2283" w:type="pct"/>
            <w:tcBorders>
              <w:top w:val="single" w:sz="4" w:space="0" w:color="002060"/>
              <w:bottom w:val="single" w:sz="4" w:space="0" w:color="002060"/>
            </w:tcBorders>
            <w:shd w:val="clear" w:color="auto" w:fill="auto"/>
            <w:noWrap/>
            <w:vAlign w:val="center"/>
          </w:tcPr>
          <w:p w14:paraId="675EF1EA" w14:textId="77777777" w:rsidR="00BA4876" w:rsidRPr="00A37BCE" w:rsidRDefault="00BA4876" w:rsidP="00BA4876">
            <w:pPr>
              <w:spacing w:line="276" w:lineRule="auto"/>
              <w:rPr>
                <w:rFonts w:asciiTheme="minorHAnsi" w:hAnsiTheme="minorHAnsi" w:cstheme="minorHAnsi"/>
                <w:b w:val="0"/>
                <w:color w:val="002060"/>
                <w:sz w:val="18"/>
                <w:lang w:val="sr-Cyrl-RS"/>
              </w:rPr>
            </w:pPr>
            <w:r w:rsidRPr="00A37BCE">
              <w:rPr>
                <w:rFonts w:asciiTheme="minorHAnsi" w:hAnsiTheme="minorHAnsi" w:cstheme="minorHAnsi"/>
                <w:b w:val="0"/>
                <w:color w:val="002060"/>
                <w:sz w:val="18"/>
                <w:lang w:val="sr-Cyrl-RS"/>
              </w:rPr>
              <w:t>Опис</w:t>
            </w:r>
          </w:p>
        </w:tc>
        <w:tc>
          <w:tcPr>
            <w:tcW w:w="645" w:type="pct"/>
            <w:tcBorders>
              <w:top w:val="single" w:sz="4" w:space="0" w:color="002060"/>
              <w:bottom w:val="single" w:sz="4" w:space="0" w:color="002060"/>
            </w:tcBorders>
            <w:shd w:val="clear" w:color="auto" w:fill="auto"/>
            <w:vAlign w:val="center"/>
          </w:tcPr>
          <w:p w14:paraId="407398D1" w14:textId="77777777" w:rsidR="00BA4876" w:rsidRPr="00A37BCE" w:rsidRDefault="00BA4876" w:rsidP="00BA4876">
            <w:pPr>
              <w:spacing w:line="276" w:lineRule="auto"/>
              <w:jc w:val="right"/>
              <w:rPr>
                <w:rFonts w:asciiTheme="minorHAnsi" w:hAnsiTheme="minorHAnsi" w:cstheme="minorHAnsi"/>
                <w:b w:val="0"/>
                <w:color w:val="002060"/>
                <w:sz w:val="18"/>
                <w:lang w:val="sr-Cyrl-RS"/>
              </w:rPr>
            </w:pPr>
            <w:r w:rsidRPr="00A37BCE">
              <w:rPr>
                <w:rFonts w:asciiTheme="minorHAnsi" w:hAnsiTheme="minorHAnsi" w:cstheme="minorHAnsi"/>
                <w:b w:val="0"/>
                <w:color w:val="002060"/>
                <w:sz w:val="18"/>
                <w:lang w:val="sr-Cyrl-RS"/>
              </w:rPr>
              <w:t>Извршење</w:t>
            </w:r>
          </w:p>
        </w:tc>
        <w:tc>
          <w:tcPr>
            <w:tcW w:w="545" w:type="pct"/>
            <w:tcBorders>
              <w:top w:val="single" w:sz="4" w:space="0" w:color="002060"/>
              <w:bottom w:val="single" w:sz="4" w:space="0" w:color="002060"/>
            </w:tcBorders>
            <w:shd w:val="clear" w:color="auto" w:fill="auto"/>
            <w:vAlign w:val="center"/>
          </w:tcPr>
          <w:p w14:paraId="2DBA589A" w14:textId="77777777" w:rsidR="00BA4876" w:rsidRPr="00A37BCE" w:rsidRDefault="00BA4876" w:rsidP="00BA4876">
            <w:pPr>
              <w:spacing w:line="276" w:lineRule="auto"/>
              <w:jc w:val="right"/>
              <w:rPr>
                <w:rFonts w:asciiTheme="minorHAnsi" w:hAnsiTheme="minorHAnsi" w:cstheme="minorHAnsi"/>
                <w:b w:val="0"/>
                <w:color w:val="002060"/>
                <w:sz w:val="18"/>
                <w:lang w:val="sr-Cyrl-RS"/>
              </w:rPr>
            </w:pPr>
            <w:r w:rsidRPr="00A37BCE">
              <w:rPr>
                <w:rFonts w:asciiTheme="minorHAnsi" w:hAnsiTheme="minorHAnsi" w:cstheme="minorHAnsi"/>
                <w:b w:val="0"/>
                <w:color w:val="002060"/>
                <w:sz w:val="18"/>
                <w:lang w:val="sr-Cyrl-RS"/>
              </w:rPr>
              <w:t>Процена</w:t>
            </w:r>
          </w:p>
        </w:tc>
        <w:tc>
          <w:tcPr>
            <w:tcW w:w="1527" w:type="pct"/>
            <w:gridSpan w:val="3"/>
            <w:tcBorders>
              <w:top w:val="single" w:sz="4" w:space="0" w:color="002060"/>
              <w:bottom w:val="single" w:sz="4" w:space="0" w:color="002060"/>
            </w:tcBorders>
            <w:shd w:val="clear" w:color="auto" w:fill="auto"/>
            <w:vAlign w:val="center"/>
          </w:tcPr>
          <w:p w14:paraId="60E5DB25" w14:textId="77777777" w:rsidR="00BA4876" w:rsidRPr="00A37BCE" w:rsidRDefault="00BA4876" w:rsidP="00BA4876">
            <w:pPr>
              <w:spacing w:line="276" w:lineRule="auto"/>
              <w:jc w:val="center"/>
              <w:rPr>
                <w:rFonts w:asciiTheme="minorHAnsi" w:hAnsiTheme="minorHAnsi" w:cstheme="minorHAnsi"/>
                <w:b w:val="0"/>
                <w:color w:val="002060"/>
                <w:sz w:val="18"/>
                <w:lang w:val="sr-Cyrl-RS"/>
              </w:rPr>
            </w:pPr>
            <w:r w:rsidRPr="00A37BCE">
              <w:rPr>
                <w:rFonts w:asciiTheme="minorHAnsi" w:hAnsiTheme="minorHAnsi" w:cstheme="minorHAnsi"/>
                <w:b w:val="0"/>
                <w:color w:val="002060"/>
                <w:sz w:val="18"/>
                <w:lang w:val="sr-Cyrl-RS"/>
              </w:rPr>
              <w:t>Пројекција</w:t>
            </w:r>
          </w:p>
        </w:tc>
      </w:tr>
      <w:tr w:rsidR="00BA4876" w:rsidRPr="00A37BCE" w14:paraId="5741AB73" w14:textId="77777777" w:rsidTr="00BA4876">
        <w:trPr>
          <w:cnfStyle w:val="000000100000" w:firstRow="0" w:lastRow="0" w:firstColumn="0" w:lastColumn="0" w:oddVBand="0" w:evenVBand="0" w:oddHBand="1" w:evenHBand="0" w:firstRowFirstColumn="0" w:firstRowLastColumn="0" w:lastRowFirstColumn="0" w:lastRowLastColumn="0"/>
          <w:trHeight w:val="48"/>
        </w:trPr>
        <w:tc>
          <w:tcPr>
            <w:tcW w:w="2283" w:type="pct"/>
            <w:tcBorders>
              <w:top w:val="single" w:sz="4" w:space="0" w:color="002060"/>
              <w:left w:val="none" w:sz="0" w:space="0" w:color="auto"/>
              <w:right w:val="none" w:sz="0" w:space="0" w:color="auto"/>
            </w:tcBorders>
            <w:shd w:val="clear" w:color="auto" w:fill="auto"/>
            <w:noWrap/>
            <w:vAlign w:val="center"/>
          </w:tcPr>
          <w:p w14:paraId="57E3A037" w14:textId="77777777" w:rsidR="00BA4876" w:rsidRPr="00A37BCE" w:rsidRDefault="00BA4876" w:rsidP="00BA4876">
            <w:pPr>
              <w:spacing w:line="276" w:lineRule="auto"/>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 </w:t>
            </w:r>
          </w:p>
        </w:tc>
        <w:tc>
          <w:tcPr>
            <w:tcW w:w="645" w:type="pct"/>
            <w:tcBorders>
              <w:top w:val="single" w:sz="4" w:space="0" w:color="002060"/>
              <w:left w:val="none" w:sz="0" w:space="0" w:color="auto"/>
              <w:bottom w:val="single" w:sz="4" w:space="0" w:color="002060"/>
              <w:right w:val="none" w:sz="0" w:space="0" w:color="auto"/>
            </w:tcBorders>
            <w:shd w:val="clear" w:color="auto" w:fill="auto"/>
            <w:vAlign w:val="center"/>
          </w:tcPr>
          <w:p w14:paraId="528643CF"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2017</w:t>
            </w:r>
          </w:p>
        </w:tc>
        <w:tc>
          <w:tcPr>
            <w:tcW w:w="545" w:type="pct"/>
            <w:tcBorders>
              <w:top w:val="single" w:sz="4" w:space="0" w:color="002060"/>
              <w:left w:val="none" w:sz="0" w:space="0" w:color="auto"/>
              <w:bottom w:val="single" w:sz="4" w:space="0" w:color="002060"/>
              <w:right w:val="none" w:sz="0" w:space="0" w:color="auto"/>
            </w:tcBorders>
            <w:shd w:val="clear" w:color="auto" w:fill="auto"/>
            <w:vAlign w:val="center"/>
          </w:tcPr>
          <w:p w14:paraId="03E43046"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2018</w:t>
            </w:r>
          </w:p>
        </w:tc>
        <w:tc>
          <w:tcPr>
            <w:tcW w:w="509" w:type="pct"/>
            <w:tcBorders>
              <w:top w:val="single" w:sz="4" w:space="0" w:color="002060"/>
              <w:left w:val="none" w:sz="0" w:space="0" w:color="auto"/>
              <w:bottom w:val="single" w:sz="4" w:space="0" w:color="002060"/>
              <w:right w:val="none" w:sz="0" w:space="0" w:color="auto"/>
            </w:tcBorders>
            <w:shd w:val="clear" w:color="auto" w:fill="auto"/>
            <w:vAlign w:val="center"/>
          </w:tcPr>
          <w:p w14:paraId="641C9943"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2019</w:t>
            </w:r>
          </w:p>
        </w:tc>
        <w:tc>
          <w:tcPr>
            <w:tcW w:w="509" w:type="pct"/>
            <w:tcBorders>
              <w:top w:val="single" w:sz="4" w:space="0" w:color="002060"/>
              <w:left w:val="none" w:sz="0" w:space="0" w:color="auto"/>
              <w:bottom w:val="single" w:sz="4" w:space="0" w:color="002060"/>
              <w:right w:val="none" w:sz="0" w:space="0" w:color="auto"/>
            </w:tcBorders>
            <w:shd w:val="clear" w:color="auto" w:fill="auto"/>
            <w:vAlign w:val="center"/>
          </w:tcPr>
          <w:p w14:paraId="38308325"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2020</w:t>
            </w:r>
          </w:p>
        </w:tc>
        <w:tc>
          <w:tcPr>
            <w:tcW w:w="509" w:type="pct"/>
            <w:tcBorders>
              <w:top w:val="single" w:sz="4" w:space="0" w:color="002060"/>
              <w:left w:val="none" w:sz="0" w:space="0" w:color="auto"/>
              <w:bottom w:val="single" w:sz="4" w:space="0" w:color="002060"/>
              <w:right w:val="none" w:sz="0" w:space="0" w:color="auto"/>
            </w:tcBorders>
            <w:shd w:val="clear" w:color="auto" w:fill="auto"/>
            <w:vAlign w:val="center"/>
          </w:tcPr>
          <w:p w14:paraId="3823FA2F"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2021</w:t>
            </w:r>
          </w:p>
        </w:tc>
      </w:tr>
      <w:tr w:rsidR="00BA4876" w:rsidRPr="00A37BCE" w14:paraId="5FB45B91" w14:textId="77777777" w:rsidTr="00BA4876">
        <w:trPr>
          <w:trHeight w:val="48"/>
        </w:trPr>
        <w:tc>
          <w:tcPr>
            <w:tcW w:w="2283" w:type="pct"/>
            <w:shd w:val="clear" w:color="auto" w:fill="auto"/>
            <w:vAlign w:val="center"/>
          </w:tcPr>
          <w:p w14:paraId="0D5B3478" w14:textId="77777777" w:rsidR="00BA4876" w:rsidRPr="00A37BCE" w:rsidRDefault="00BA4876" w:rsidP="00BA4876">
            <w:pPr>
              <w:spacing w:line="276" w:lineRule="auto"/>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Јавни приходи</w:t>
            </w:r>
          </w:p>
        </w:tc>
        <w:tc>
          <w:tcPr>
            <w:tcW w:w="645" w:type="pct"/>
            <w:tcBorders>
              <w:top w:val="single" w:sz="4" w:space="0" w:color="002060"/>
            </w:tcBorders>
            <w:shd w:val="clear" w:color="auto" w:fill="auto"/>
            <w:vAlign w:val="center"/>
          </w:tcPr>
          <w:p w14:paraId="7EF8A353"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41,5</w:t>
            </w:r>
          </w:p>
        </w:tc>
        <w:tc>
          <w:tcPr>
            <w:tcW w:w="545" w:type="pct"/>
            <w:tcBorders>
              <w:top w:val="single" w:sz="4" w:space="0" w:color="002060"/>
            </w:tcBorders>
            <w:shd w:val="clear" w:color="auto" w:fill="auto"/>
            <w:vAlign w:val="center"/>
          </w:tcPr>
          <w:p w14:paraId="239EAF26"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41,1</w:t>
            </w:r>
          </w:p>
        </w:tc>
        <w:tc>
          <w:tcPr>
            <w:tcW w:w="509" w:type="pct"/>
            <w:tcBorders>
              <w:top w:val="single" w:sz="4" w:space="0" w:color="002060"/>
            </w:tcBorders>
            <w:shd w:val="clear" w:color="auto" w:fill="auto"/>
            <w:vAlign w:val="center"/>
          </w:tcPr>
          <w:p w14:paraId="19B2125C"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39,9</w:t>
            </w:r>
          </w:p>
        </w:tc>
        <w:tc>
          <w:tcPr>
            <w:tcW w:w="509" w:type="pct"/>
            <w:tcBorders>
              <w:top w:val="single" w:sz="4" w:space="0" w:color="002060"/>
            </w:tcBorders>
            <w:shd w:val="clear" w:color="auto" w:fill="auto"/>
            <w:vAlign w:val="center"/>
          </w:tcPr>
          <w:p w14:paraId="5F7706D2"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39,2</w:t>
            </w:r>
          </w:p>
        </w:tc>
        <w:tc>
          <w:tcPr>
            <w:tcW w:w="509" w:type="pct"/>
            <w:tcBorders>
              <w:top w:val="single" w:sz="4" w:space="0" w:color="002060"/>
            </w:tcBorders>
            <w:shd w:val="clear" w:color="auto" w:fill="auto"/>
            <w:vAlign w:val="center"/>
          </w:tcPr>
          <w:p w14:paraId="744D975A"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38,7</w:t>
            </w:r>
          </w:p>
        </w:tc>
      </w:tr>
      <w:tr w:rsidR="00BA4876" w:rsidRPr="00A37BCE" w14:paraId="01DB7682" w14:textId="77777777" w:rsidTr="00BA4876">
        <w:trPr>
          <w:cnfStyle w:val="000000100000" w:firstRow="0" w:lastRow="0" w:firstColumn="0" w:lastColumn="0" w:oddVBand="0" w:evenVBand="0" w:oddHBand="1" w:evenHBand="0" w:firstRowFirstColumn="0" w:firstRowLastColumn="0" w:lastRowFirstColumn="0" w:lastRowLastColumn="0"/>
          <w:trHeight w:val="48"/>
        </w:trPr>
        <w:tc>
          <w:tcPr>
            <w:tcW w:w="2283" w:type="pct"/>
            <w:tcBorders>
              <w:left w:val="none" w:sz="0" w:space="0" w:color="auto"/>
              <w:right w:val="none" w:sz="0" w:space="0" w:color="auto"/>
            </w:tcBorders>
            <w:shd w:val="clear" w:color="auto" w:fill="auto"/>
            <w:vAlign w:val="center"/>
          </w:tcPr>
          <w:p w14:paraId="2529BDE4" w14:textId="77777777" w:rsidR="00BA4876" w:rsidRPr="00A37BCE" w:rsidRDefault="00BA4876" w:rsidP="00BA4876">
            <w:pPr>
              <w:spacing w:line="276" w:lineRule="auto"/>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Јавни расходи</w:t>
            </w:r>
          </w:p>
        </w:tc>
        <w:tc>
          <w:tcPr>
            <w:tcW w:w="645" w:type="pct"/>
            <w:tcBorders>
              <w:left w:val="none" w:sz="0" w:space="0" w:color="auto"/>
              <w:right w:val="none" w:sz="0" w:space="0" w:color="auto"/>
            </w:tcBorders>
            <w:shd w:val="clear" w:color="auto" w:fill="auto"/>
            <w:vAlign w:val="center"/>
          </w:tcPr>
          <w:p w14:paraId="4D66A31A"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40,4</w:t>
            </w:r>
          </w:p>
        </w:tc>
        <w:tc>
          <w:tcPr>
            <w:tcW w:w="545" w:type="pct"/>
            <w:tcBorders>
              <w:left w:val="none" w:sz="0" w:space="0" w:color="auto"/>
              <w:right w:val="none" w:sz="0" w:space="0" w:color="auto"/>
            </w:tcBorders>
            <w:shd w:val="clear" w:color="auto" w:fill="auto"/>
            <w:vAlign w:val="center"/>
          </w:tcPr>
          <w:p w14:paraId="758BFD06"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40,6</w:t>
            </w:r>
          </w:p>
        </w:tc>
        <w:tc>
          <w:tcPr>
            <w:tcW w:w="509" w:type="pct"/>
            <w:tcBorders>
              <w:left w:val="none" w:sz="0" w:space="0" w:color="auto"/>
              <w:right w:val="none" w:sz="0" w:space="0" w:color="auto"/>
            </w:tcBorders>
            <w:shd w:val="clear" w:color="auto" w:fill="auto"/>
            <w:vAlign w:val="center"/>
          </w:tcPr>
          <w:p w14:paraId="1676D48E"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40,4</w:t>
            </w:r>
          </w:p>
        </w:tc>
        <w:tc>
          <w:tcPr>
            <w:tcW w:w="509" w:type="pct"/>
            <w:tcBorders>
              <w:left w:val="none" w:sz="0" w:space="0" w:color="auto"/>
              <w:right w:val="none" w:sz="0" w:space="0" w:color="auto"/>
            </w:tcBorders>
            <w:shd w:val="clear" w:color="auto" w:fill="auto"/>
            <w:vAlign w:val="center"/>
          </w:tcPr>
          <w:p w14:paraId="67C50B59"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39,7</w:t>
            </w:r>
          </w:p>
        </w:tc>
        <w:tc>
          <w:tcPr>
            <w:tcW w:w="509" w:type="pct"/>
            <w:tcBorders>
              <w:left w:val="none" w:sz="0" w:space="0" w:color="auto"/>
              <w:right w:val="none" w:sz="0" w:space="0" w:color="auto"/>
            </w:tcBorders>
            <w:shd w:val="clear" w:color="auto" w:fill="auto"/>
            <w:vAlign w:val="center"/>
          </w:tcPr>
          <w:p w14:paraId="0D514547"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39,2</w:t>
            </w:r>
          </w:p>
        </w:tc>
      </w:tr>
      <w:tr w:rsidR="00BA4876" w:rsidRPr="00A37BCE" w14:paraId="0E24839D" w14:textId="77777777" w:rsidTr="00BA4876">
        <w:trPr>
          <w:trHeight w:val="90"/>
        </w:trPr>
        <w:tc>
          <w:tcPr>
            <w:tcW w:w="2283" w:type="pct"/>
            <w:shd w:val="clear" w:color="auto" w:fill="auto"/>
            <w:vAlign w:val="center"/>
          </w:tcPr>
          <w:p w14:paraId="5B5E182A" w14:textId="77777777" w:rsidR="00BA4876" w:rsidRPr="00A37BCE" w:rsidRDefault="00BA4876" w:rsidP="00BA4876">
            <w:pPr>
              <w:spacing w:line="276" w:lineRule="auto"/>
              <w:rPr>
                <w:rFonts w:asciiTheme="minorHAnsi" w:hAnsiTheme="minorHAnsi" w:cstheme="minorHAnsi"/>
                <w:color w:val="002060"/>
                <w:sz w:val="18"/>
                <w:szCs w:val="18"/>
                <w:lang w:val="sr-Cyrl-RS"/>
              </w:rPr>
            </w:pPr>
          </w:p>
        </w:tc>
        <w:tc>
          <w:tcPr>
            <w:tcW w:w="645" w:type="pct"/>
            <w:shd w:val="clear" w:color="auto" w:fill="auto"/>
            <w:vAlign w:val="center"/>
          </w:tcPr>
          <w:p w14:paraId="43D1F347"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p>
        </w:tc>
        <w:tc>
          <w:tcPr>
            <w:tcW w:w="545" w:type="pct"/>
            <w:shd w:val="clear" w:color="auto" w:fill="auto"/>
            <w:vAlign w:val="center"/>
          </w:tcPr>
          <w:p w14:paraId="686ECA79"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p>
        </w:tc>
        <w:tc>
          <w:tcPr>
            <w:tcW w:w="509" w:type="pct"/>
            <w:shd w:val="clear" w:color="auto" w:fill="auto"/>
            <w:vAlign w:val="center"/>
          </w:tcPr>
          <w:p w14:paraId="7D5A826F"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p>
        </w:tc>
        <w:tc>
          <w:tcPr>
            <w:tcW w:w="509" w:type="pct"/>
            <w:shd w:val="clear" w:color="auto" w:fill="auto"/>
            <w:vAlign w:val="center"/>
          </w:tcPr>
          <w:p w14:paraId="144ACD8B"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p>
        </w:tc>
        <w:tc>
          <w:tcPr>
            <w:tcW w:w="509" w:type="pct"/>
            <w:shd w:val="clear" w:color="auto" w:fill="auto"/>
            <w:vAlign w:val="center"/>
          </w:tcPr>
          <w:p w14:paraId="14BC12A8"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p>
        </w:tc>
      </w:tr>
      <w:tr w:rsidR="00BA4876" w:rsidRPr="00A37BCE" w14:paraId="0C4E5150" w14:textId="77777777" w:rsidTr="00BA4876">
        <w:trPr>
          <w:cnfStyle w:val="000000100000" w:firstRow="0" w:lastRow="0" w:firstColumn="0" w:lastColumn="0" w:oddVBand="0" w:evenVBand="0" w:oddHBand="1" w:evenHBand="0" w:firstRowFirstColumn="0" w:firstRowLastColumn="0" w:lastRowFirstColumn="0" w:lastRowLastColumn="0"/>
          <w:trHeight w:val="48"/>
        </w:trPr>
        <w:tc>
          <w:tcPr>
            <w:tcW w:w="2283" w:type="pct"/>
            <w:tcBorders>
              <w:left w:val="none" w:sz="0" w:space="0" w:color="auto"/>
              <w:right w:val="none" w:sz="0" w:space="0" w:color="auto"/>
            </w:tcBorders>
            <w:shd w:val="clear" w:color="auto" w:fill="auto"/>
            <w:vAlign w:val="center"/>
          </w:tcPr>
          <w:p w14:paraId="29D9C393" w14:textId="77777777" w:rsidR="00BA4876" w:rsidRPr="00A37BCE" w:rsidRDefault="00BA4876" w:rsidP="00BA4876">
            <w:pPr>
              <w:spacing w:line="276" w:lineRule="auto"/>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Консолидовани фискални резултат</w:t>
            </w:r>
          </w:p>
        </w:tc>
        <w:tc>
          <w:tcPr>
            <w:tcW w:w="645" w:type="pct"/>
            <w:tcBorders>
              <w:left w:val="none" w:sz="0" w:space="0" w:color="auto"/>
              <w:right w:val="none" w:sz="0" w:space="0" w:color="auto"/>
            </w:tcBorders>
            <w:shd w:val="clear" w:color="auto" w:fill="auto"/>
            <w:vAlign w:val="center"/>
          </w:tcPr>
          <w:p w14:paraId="2230B852"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1,1</w:t>
            </w:r>
          </w:p>
        </w:tc>
        <w:tc>
          <w:tcPr>
            <w:tcW w:w="545" w:type="pct"/>
            <w:tcBorders>
              <w:left w:val="none" w:sz="0" w:space="0" w:color="auto"/>
              <w:right w:val="none" w:sz="0" w:space="0" w:color="auto"/>
            </w:tcBorders>
            <w:shd w:val="clear" w:color="auto" w:fill="auto"/>
            <w:vAlign w:val="center"/>
          </w:tcPr>
          <w:p w14:paraId="421BD411"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0,6</w:t>
            </w:r>
          </w:p>
        </w:tc>
        <w:tc>
          <w:tcPr>
            <w:tcW w:w="509" w:type="pct"/>
            <w:tcBorders>
              <w:left w:val="none" w:sz="0" w:space="0" w:color="auto"/>
              <w:right w:val="none" w:sz="0" w:space="0" w:color="auto"/>
            </w:tcBorders>
            <w:shd w:val="clear" w:color="auto" w:fill="auto"/>
            <w:vAlign w:val="center"/>
          </w:tcPr>
          <w:p w14:paraId="40A36572"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-0,5</w:t>
            </w:r>
          </w:p>
        </w:tc>
        <w:tc>
          <w:tcPr>
            <w:tcW w:w="509" w:type="pct"/>
            <w:tcBorders>
              <w:left w:val="none" w:sz="0" w:space="0" w:color="auto"/>
              <w:right w:val="none" w:sz="0" w:space="0" w:color="auto"/>
            </w:tcBorders>
            <w:shd w:val="clear" w:color="auto" w:fill="auto"/>
            <w:vAlign w:val="center"/>
          </w:tcPr>
          <w:p w14:paraId="57779503"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-0,5</w:t>
            </w:r>
          </w:p>
        </w:tc>
        <w:tc>
          <w:tcPr>
            <w:tcW w:w="509" w:type="pct"/>
            <w:tcBorders>
              <w:left w:val="none" w:sz="0" w:space="0" w:color="auto"/>
              <w:right w:val="none" w:sz="0" w:space="0" w:color="auto"/>
            </w:tcBorders>
            <w:shd w:val="clear" w:color="auto" w:fill="auto"/>
            <w:vAlign w:val="center"/>
          </w:tcPr>
          <w:p w14:paraId="219C82B0"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-0,5</w:t>
            </w:r>
          </w:p>
        </w:tc>
      </w:tr>
      <w:tr w:rsidR="00BA4876" w:rsidRPr="00A37BCE" w14:paraId="746F5D2D" w14:textId="77777777" w:rsidTr="00BA4876">
        <w:trPr>
          <w:trHeight w:val="48"/>
        </w:trPr>
        <w:tc>
          <w:tcPr>
            <w:tcW w:w="2283" w:type="pct"/>
            <w:shd w:val="clear" w:color="auto" w:fill="auto"/>
            <w:vAlign w:val="center"/>
          </w:tcPr>
          <w:p w14:paraId="33922675" w14:textId="77777777" w:rsidR="00BA4876" w:rsidRPr="00A37BCE" w:rsidRDefault="00BA4876" w:rsidP="00BA4876">
            <w:pPr>
              <w:spacing w:line="276" w:lineRule="auto"/>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Примарни консолидовани резултат</w:t>
            </w:r>
          </w:p>
        </w:tc>
        <w:tc>
          <w:tcPr>
            <w:tcW w:w="645" w:type="pct"/>
            <w:shd w:val="clear" w:color="auto" w:fill="auto"/>
            <w:vAlign w:val="center"/>
          </w:tcPr>
          <w:p w14:paraId="08DA196B"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3,6</w:t>
            </w:r>
          </w:p>
        </w:tc>
        <w:tc>
          <w:tcPr>
            <w:tcW w:w="545" w:type="pct"/>
            <w:shd w:val="clear" w:color="auto" w:fill="auto"/>
            <w:vAlign w:val="center"/>
          </w:tcPr>
          <w:p w14:paraId="320DD937"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2,7</w:t>
            </w:r>
          </w:p>
        </w:tc>
        <w:tc>
          <w:tcPr>
            <w:tcW w:w="509" w:type="pct"/>
            <w:shd w:val="clear" w:color="auto" w:fill="auto"/>
            <w:vAlign w:val="center"/>
          </w:tcPr>
          <w:p w14:paraId="5852E76C"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1,4</w:t>
            </w:r>
          </w:p>
        </w:tc>
        <w:tc>
          <w:tcPr>
            <w:tcW w:w="509" w:type="pct"/>
            <w:shd w:val="clear" w:color="auto" w:fill="auto"/>
            <w:vAlign w:val="center"/>
          </w:tcPr>
          <w:p w14:paraId="7F850F45"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1,3</w:t>
            </w:r>
          </w:p>
        </w:tc>
        <w:tc>
          <w:tcPr>
            <w:tcW w:w="509" w:type="pct"/>
            <w:shd w:val="clear" w:color="auto" w:fill="auto"/>
            <w:vAlign w:val="center"/>
          </w:tcPr>
          <w:p w14:paraId="2EA7BFA1"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1,1</w:t>
            </w:r>
          </w:p>
        </w:tc>
      </w:tr>
      <w:tr w:rsidR="00BA4876" w:rsidRPr="00A37BCE" w14:paraId="2FEE129A" w14:textId="77777777" w:rsidTr="00BA4876">
        <w:trPr>
          <w:cnfStyle w:val="000000100000" w:firstRow="0" w:lastRow="0" w:firstColumn="0" w:lastColumn="0" w:oddVBand="0" w:evenVBand="0" w:oddHBand="1" w:evenHBand="0" w:firstRowFirstColumn="0" w:firstRowLastColumn="0" w:lastRowFirstColumn="0" w:lastRowLastColumn="0"/>
          <w:trHeight w:val="48"/>
        </w:trPr>
        <w:tc>
          <w:tcPr>
            <w:tcW w:w="2283" w:type="pct"/>
            <w:tcBorders>
              <w:left w:val="none" w:sz="0" w:space="0" w:color="auto"/>
              <w:right w:val="none" w:sz="0" w:space="0" w:color="auto"/>
            </w:tcBorders>
            <w:shd w:val="clear" w:color="auto" w:fill="auto"/>
            <w:vAlign w:val="center"/>
          </w:tcPr>
          <w:p w14:paraId="6F567172" w14:textId="77777777" w:rsidR="00BA4876" w:rsidRPr="00A37BCE" w:rsidRDefault="00BA4876" w:rsidP="00BA4876">
            <w:pPr>
              <w:spacing w:line="276" w:lineRule="auto"/>
              <w:rPr>
                <w:rFonts w:asciiTheme="minorHAnsi" w:hAnsiTheme="minorHAnsi" w:cstheme="minorHAnsi"/>
                <w:color w:val="002060"/>
                <w:sz w:val="18"/>
                <w:szCs w:val="18"/>
                <w:lang w:val="sr-Cyrl-RS"/>
              </w:rPr>
            </w:pPr>
          </w:p>
        </w:tc>
        <w:tc>
          <w:tcPr>
            <w:tcW w:w="645" w:type="pct"/>
            <w:tcBorders>
              <w:left w:val="none" w:sz="0" w:space="0" w:color="auto"/>
              <w:right w:val="none" w:sz="0" w:space="0" w:color="auto"/>
            </w:tcBorders>
            <w:shd w:val="clear" w:color="auto" w:fill="auto"/>
            <w:vAlign w:val="center"/>
          </w:tcPr>
          <w:p w14:paraId="624B040B"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p>
        </w:tc>
        <w:tc>
          <w:tcPr>
            <w:tcW w:w="545" w:type="pct"/>
            <w:tcBorders>
              <w:left w:val="none" w:sz="0" w:space="0" w:color="auto"/>
              <w:right w:val="none" w:sz="0" w:space="0" w:color="auto"/>
            </w:tcBorders>
            <w:shd w:val="clear" w:color="auto" w:fill="auto"/>
            <w:vAlign w:val="center"/>
          </w:tcPr>
          <w:p w14:paraId="72E70DE8"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p>
        </w:tc>
        <w:tc>
          <w:tcPr>
            <w:tcW w:w="509" w:type="pct"/>
            <w:tcBorders>
              <w:left w:val="none" w:sz="0" w:space="0" w:color="auto"/>
              <w:right w:val="none" w:sz="0" w:space="0" w:color="auto"/>
            </w:tcBorders>
            <w:shd w:val="clear" w:color="auto" w:fill="auto"/>
            <w:vAlign w:val="center"/>
          </w:tcPr>
          <w:p w14:paraId="250D7D69"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p>
        </w:tc>
        <w:tc>
          <w:tcPr>
            <w:tcW w:w="509" w:type="pct"/>
            <w:tcBorders>
              <w:left w:val="none" w:sz="0" w:space="0" w:color="auto"/>
              <w:right w:val="none" w:sz="0" w:space="0" w:color="auto"/>
            </w:tcBorders>
            <w:shd w:val="clear" w:color="auto" w:fill="auto"/>
            <w:vAlign w:val="center"/>
          </w:tcPr>
          <w:p w14:paraId="1190F000"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p>
        </w:tc>
        <w:tc>
          <w:tcPr>
            <w:tcW w:w="509" w:type="pct"/>
            <w:tcBorders>
              <w:left w:val="none" w:sz="0" w:space="0" w:color="auto"/>
              <w:right w:val="none" w:sz="0" w:space="0" w:color="auto"/>
            </w:tcBorders>
            <w:shd w:val="clear" w:color="auto" w:fill="auto"/>
            <w:vAlign w:val="center"/>
          </w:tcPr>
          <w:p w14:paraId="0053F517"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p>
        </w:tc>
      </w:tr>
      <w:tr w:rsidR="00BA4876" w:rsidRPr="00A37BCE" w14:paraId="701EE4AD" w14:textId="77777777" w:rsidTr="00BA4876">
        <w:trPr>
          <w:trHeight w:val="48"/>
        </w:trPr>
        <w:tc>
          <w:tcPr>
            <w:tcW w:w="2283" w:type="pct"/>
            <w:shd w:val="clear" w:color="auto" w:fill="auto"/>
            <w:vAlign w:val="center"/>
          </w:tcPr>
          <w:p w14:paraId="5B4C6DF8" w14:textId="77777777" w:rsidR="00BA4876" w:rsidRPr="00A37BCE" w:rsidRDefault="00BA4876" w:rsidP="00BA4876">
            <w:pPr>
              <w:spacing w:line="276" w:lineRule="auto"/>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Дуг опште државе</w:t>
            </w:r>
          </w:p>
        </w:tc>
        <w:tc>
          <w:tcPr>
            <w:tcW w:w="645" w:type="pct"/>
            <w:shd w:val="clear" w:color="auto" w:fill="auto"/>
            <w:vAlign w:val="center"/>
          </w:tcPr>
          <w:p w14:paraId="1E23AB06"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58,7</w:t>
            </w:r>
          </w:p>
        </w:tc>
        <w:tc>
          <w:tcPr>
            <w:tcW w:w="545" w:type="pct"/>
            <w:shd w:val="clear" w:color="auto" w:fill="auto"/>
            <w:vAlign w:val="center"/>
          </w:tcPr>
          <w:p w14:paraId="5964B62E"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54,4</w:t>
            </w:r>
          </w:p>
        </w:tc>
        <w:tc>
          <w:tcPr>
            <w:tcW w:w="509" w:type="pct"/>
            <w:shd w:val="clear" w:color="auto" w:fill="auto"/>
            <w:vAlign w:val="center"/>
          </w:tcPr>
          <w:p w14:paraId="07ADFAF9"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51,7</w:t>
            </w:r>
          </w:p>
        </w:tc>
        <w:tc>
          <w:tcPr>
            <w:tcW w:w="509" w:type="pct"/>
            <w:shd w:val="clear" w:color="auto" w:fill="auto"/>
            <w:vAlign w:val="center"/>
          </w:tcPr>
          <w:p w14:paraId="3881EA64"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49,3</w:t>
            </w:r>
          </w:p>
        </w:tc>
        <w:tc>
          <w:tcPr>
            <w:tcW w:w="509" w:type="pct"/>
            <w:shd w:val="clear" w:color="auto" w:fill="auto"/>
            <w:vAlign w:val="center"/>
          </w:tcPr>
          <w:p w14:paraId="6B09C030"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46,9</w:t>
            </w:r>
          </w:p>
        </w:tc>
      </w:tr>
      <w:tr w:rsidR="00BA4876" w:rsidRPr="00A37BCE" w14:paraId="3AA73A9E" w14:textId="77777777" w:rsidTr="00BA4876">
        <w:trPr>
          <w:cnfStyle w:val="000000100000" w:firstRow="0" w:lastRow="0" w:firstColumn="0" w:lastColumn="0" w:oddVBand="0" w:evenVBand="0" w:oddHBand="1" w:evenHBand="0" w:firstRowFirstColumn="0" w:firstRowLastColumn="0" w:lastRowFirstColumn="0" w:lastRowLastColumn="0"/>
          <w:trHeight w:val="48"/>
        </w:trPr>
        <w:tc>
          <w:tcPr>
            <w:tcW w:w="2283" w:type="pct"/>
            <w:tcBorders>
              <w:left w:val="none" w:sz="0" w:space="0" w:color="auto"/>
              <w:bottom w:val="single" w:sz="4" w:space="0" w:color="002060"/>
              <w:right w:val="none" w:sz="0" w:space="0" w:color="auto"/>
            </w:tcBorders>
            <w:shd w:val="clear" w:color="auto" w:fill="auto"/>
            <w:vAlign w:val="center"/>
          </w:tcPr>
          <w:p w14:paraId="6C37A8C5" w14:textId="77777777" w:rsidR="00BA4876" w:rsidRPr="00A37BCE" w:rsidRDefault="00BA4876" w:rsidP="00BA4876">
            <w:pPr>
              <w:spacing w:line="276" w:lineRule="auto"/>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Реална стопа раста БДП</w:t>
            </w:r>
          </w:p>
        </w:tc>
        <w:tc>
          <w:tcPr>
            <w:tcW w:w="645" w:type="pct"/>
            <w:tcBorders>
              <w:left w:val="none" w:sz="0" w:space="0" w:color="auto"/>
              <w:bottom w:val="single" w:sz="4" w:space="0" w:color="002060"/>
              <w:right w:val="none" w:sz="0" w:space="0" w:color="auto"/>
            </w:tcBorders>
            <w:shd w:val="clear" w:color="auto" w:fill="auto"/>
            <w:vAlign w:val="center"/>
          </w:tcPr>
          <w:p w14:paraId="2E528B5F"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2,0%</w:t>
            </w:r>
          </w:p>
        </w:tc>
        <w:tc>
          <w:tcPr>
            <w:tcW w:w="545" w:type="pct"/>
            <w:tcBorders>
              <w:left w:val="none" w:sz="0" w:space="0" w:color="auto"/>
              <w:bottom w:val="single" w:sz="4" w:space="0" w:color="002060"/>
              <w:right w:val="none" w:sz="0" w:space="0" w:color="auto"/>
            </w:tcBorders>
            <w:shd w:val="clear" w:color="auto" w:fill="auto"/>
            <w:vAlign w:val="center"/>
          </w:tcPr>
          <w:p w14:paraId="2FB99474"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4,2%</w:t>
            </w:r>
          </w:p>
        </w:tc>
        <w:tc>
          <w:tcPr>
            <w:tcW w:w="509" w:type="pct"/>
            <w:tcBorders>
              <w:left w:val="none" w:sz="0" w:space="0" w:color="auto"/>
              <w:bottom w:val="single" w:sz="4" w:space="0" w:color="002060"/>
              <w:right w:val="none" w:sz="0" w:space="0" w:color="auto"/>
            </w:tcBorders>
            <w:shd w:val="clear" w:color="auto" w:fill="auto"/>
            <w:vAlign w:val="center"/>
          </w:tcPr>
          <w:p w14:paraId="7D80F0EA"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3,5%</w:t>
            </w:r>
          </w:p>
        </w:tc>
        <w:tc>
          <w:tcPr>
            <w:tcW w:w="509" w:type="pct"/>
            <w:tcBorders>
              <w:left w:val="none" w:sz="0" w:space="0" w:color="auto"/>
              <w:bottom w:val="single" w:sz="4" w:space="0" w:color="002060"/>
              <w:right w:val="none" w:sz="0" w:space="0" w:color="auto"/>
            </w:tcBorders>
            <w:shd w:val="clear" w:color="auto" w:fill="auto"/>
            <w:vAlign w:val="center"/>
          </w:tcPr>
          <w:p w14:paraId="56A74BD9"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4,0%</w:t>
            </w:r>
          </w:p>
        </w:tc>
        <w:tc>
          <w:tcPr>
            <w:tcW w:w="509" w:type="pct"/>
            <w:tcBorders>
              <w:left w:val="none" w:sz="0" w:space="0" w:color="auto"/>
              <w:bottom w:val="single" w:sz="4" w:space="0" w:color="002060"/>
              <w:right w:val="none" w:sz="0" w:space="0" w:color="auto"/>
            </w:tcBorders>
            <w:shd w:val="clear" w:color="auto" w:fill="auto"/>
            <w:vAlign w:val="center"/>
          </w:tcPr>
          <w:p w14:paraId="6B15B3FF" w14:textId="77777777" w:rsidR="00BA4876" w:rsidRPr="00A37BCE" w:rsidRDefault="00BA4876" w:rsidP="00BA4876">
            <w:pPr>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4,0%</w:t>
            </w:r>
          </w:p>
        </w:tc>
      </w:tr>
    </w:tbl>
    <w:p w14:paraId="3C809857" w14:textId="77777777" w:rsidR="00BA4876" w:rsidRPr="00A37BCE" w:rsidRDefault="00BA4876" w:rsidP="00BA4876">
      <w:pPr>
        <w:spacing w:after="120" w:line="276" w:lineRule="auto"/>
        <w:jc w:val="both"/>
        <w:rPr>
          <w:rFonts w:eastAsia="MS PGothic" w:cstheme="minorHAnsi"/>
          <w:color w:val="000000" w:themeColor="text1"/>
          <w:sz w:val="20"/>
          <w:szCs w:val="20"/>
          <w:lang w:val="sr-Cyrl-RS" w:eastAsia="ja-JP"/>
        </w:rPr>
        <w:sectPr w:rsidR="00BA4876" w:rsidRPr="00A37BCE" w:rsidSect="00BA4876">
          <w:type w:val="continuous"/>
          <w:pgSz w:w="12240" w:h="15840"/>
          <w:pgMar w:top="1440" w:right="1440" w:bottom="1440" w:left="1440" w:header="720" w:footer="720" w:gutter="0"/>
          <w:cols w:space="720"/>
          <w:docGrid w:linePitch="360"/>
        </w:sectPr>
      </w:pPr>
      <w:r w:rsidRPr="00A37BCE">
        <w:rPr>
          <w:rFonts w:eastAsia="Calibri" w:cstheme="minorHAnsi"/>
          <w:bCs/>
          <w:color w:val="44546A" w:themeColor="text2"/>
          <w:sz w:val="16"/>
          <w:szCs w:val="20"/>
          <w:lang w:val="sr-Cyrl-RS" w:eastAsia="ja-JP"/>
        </w:rPr>
        <w:t xml:space="preserve">Извор: </w:t>
      </w:r>
      <w:r w:rsidRPr="00A37BCE">
        <w:rPr>
          <w:rFonts w:cstheme="minorHAnsi"/>
          <w:color w:val="44546A" w:themeColor="text2"/>
          <w:sz w:val="16"/>
          <w:szCs w:val="20"/>
          <w:lang w:val="sr-Cyrl-RS"/>
        </w:rPr>
        <w:t>Министарство финансија</w:t>
      </w:r>
    </w:p>
    <w:p w14:paraId="2224F015" w14:textId="77777777" w:rsidR="00BA4876" w:rsidRPr="00A37BCE" w:rsidRDefault="00BA4876" w:rsidP="00BA4876">
      <w:pPr>
        <w:spacing w:line="276" w:lineRule="auto"/>
        <w:jc w:val="both"/>
        <w:rPr>
          <w:rFonts w:cstheme="minorHAnsi"/>
          <w:color w:val="44546A" w:themeColor="text2"/>
          <w:sz w:val="20"/>
          <w:lang w:val="sr-Cyrl-RS"/>
        </w:rPr>
      </w:pPr>
      <w:r w:rsidRPr="00A37BCE">
        <w:rPr>
          <w:rFonts w:eastAsia="MS PGothic" w:cstheme="minorHAnsi"/>
          <w:color w:val="44546A" w:themeColor="text2"/>
          <w:sz w:val="20"/>
          <w:szCs w:val="20"/>
          <w:lang w:val="sr-Cyrl-RS" w:eastAsia="ja-JP"/>
        </w:rPr>
        <w:lastRenderedPageBreak/>
        <w:t>Путања јавног дуга је преокренута 2016. године кад је учешће јавног дуга у БДП почело да се смањује. Главни циљеви фискалне консолидације и програма са ММФ били су управо стабилизација јавних финансија и смањење учешћа јавног дуга у БДП. Смањење</w:t>
      </w:r>
      <w:r w:rsidRPr="00A37BCE">
        <w:rPr>
          <w:rFonts w:cstheme="minorHAnsi"/>
          <w:color w:val="44546A" w:themeColor="text2"/>
          <w:sz w:val="20"/>
          <w:lang w:val="sr-Cyrl-RS"/>
        </w:rPr>
        <w:t xml:space="preserve"> учешћа дуга је уско везано за снижавање дефицита као главног фактора задуживања, тако да динамика спуштања дефицита опредељује и промену кретања дуга. Финансијске трансакције, као што је замена скупог дуга јефтинијим, као и боља позиција државе на међународном финансијском тржишту, допринеће даљем снижавању дуга.</w:t>
      </w:r>
    </w:p>
    <w:p w14:paraId="7E1B1F5B" w14:textId="77777777" w:rsidR="00BA4876" w:rsidRPr="00A37BCE" w:rsidRDefault="00BA4876" w:rsidP="00BA4876">
      <w:pPr>
        <w:spacing w:line="276" w:lineRule="auto"/>
        <w:jc w:val="center"/>
        <w:rPr>
          <w:rFonts w:cstheme="minorHAnsi"/>
          <w:b/>
          <w:color w:val="2F5496" w:themeColor="accent1" w:themeShade="BF"/>
          <w:sz w:val="20"/>
          <w:lang w:val="sr-Cyrl-RS"/>
        </w:rPr>
      </w:pPr>
      <w:r w:rsidRPr="00A37BCE">
        <w:rPr>
          <w:rFonts w:cstheme="minorHAnsi"/>
          <w:b/>
          <w:color w:val="2F5496" w:themeColor="accent1" w:themeShade="BF"/>
          <w:sz w:val="20"/>
          <w:lang w:val="sr-Cyrl-RS"/>
        </w:rPr>
        <w:t>Фискални резултат и јавни дуг, % БДП</w:t>
      </w:r>
    </w:p>
    <w:p w14:paraId="718EDC11" w14:textId="77777777" w:rsidR="00BA4876" w:rsidRPr="00A37BCE" w:rsidRDefault="00BA4876" w:rsidP="00BA4876">
      <w:pPr>
        <w:spacing w:line="276" w:lineRule="auto"/>
        <w:jc w:val="both"/>
        <w:rPr>
          <w:rFonts w:cstheme="minorHAnsi"/>
          <w:color w:val="44546A" w:themeColor="text2"/>
          <w:sz w:val="20"/>
          <w:lang w:val="sr-Cyrl-RS"/>
        </w:rPr>
      </w:pPr>
      <w:r w:rsidRPr="00A37BCE">
        <w:rPr>
          <w:rFonts w:cstheme="minorHAnsi"/>
          <w:noProof/>
          <w:color w:val="44546A" w:themeColor="text2"/>
          <w:sz w:val="20"/>
        </w:rPr>
        <w:drawing>
          <wp:inline distT="0" distB="0" distL="0" distR="0" wp14:anchorId="15951EC0" wp14:editId="14C97B40">
            <wp:extent cx="2742737" cy="1344936"/>
            <wp:effectExtent l="0" t="0" r="635" b="762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g i deficit.PNG"/>
                    <pic:cNvPicPr/>
                  </pic:nvPicPr>
                  <pic:blipFill>
                    <a:blip r:embed="rId66">
                      <a:extLst>
                        <a:ext uri="{28A0092B-C50C-407E-A947-70E740481C1C}">
                          <a14:useLocalDpi xmlns:a14="http://schemas.microsoft.com/office/drawing/2010/main" val="0"/>
                        </a:ext>
                      </a:extLst>
                    </a:blip>
                    <a:stretch>
                      <a:fillRect/>
                    </a:stretch>
                  </pic:blipFill>
                  <pic:spPr>
                    <a:xfrm>
                      <a:off x="0" y="0"/>
                      <a:ext cx="2749139" cy="1348075"/>
                    </a:xfrm>
                    <a:prstGeom prst="rect">
                      <a:avLst/>
                    </a:prstGeom>
                  </pic:spPr>
                </pic:pic>
              </a:graphicData>
            </a:graphic>
          </wp:inline>
        </w:drawing>
      </w:r>
    </w:p>
    <w:p w14:paraId="109D7BAE" w14:textId="73374EFB" w:rsidR="00BA4876" w:rsidRPr="00A37BCE" w:rsidRDefault="00BA4876" w:rsidP="00BA4876">
      <w:pPr>
        <w:spacing w:after="0" w:line="276" w:lineRule="auto"/>
        <w:jc w:val="both"/>
        <w:rPr>
          <w:rFonts w:eastAsia="Times New Roman" w:cstheme="minorHAnsi"/>
          <w:b/>
          <w:bCs/>
          <w:color w:val="44546A" w:themeColor="text2"/>
          <w:sz w:val="20"/>
          <w:szCs w:val="20"/>
          <w:lang w:val="sr-Cyrl-RS" w:eastAsia="ja-JP"/>
        </w:rPr>
      </w:pPr>
      <w:r w:rsidRPr="00A37BCE">
        <w:rPr>
          <w:rFonts w:eastAsia="MS PGothic" w:cstheme="minorHAnsi"/>
          <w:color w:val="44546A" w:themeColor="text2"/>
          <w:sz w:val="20"/>
          <w:szCs w:val="20"/>
          <w:lang w:val="sr-Cyrl-RS" w:eastAsia="ja-JP"/>
        </w:rPr>
        <w:t>У наредном периоду дефицит опште државе ће се стабилизовати на нивоу од око 0,5% БДП, што је одрживи ниво који омогућава наставак смањења јавног дуга.</w:t>
      </w:r>
      <w:r w:rsidRPr="00A37BCE">
        <w:rPr>
          <w:rFonts w:eastAsia="MS PGothic" w:cstheme="minorHAnsi"/>
          <w:b/>
          <w:color w:val="2F5496" w:themeColor="accent1" w:themeShade="BF"/>
          <w:sz w:val="20"/>
          <w:szCs w:val="20"/>
          <w:lang w:val="sr-Cyrl-RS" w:eastAsia="ja-JP"/>
        </w:rPr>
        <w:t xml:space="preserve"> </w:t>
      </w:r>
      <w:r w:rsidRPr="00A37BCE">
        <w:rPr>
          <w:rFonts w:eastAsia="Calibri" w:cstheme="minorHAnsi"/>
          <w:color w:val="44546A" w:themeColor="text2"/>
          <w:sz w:val="20"/>
          <w:szCs w:val="20"/>
          <w:lang w:val="sr-Cyrl-RS" w:eastAsia="ja-JP"/>
        </w:rPr>
        <w:t xml:space="preserve">Уз очекиване макроекономске перформансе, у наредном средњорочном </w:t>
      </w:r>
      <w:r w:rsidRPr="00A37BCE">
        <w:rPr>
          <w:rFonts w:eastAsia="Calibri" w:cstheme="minorHAnsi"/>
          <w:color w:val="44546A" w:themeColor="text2"/>
          <w:sz w:val="20"/>
          <w:szCs w:val="20"/>
          <w:lang w:val="sr-Cyrl-RS" w:eastAsia="ja-JP"/>
        </w:rPr>
        <w:lastRenderedPageBreak/>
        <w:t>периоду, ниво јавног дуга би требало да се спусти</w:t>
      </w:r>
      <w:r w:rsidR="00BB1858" w:rsidRPr="00A37BCE">
        <w:rPr>
          <w:rFonts w:eastAsia="Calibri" w:cstheme="minorHAnsi"/>
          <w:color w:val="44546A" w:themeColor="text2"/>
          <w:sz w:val="20"/>
          <w:szCs w:val="20"/>
          <w:lang w:val="sr-Cyrl-RS" w:eastAsia="ja-JP"/>
        </w:rPr>
        <w:t xml:space="preserve"> </w:t>
      </w:r>
      <w:r w:rsidRPr="00A37BCE">
        <w:rPr>
          <w:rFonts w:eastAsia="Calibri" w:cstheme="minorHAnsi"/>
          <w:color w:val="44546A" w:themeColor="text2"/>
          <w:sz w:val="20"/>
          <w:szCs w:val="20"/>
          <w:lang w:val="sr-Cyrl-RS" w:eastAsia="ja-JP"/>
        </w:rPr>
        <w:t xml:space="preserve">испод 50% БДП. Добри резултати фискалне консолидације омогућили су умерену релаксацију фискалне политике, пре свега на расходној страни, у виду повећања јавних инвестиција, укидања кризних мера и повећања плата и пензија, али тако да се њихово учешће у БДП не повећава. На приходној страни главна мера ће бити смањење доприноса за незапосленост што ће смањити пореско оптерећење зарада. Процес реструктурирања јавних и некадашњих друштвених предузећа се наставља како би се смањило оптерећење јавних финансија и целе привреде. </w:t>
      </w:r>
      <w:r w:rsidRPr="00A37BCE">
        <w:rPr>
          <w:rFonts w:eastAsia="Times New Roman" w:cstheme="minorHAnsi"/>
          <w:bCs/>
          <w:color w:val="44546A" w:themeColor="text2"/>
          <w:sz w:val="20"/>
          <w:szCs w:val="20"/>
          <w:lang w:val="sr-Cyrl-RS" w:eastAsia="ja-JP"/>
        </w:rPr>
        <w:t>У случају повољних макроекономских и фискалних кретања и остваривања бољих резултата створени фискални простор би могао да се искористи за даље пореско растерећење привреде.</w:t>
      </w:r>
    </w:p>
    <w:p w14:paraId="049E6D4C" w14:textId="77777777" w:rsidR="00BA4876" w:rsidRPr="00A37BCE" w:rsidRDefault="00BA4876" w:rsidP="00BA4876">
      <w:pPr>
        <w:keepNext/>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 xml:space="preserve">Пројекција прихода у периоду од 2019. до 2021. године израђена је на основу: </w:t>
      </w:r>
    </w:p>
    <w:p w14:paraId="4CD3C118" w14:textId="134AF8A1" w:rsidR="00BA4876" w:rsidRPr="00A37BCE" w:rsidRDefault="00BA4876" w:rsidP="00BA4876">
      <w:pPr>
        <w:numPr>
          <w:ilvl w:val="0"/>
          <w:numId w:val="3"/>
        </w:numPr>
        <w:spacing w:after="120" w:line="276" w:lineRule="auto"/>
        <w:ind w:left="180" w:hanging="180"/>
        <w:contextualSpacing/>
        <w:jc w:val="both"/>
        <w:rPr>
          <w:rFonts w:eastAsia="Calibri" w:cstheme="minorHAnsi"/>
          <w:color w:val="44546A" w:themeColor="text2"/>
          <w:sz w:val="20"/>
          <w:lang w:val="sr-Cyrl-RS"/>
        </w:rPr>
      </w:pPr>
      <w:r w:rsidRPr="00A37BCE">
        <w:rPr>
          <w:rFonts w:eastAsia="Calibri" w:cstheme="minorHAnsi"/>
          <w:color w:val="44546A" w:themeColor="text2"/>
          <w:sz w:val="20"/>
          <w:lang w:val="sr-Cyrl-RS"/>
        </w:rPr>
        <w:t xml:space="preserve">пројекције кретања најважнијих </w:t>
      </w:r>
      <w:r w:rsidR="0047251C" w:rsidRPr="00A37BCE">
        <w:rPr>
          <w:rFonts w:eastAsia="Calibri" w:cstheme="minorHAnsi"/>
          <w:color w:val="44546A" w:themeColor="text2"/>
          <w:sz w:val="20"/>
          <w:lang w:val="sr-Cyrl-RS"/>
        </w:rPr>
        <w:t>макроекономских</w:t>
      </w:r>
      <w:r w:rsidRPr="00A37BCE">
        <w:rPr>
          <w:rFonts w:eastAsia="Calibri" w:cstheme="minorHAnsi"/>
          <w:color w:val="44546A" w:themeColor="text2"/>
          <w:sz w:val="20"/>
          <w:lang w:val="sr-Cyrl-RS"/>
        </w:rPr>
        <w:t xml:space="preserve"> показатеља: БДП и његових компоненти, инфлације, девизног курса, спољнотрговинске размене, запослености и зарада; </w:t>
      </w:r>
    </w:p>
    <w:p w14:paraId="72A3904E" w14:textId="77777777" w:rsidR="00BA4876" w:rsidRPr="00A37BCE" w:rsidRDefault="00BA4876" w:rsidP="00BA4876">
      <w:pPr>
        <w:numPr>
          <w:ilvl w:val="0"/>
          <w:numId w:val="3"/>
        </w:numPr>
        <w:spacing w:after="120" w:line="276" w:lineRule="auto"/>
        <w:ind w:left="180" w:hanging="180"/>
        <w:contextualSpacing/>
        <w:jc w:val="both"/>
        <w:rPr>
          <w:rFonts w:eastAsia="Calibri" w:cstheme="minorHAnsi"/>
          <w:color w:val="44546A" w:themeColor="text2"/>
          <w:sz w:val="20"/>
          <w:lang w:val="sr-Cyrl-RS"/>
        </w:rPr>
      </w:pPr>
      <w:r w:rsidRPr="00A37BCE">
        <w:rPr>
          <w:rFonts w:eastAsia="Calibri" w:cstheme="minorHAnsi"/>
          <w:color w:val="44546A" w:themeColor="text2"/>
          <w:sz w:val="20"/>
          <w:lang w:val="sr-Cyrl-RS"/>
        </w:rPr>
        <w:t>важеће и планиране измене пореске политике;</w:t>
      </w:r>
    </w:p>
    <w:p w14:paraId="07E3F155" w14:textId="77777777" w:rsidR="00BA4876" w:rsidRPr="00A37BCE" w:rsidRDefault="00BA4876" w:rsidP="00BA4876">
      <w:pPr>
        <w:numPr>
          <w:ilvl w:val="0"/>
          <w:numId w:val="3"/>
        </w:numPr>
        <w:spacing w:after="120" w:line="276" w:lineRule="auto"/>
        <w:ind w:left="180" w:hanging="180"/>
        <w:contextualSpacing/>
        <w:jc w:val="both"/>
        <w:rPr>
          <w:rFonts w:eastAsia="Calibri" w:cstheme="minorHAnsi"/>
          <w:color w:val="44546A" w:themeColor="text2"/>
          <w:sz w:val="20"/>
          <w:lang w:val="sr-Cyrl-RS"/>
        </w:rPr>
      </w:pPr>
      <w:r w:rsidRPr="00A37BCE">
        <w:rPr>
          <w:rFonts w:eastAsia="Calibri" w:cstheme="minorHAnsi"/>
          <w:color w:val="44546A" w:themeColor="text2"/>
          <w:sz w:val="20"/>
          <w:lang w:val="sr-Cyrl-RS"/>
        </w:rPr>
        <w:t>процењених ефеката фискалних и структурних мера у наредном периоду.</w:t>
      </w:r>
    </w:p>
    <w:p w14:paraId="4EADFA0F" w14:textId="77777777" w:rsidR="00BA4876" w:rsidRPr="00A37BCE" w:rsidRDefault="00BA4876" w:rsidP="00BA4876">
      <w:pPr>
        <w:spacing w:after="120" w:line="276" w:lineRule="auto"/>
        <w:jc w:val="both"/>
        <w:rPr>
          <w:rFonts w:eastAsia="Calibri" w:cstheme="minorHAnsi"/>
          <w:color w:val="44546A" w:themeColor="text2"/>
          <w:sz w:val="20"/>
          <w:lang w:val="sr-Cyrl-RS"/>
        </w:rPr>
        <w:sectPr w:rsidR="00BA4876" w:rsidRPr="00A37BCE" w:rsidSect="00BA4876">
          <w:type w:val="continuous"/>
          <w:pgSz w:w="12240" w:h="15840"/>
          <w:pgMar w:top="1440" w:right="1440" w:bottom="1440" w:left="1440" w:header="720" w:footer="720" w:gutter="0"/>
          <w:cols w:num="2" w:space="720"/>
          <w:docGrid w:linePitch="360"/>
        </w:sectPr>
      </w:pPr>
    </w:p>
    <w:p w14:paraId="69682386" w14:textId="77777777" w:rsidR="003D2901" w:rsidRPr="00A37BCE" w:rsidRDefault="003D2901">
      <w:pPr>
        <w:rPr>
          <w:rFonts w:eastAsia="MS PGothic" w:cstheme="minorHAnsi"/>
          <w:b/>
          <w:color w:val="002060"/>
          <w:sz w:val="20"/>
          <w:szCs w:val="20"/>
          <w:lang w:val="sr-Cyrl-RS" w:eastAsia="ja-JP"/>
        </w:rPr>
      </w:pPr>
      <w:r w:rsidRPr="00A37BCE">
        <w:rPr>
          <w:rFonts w:eastAsia="MS PGothic" w:cstheme="minorHAnsi"/>
          <w:b/>
          <w:color w:val="002060"/>
          <w:sz w:val="20"/>
          <w:szCs w:val="20"/>
          <w:lang w:val="sr-Cyrl-RS" w:eastAsia="ja-JP"/>
        </w:rPr>
        <w:lastRenderedPageBreak/>
        <w:br w:type="page"/>
      </w:r>
    </w:p>
    <w:p w14:paraId="035EE36D" w14:textId="296D71E6" w:rsidR="00BA4876" w:rsidRPr="00A37BCE" w:rsidRDefault="00BA4876" w:rsidP="00BA4876">
      <w:pPr>
        <w:spacing w:after="120" w:line="276" w:lineRule="auto"/>
        <w:jc w:val="center"/>
        <w:rPr>
          <w:rFonts w:eastAsia="MS PGothic" w:cstheme="minorHAnsi"/>
          <w:b/>
          <w:color w:val="002060"/>
          <w:sz w:val="20"/>
          <w:szCs w:val="20"/>
          <w:lang w:val="sr-Cyrl-RS" w:eastAsia="ja-JP"/>
        </w:rPr>
      </w:pPr>
      <w:r w:rsidRPr="00A37BCE">
        <w:rPr>
          <w:rFonts w:eastAsia="MS PGothic" w:cstheme="minorHAnsi"/>
          <w:b/>
          <w:color w:val="002060"/>
          <w:sz w:val="20"/>
          <w:szCs w:val="20"/>
          <w:lang w:val="sr-Cyrl-RS" w:eastAsia="ja-JP"/>
        </w:rPr>
        <w:lastRenderedPageBreak/>
        <w:t xml:space="preserve">Табела </w:t>
      </w:r>
      <w:r w:rsidR="005B01D9" w:rsidRPr="00A37BCE">
        <w:rPr>
          <w:rFonts w:eastAsia="MS PGothic" w:cstheme="minorHAnsi"/>
          <w:b/>
          <w:color w:val="002060"/>
          <w:sz w:val="20"/>
          <w:szCs w:val="20"/>
          <w:lang w:val="sr-Cyrl-RS" w:eastAsia="ja-JP"/>
        </w:rPr>
        <w:t>9</w:t>
      </w:r>
      <w:r w:rsidRPr="00A37BCE">
        <w:rPr>
          <w:rFonts w:eastAsia="MS PGothic" w:cstheme="minorHAnsi"/>
          <w:b/>
          <w:color w:val="002060"/>
          <w:sz w:val="20"/>
          <w:szCs w:val="20"/>
          <w:lang w:val="sr-Cyrl-RS" w:eastAsia="ja-JP"/>
        </w:rPr>
        <w:t>. Укупни приходи и донације у периоду 2017–2021. године, % БДП</w:t>
      </w:r>
    </w:p>
    <w:tbl>
      <w:tblPr>
        <w:tblStyle w:val="LightShading-Accent1211"/>
        <w:tblW w:w="5000" w:type="pct"/>
        <w:tblBorders>
          <w:top w:val="none" w:sz="0" w:space="0" w:color="auto"/>
          <w:bottom w:val="none" w:sz="0" w:space="0" w:color="auto"/>
        </w:tblBorders>
        <w:tblLook w:val="0420" w:firstRow="1" w:lastRow="0" w:firstColumn="0" w:lastColumn="0" w:noHBand="0" w:noVBand="1"/>
      </w:tblPr>
      <w:tblGrid>
        <w:gridCol w:w="4279"/>
        <w:gridCol w:w="1322"/>
        <w:gridCol w:w="1252"/>
        <w:gridCol w:w="837"/>
        <w:gridCol w:w="837"/>
        <w:gridCol w:w="833"/>
      </w:tblGrid>
      <w:tr w:rsidR="00BA4876" w:rsidRPr="00A37BCE" w14:paraId="3560AF56" w14:textId="77777777" w:rsidTr="00BA4876">
        <w:trPr>
          <w:cnfStyle w:val="100000000000" w:firstRow="1" w:lastRow="0" w:firstColumn="0" w:lastColumn="0" w:oddVBand="0" w:evenVBand="0" w:oddHBand="0" w:evenHBand="0" w:firstRowFirstColumn="0" w:firstRowLastColumn="0" w:lastRowFirstColumn="0" w:lastRowLastColumn="0"/>
          <w:trHeight w:val="18"/>
        </w:trPr>
        <w:tc>
          <w:tcPr>
            <w:tcW w:w="2286" w:type="pct"/>
            <w:tcBorders>
              <w:top w:val="single" w:sz="4" w:space="0" w:color="002060"/>
              <w:left w:val="none" w:sz="0" w:space="0" w:color="auto"/>
              <w:bottom w:val="single" w:sz="4" w:space="0" w:color="002060"/>
              <w:right w:val="none" w:sz="0" w:space="0" w:color="auto"/>
            </w:tcBorders>
            <w:noWrap/>
            <w:vAlign w:val="center"/>
          </w:tcPr>
          <w:p w14:paraId="6A477522" w14:textId="77777777" w:rsidR="00BA4876" w:rsidRPr="00CA4461" w:rsidRDefault="00BA4876" w:rsidP="00BA4876">
            <w:pPr>
              <w:keepLines/>
              <w:widowControl w:val="0"/>
              <w:shd w:val="clear" w:color="auto" w:fill="FFFFFF" w:themeFill="background1"/>
              <w:spacing w:line="276" w:lineRule="auto"/>
              <w:rPr>
                <w:rFonts w:asciiTheme="minorHAnsi" w:eastAsia="Times New Roman" w:hAnsiTheme="minorHAnsi" w:cstheme="minorHAnsi"/>
                <w:b w:val="0"/>
                <w:color w:val="002060"/>
                <w:sz w:val="18"/>
                <w:szCs w:val="18"/>
                <w:lang w:val="sr-Cyrl-RS"/>
              </w:rPr>
            </w:pPr>
            <w:r w:rsidRPr="00CA4461">
              <w:rPr>
                <w:rFonts w:asciiTheme="minorHAnsi" w:hAnsiTheme="minorHAnsi" w:cstheme="minorHAnsi"/>
                <w:b w:val="0"/>
                <w:color w:val="002060"/>
                <w:sz w:val="18"/>
                <w:lang w:val="sr-Cyrl-RS"/>
              </w:rPr>
              <w:t>Опис</w:t>
            </w:r>
          </w:p>
        </w:tc>
        <w:tc>
          <w:tcPr>
            <w:tcW w:w="706" w:type="pct"/>
            <w:tcBorders>
              <w:top w:val="single" w:sz="4" w:space="0" w:color="002060"/>
              <w:left w:val="none" w:sz="0" w:space="0" w:color="auto"/>
              <w:bottom w:val="single" w:sz="4" w:space="0" w:color="002060"/>
              <w:right w:val="none" w:sz="0" w:space="0" w:color="auto"/>
            </w:tcBorders>
            <w:vAlign w:val="center"/>
          </w:tcPr>
          <w:p w14:paraId="52657D74" w14:textId="77777777" w:rsidR="00BA4876" w:rsidRPr="00CA4461" w:rsidRDefault="00BA4876" w:rsidP="00BA4876">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lang w:val="sr-Cyrl-RS"/>
              </w:rPr>
            </w:pPr>
            <w:r w:rsidRPr="00CA4461">
              <w:rPr>
                <w:rFonts w:asciiTheme="minorHAnsi" w:hAnsiTheme="minorHAnsi" w:cstheme="minorHAnsi"/>
                <w:b w:val="0"/>
                <w:color w:val="002060"/>
                <w:sz w:val="18"/>
                <w:lang w:val="sr-Cyrl-RS"/>
              </w:rPr>
              <w:t>Извршење</w:t>
            </w:r>
          </w:p>
        </w:tc>
        <w:tc>
          <w:tcPr>
            <w:tcW w:w="669" w:type="pct"/>
            <w:tcBorders>
              <w:top w:val="single" w:sz="4" w:space="0" w:color="002060"/>
              <w:left w:val="none" w:sz="0" w:space="0" w:color="auto"/>
              <w:bottom w:val="single" w:sz="4" w:space="0" w:color="002060"/>
              <w:right w:val="none" w:sz="0" w:space="0" w:color="auto"/>
            </w:tcBorders>
            <w:vAlign w:val="center"/>
          </w:tcPr>
          <w:p w14:paraId="1A8ABEC2" w14:textId="77777777" w:rsidR="00BA4876" w:rsidRPr="00CA4461" w:rsidRDefault="00BA4876" w:rsidP="00BA4876">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lang w:val="sr-Cyrl-RS"/>
              </w:rPr>
            </w:pPr>
            <w:r w:rsidRPr="00CA4461">
              <w:rPr>
                <w:rFonts w:asciiTheme="minorHAnsi" w:hAnsiTheme="minorHAnsi" w:cstheme="minorHAnsi"/>
                <w:b w:val="0"/>
                <w:color w:val="002060"/>
                <w:sz w:val="18"/>
                <w:lang w:val="sr-Cyrl-RS"/>
              </w:rPr>
              <w:t>Процена</w:t>
            </w:r>
          </w:p>
        </w:tc>
        <w:tc>
          <w:tcPr>
            <w:tcW w:w="1339" w:type="pct"/>
            <w:gridSpan w:val="3"/>
            <w:tcBorders>
              <w:top w:val="single" w:sz="4" w:space="0" w:color="002060"/>
              <w:left w:val="none" w:sz="0" w:space="0" w:color="auto"/>
              <w:bottom w:val="single" w:sz="4" w:space="0" w:color="002060"/>
              <w:right w:val="none" w:sz="0" w:space="0" w:color="auto"/>
            </w:tcBorders>
            <w:vAlign w:val="center"/>
          </w:tcPr>
          <w:p w14:paraId="57C4D65E" w14:textId="77777777" w:rsidR="00BA4876" w:rsidRPr="00CA4461" w:rsidRDefault="00BA4876" w:rsidP="00BA4876">
            <w:pPr>
              <w:keepNext/>
              <w:widowControl w:val="0"/>
              <w:shd w:val="clear" w:color="auto" w:fill="FFFFFF" w:themeFill="background1"/>
              <w:spacing w:line="276" w:lineRule="auto"/>
              <w:jc w:val="center"/>
              <w:rPr>
                <w:rFonts w:asciiTheme="minorHAnsi" w:eastAsia="Times New Roman" w:hAnsiTheme="minorHAnsi" w:cstheme="minorHAnsi"/>
                <w:b w:val="0"/>
                <w:color w:val="002060"/>
                <w:sz w:val="18"/>
                <w:szCs w:val="18"/>
                <w:lang w:val="sr-Cyrl-RS"/>
              </w:rPr>
            </w:pPr>
            <w:r w:rsidRPr="00CA4461">
              <w:rPr>
                <w:rFonts w:asciiTheme="minorHAnsi" w:hAnsiTheme="minorHAnsi" w:cstheme="minorHAnsi"/>
                <w:b w:val="0"/>
                <w:color w:val="002060"/>
                <w:sz w:val="18"/>
                <w:lang w:val="sr-Cyrl-RS"/>
              </w:rPr>
              <w:t>Пројекција</w:t>
            </w:r>
          </w:p>
        </w:tc>
      </w:tr>
      <w:tr w:rsidR="00BA4876" w:rsidRPr="00A37BCE" w14:paraId="5B29AEC6" w14:textId="77777777" w:rsidTr="00BA4876">
        <w:trPr>
          <w:cnfStyle w:val="000000100000" w:firstRow="0" w:lastRow="0" w:firstColumn="0" w:lastColumn="0" w:oddVBand="0" w:evenVBand="0" w:oddHBand="1" w:evenHBand="0" w:firstRowFirstColumn="0" w:firstRowLastColumn="0" w:lastRowFirstColumn="0" w:lastRowLastColumn="0"/>
          <w:trHeight w:val="18"/>
        </w:trPr>
        <w:tc>
          <w:tcPr>
            <w:tcW w:w="2286" w:type="pct"/>
            <w:tcBorders>
              <w:top w:val="single" w:sz="4" w:space="0" w:color="002060"/>
            </w:tcBorders>
            <w:shd w:val="clear" w:color="auto" w:fill="FFFFFF" w:themeFill="background1"/>
            <w:noWrap/>
          </w:tcPr>
          <w:p w14:paraId="59335241" w14:textId="77777777" w:rsidR="00BA4876" w:rsidRPr="00A37BCE" w:rsidRDefault="00BA4876" w:rsidP="00BA4876">
            <w:pPr>
              <w:keepLines/>
              <w:widowControl w:val="0"/>
              <w:shd w:val="clear" w:color="auto" w:fill="FFFFFF" w:themeFill="background1"/>
              <w:spacing w:line="276" w:lineRule="auto"/>
              <w:jc w:val="both"/>
              <w:rPr>
                <w:rFonts w:asciiTheme="minorHAnsi" w:eastAsia="Times New Roman" w:hAnsiTheme="minorHAnsi" w:cstheme="minorHAnsi"/>
                <w:bCs/>
                <w:color w:val="002060"/>
                <w:sz w:val="18"/>
                <w:szCs w:val="18"/>
                <w:lang w:val="sr-Cyrl-RS"/>
              </w:rPr>
            </w:pPr>
          </w:p>
        </w:tc>
        <w:tc>
          <w:tcPr>
            <w:tcW w:w="706" w:type="pct"/>
            <w:tcBorders>
              <w:top w:val="single" w:sz="4" w:space="0" w:color="002060"/>
              <w:bottom w:val="single" w:sz="4" w:space="0" w:color="002060"/>
            </w:tcBorders>
            <w:shd w:val="clear" w:color="auto" w:fill="FFFFFF" w:themeFill="background1"/>
          </w:tcPr>
          <w:p w14:paraId="20E7638D" w14:textId="77777777" w:rsidR="00BA4876" w:rsidRPr="00A37BCE" w:rsidRDefault="00BA4876" w:rsidP="00BA4876">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A37BCE">
              <w:rPr>
                <w:rFonts w:asciiTheme="minorHAnsi" w:eastAsia="Times New Roman" w:hAnsiTheme="minorHAnsi" w:cstheme="minorHAnsi"/>
                <w:bCs/>
                <w:color w:val="002060"/>
                <w:sz w:val="18"/>
                <w:szCs w:val="18"/>
                <w:lang w:val="sr-Cyrl-RS"/>
              </w:rPr>
              <w:t>2017</w:t>
            </w:r>
          </w:p>
        </w:tc>
        <w:tc>
          <w:tcPr>
            <w:tcW w:w="669" w:type="pct"/>
            <w:tcBorders>
              <w:top w:val="single" w:sz="4" w:space="0" w:color="002060"/>
              <w:bottom w:val="single" w:sz="4" w:space="0" w:color="002060"/>
            </w:tcBorders>
            <w:shd w:val="clear" w:color="auto" w:fill="FFFFFF" w:themeFill="background1"/>
          </w:tcPr>
          <w:p w14:paraId="67E2ED30" w14:textId="77777777" w:rsidR="00BA4876" w:rsidRPr="00A37BCE" w:rsidRDefault="00BA4876" w:rsidP="00BA4876">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A37BCE">
              <w:rPr>
                <w:rFonts w:asciiTheme="minorHAnsi" w:eastAsia="Times New Roman" w:hAnsiTheme="minorHAnsi" w:cstheme="minorHAnsi"/>
                <w:bCs/>
                <w:color w:val="002060"/>
                <w:sz w:val="18"/>
                <w:szCs w:val="18"/>
                <w:lang w:val="sr-Cyrl-RS"/>
              </w:rPr>
              <w:t>2018</w:t>
            </w:r>
          </w:p>
        </w:tc>
        <w:tc>
          <w:tcPr>
            <w:tcW w:w="447" w:type="pct"/>
            <w:tcBorders>
              <w:top w:val="single" w:sz="4" w:space="0" w:color="002060"/>
              <w:bottom w:val="single" w:sz="4" w:space="0" w:color="002060"/>
            </w:tcBorders>
            <w:shd w:val="clear" w:color="auto" w:fill="FFFFFF" w:themeFill="background1"/>
          </w:tcPr>
          <w:p w14:paraId="07B249E5" w14:textId="77777777" w:rsidR="00BA4876" w:rsidRPr="00A37BCE" w:rsidRDefault="00BA4876" w:rsidP="00BA4876">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A37BCE">
              <w:rPr>
                <w:rFonts w:asciiTheme="minorHAnsi" w:eastAsia="Times New Roman" w:hAnsiTheme="minorHAnsi" w:cstheme="minorHAnsi"/>
                <w:bCs/>
                <w:color w:val="002060"/>
                <w:sz w:val="18"/>
                <w:szCs w:val="18"/>
                <w:lang w:val="sr-Cyrl-RS"/>
              </w:rPr>
              <w:t>2019</w:t>
            </w:r>
          </w:p>
        </w:tc>
        <w:tc>
          <w:tcPr>
            <w:tcW w:w="447" w:type="pct"/>
            <w:tcBorders>
              <w:top w:val="single" w:sz="4" w:space="0" w:color="002060"/>
              <w:bottom w:val="single" w:sz="4" w:space="0" w:color="002060"/>
            </w:tcBorders>
            <w:shd w:val="clear" w:color="auto" w:fill="FFFFFF" w:themeFill="background1"/>
          </w:tcPr>
          <w:p w14:paraId="5DC9888B" w14:textId="77777777" w:rsidR="00BA4876" w:rsidRPr="00A37BCE" w:rsidRDefault="00BA4876" w:rsidP="00BA4876">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A37BCE">
              <w:rPr>
                <w:rFonts w:asciiTheme="minorHAnsi" w:eastAsia="Times New Roman" w:hAnsiTheme="minorHAnsi" w:cstheme="minorHAnsi"/>
                <w:bCs/>
                <w:color w:val="002060"/>
                <w:sz w:val="18"/>
                <w:szCs w:val="18"/>
                <w:lang w:val="sr-Cyrl-RS"/>
              </w:rPr>
              <w:t>2020</w:t>
            </w:r>
          </w:p>
        </w:tc>
        <w:tc>
          <w:tcPr>
            <w:tcW w:w="445" w:type="pct"/>
            <w:tcBorders>
              <w:top w:val="single" w:sz="4" w:space="0" w:color="002060"/>
              <w:bottom w:val="single" w:sz="4" w:space="0" w:color="002060"/>
            </w:tcBorders>
            <w:shd w:val="clear" w:color="auto" w:fill="FFFFFF" w:themeFill="background1"/>
          </w:tcPr>
          <w:p w14:paraId="178818BC" w14:textId="77777777" w:rsidR="00BA4876" w:rsidRPr="00A37BCE" w:rsidRDefault="00BA4876" w:rsidP="00BA4876">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A37BCE">
              <w:rPr>
                <w:rFonts w:asciiTheme="minorHAnsi" w:eastAsia="Times New Roman" w:hAnsiTheme="minorHAnsi" w:cstheme="minorHAnsi"/>
                <w:bCs/>
                <w:color w:val="002060"/>
                <w:sz w:val="18"/>
                <w:szCs w:val="18"/>
                <w:lang w:val="sr-Cyrl-RS"/>
              </w:rPr>
              <w:t>2021</w:t>
            </w:r>
          </w:p>
        </w:tc>
      </w:tr>
      <w:tr w:rsidR="00BA4876" w:rsidRPr="00A37BCE" w14:paraId="388ED423" w14:textId="77777777" w:rsidTr="00BA4876">
        <w:trPr>
          <w:trHeight w:val="18"/>
        </w:trPr>
        <w:tc>
          <w:tcPr>
            <w:tcW w:w="2286" w:type="pct"/>
            <w:shd w:val="clear" w:color="auto" w:fill="FFFFFF" w:themeFill="background1"/>
          </w:tcPr>
          <w:p w14:paraId="6922D0E5" w14:textId="77777777" w:rsidR="00BA4876" w:rsidRPr="00A37BCE" w:rsidRDefault="00BA4876" w:rsidP="00BA4876">
            <w:pPr>
              <w:keepLines/>
              <w:widowControl w:val="0"/>
              <w:shd w:val="clear" w:color="auto" w:fill="FFFFFF" w:themeFill="background1"/>
              <w:spacing w:line="276" w:lineRule="auto"/>
              <w:jc w:val="both"/>
              <w:rPr>
                <w:rFonts w:asciiTheme="minorHAnsi" w:eastAsia="Times New Roman" w:hAnsiTheme="minorHAnsi" w:cstheme="minorHAnsi"/>
                <w:bCs/>
                <w:color w:val="002060"/>
                <w:sz w:val="18"/>
                <w:szCs w:val="18"/>
                <w:lang w:val="sr-Cyrl-RS"/>
              </w:rPr>
            </w:pPr>
            <w:r w:rsidRPr="00A37BCE">
              <w:rPr>
                <w:rFonts w:asciiTheme="minorHAnsi" w:eastAsia="Times New Roman" w:hAnsiTheme="minorHAnsi" w:cstheme="minorHAnsi"/>
                <w:bCs/>
                <w:color w:val="002060"/>
                <w:sz w:val="18"/>
                <w:szCs w:val="18"/>
                <w:lang w:val="sr-Cyrl-RS"/>
              </w:rPr>
              <w:t>ЈАВНИ ПРИХОДИ</w:t>
            </w:r>
          </w:p>
        </w:tc>
        <w:tc>
          <w:tcPr>
            <w:tcW w:w="706" w:type="pct"/>
            <w:tcBorders>
              <w:top w:val="single" w:sz="4" w:space="0" w:color="002060"/>
            </w:tcBorders>
            <w:shd w:val="clear" w:color="auto" w:fill="FFFFFF" w:themeFill="background1"/>
          </w:tcPr>
          <w:p w14:paraId="77B4E1C4"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41,5</w:t>
            </w:r>
          </w:p>
        </w:tc>
        <w:tc>
          <w:tcPr>
            <w:tcW w:w="669" w:type="pct"/>
            <w:tcBorders>
              <w:top w:val="single" w:sz="4" w:space="0" w:color="002060"/>
            </w:tcBorders>
            <w:shd w:val="clear" w:color="auto" w:fill="FFFFFF" w:themeFill="background1"/>
            <w:noWrap/>
          </w:tcPr>
          <w:p w14:paraId="714610B7"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41,1</w:t>
            </w:r>
          </w:p>
        </w:tc>
        <w:tc>
          <w:tcPr>
            <w:tcW w:w="447" w:type="pct"/>
            <w:tcBorders>
              <w:top w:val="single" w:sz="4" w:space="0" w:color="002060"/>
            </w:tcBorders>
            <w:shd w:val="clear" w:color="auto" w:fill="FFFFFF" w:themeFill="background1"/>
            <w:noWrap/>
          </w:tcPr>
          <w:p w14:paraId="27FC27B4"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39,9</w:t>
            </w:r>
          </w:p>
        </w:tc>
        <w:tc>
          <w:tcPr>
            <w:tcW w:w="447" w:type="pct"/>
            <w:tcBorders>
              <w:top w:val="single" w:sz="4" w:space="0" w:color="002060"/>
            </w:tcBorders>
            <w:shd w:val="clear" w:color="auto" w:fill="FFFFFF" w:themeFill="background1"/>
            <w:noWrap/>
          </w:tcPr>
          <w:p w14:paraId="0F8BFB89"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39,2</w:t>
            </w:r>
          </w:p>
        </w:tc>
        <w:tc>
          <w:tcPr>
            <w:tcW w:w="445" w:type="pct"/>
            <w:tcBorders>
              <w:top w:val="single" w:sz="4" w:space="0" w:color="002060"/>
            </w:tcBorders>
            <w:shd w:val="clear" w:color="auto" w:fill="FFFFFF" w:themeFill="background1"/>
            <w:noWrap/>
          </w:tcPr>
          <w:p w14:paraId="083D73C4"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38,7</w:t>
            </w:r>
          </w:p>
        </w:tc>
      </w:tr>
      <w:tr w:rsidR="00BA4876" w:rsidRPr="00A37BCE" w14:paraId="154CBE5F" w14:textId="77777777" w:rsidTr="00BA4876">
        <w:trPr>
          <w:cnfStyle w:val="000000100000" w:firstRow="0" w:lastRow="0" w:firstColumn="0" w:lastColumn="0" w:oddVBand="0" w:evenVBand="0" w:oddHBand="1" w:evenHBand="0" w:firstRowFirstColumn="0" w:firstRowLastColumn="0" w:lastRowFirstColumn="0" w:lastRowLastColumn="0"/>
          <w:trHeight w:val="18"/>
        </w:trPr>
        <w:tc>
          <w:tcPr>
            <w:tcW w:w="2286" w:type="pct"/>
            <w:shd w:val="clear" w:color="auto" w:fill="FFFFFF" w:themeFill="background1"/>
          </w:tcPr>
          <w:p w14:paraId="5A6D0374" w14:textId="77777777" w:rsidR="00BA4876" w:rsidRPr="00A37BCE" w:rsidRDefault="00BA4876" w:rsidP="00BA4876">
            <w:pPr>
              <w:keepLines/>
              <w:widowControl w:val="0"/>
              <w:shd w:val="clear" w:color="auto" w:fill="FFFFFF" w:themeFill="background1"/>
              <w:spacing w:line="276" w:lineRule="auto"/>
              <w:jc w:val="both"/>
              <w:rPr>
                <w:rFonts w:asciiTheme="minorHAnsi" w:eastAsia="Times New Roman" w:hAnsiTheme="minorHAnsi" w:cstheme="minorHAnsi"/>
                <w:bCs/>
                <w:color w:val="002060"/>
                <w:sz w:val="18"/>
                <w:szCs w:val="18"/>
                <w:lang w:val="sr-Cyrl-RS"/>
              </w:rPr>
            </w:pPr>
            <w:r w:rsidRPr="00A37BCE">
              <w:rPr>
                <w:rFonts w:asciiTheme="minorHAnsi" w:eastAsia="Times New Roman" w:hAnsiTheme="minorHAnsi" w:cstheme="minorHAnsi"/>
                <w:bCs/>
                <w:color w:val="002060"/>
                <w:sz w:val="18"/>
                <w:szCs w:val="18"/>
                <w:lang w:val="sr-Cyrl-RS"/>
              </w:rPr>
              <w:t>Текући приходи</w:t>
            </w:r>
          </w:p>
        </w:tc>
        <w:tc>
          <w:tcPr>
            <w:tcW w:w="706" w:type="pct"/>
            <w:shd w:val="clear" w:color="auto" w:fill="FFFFFF" w:themeFill="background1"/>
          </w:tcPr>
          <w:p w14:paraId="232A5096"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41,3</w:t>
            </w:r>
          </w:p>
        </w:tc>
        <w:tc>
          <w:tcPr>
            <w:tcW w:w="669" w:type="pct"/>
            <w:shd w:val="clear" w:color="auto" w:fill="FFFFFF" w:themeFill="background1"/>
            <w:noWrap/>
          </w:tcPr>
          <w:p w14:paraId="29623CFF"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40,9</w:t>
            </w:r>
          </w:p>
        </w:tc>
        <w:tc>
          <w:tcPr>
            <w:tcW w:w="447" w:type="pct"/>
            <w:shd w:val="clear" w:color="auto" w:fill="FFFFFF" w:themeFill="background1"/>
            <w:noWrap/>
          </w:tcPr>
          <w:p w14:paraId="38CAC673"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39,6</w:t>
            </w:r>
          </w:p>
        </w:tc>
        <w:tc>
          <w:tcPr>
            <w:tcW w:w="447" w:type="pct"/>
            <w:shd w:val="clear" w:color="auto" w:fill="FFFFFF" w:themeFill="background1"/>
            <w:noWrap/>
          </w:tcPr>
          <w:p w14:paraId="562BEC03"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38,9</w:t>
            </w:r>
          </w:p>
        </w:tc>
        <w:tc>
          <w:tcPr>
            <w:tcW w:w="445" w:type="pct"/>
            <w:shd w:val="clear" w:color="auto" w:fill="FFFFFF" w:themeFill="background1"/>
            <w:noWrap/>
          </w:tcPr>
          <w:p w14:paraId="6E0A1ECE"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38,5</w:t>
            </w:r>
          </w:p>
        </w:tc>
      </w:tr>
      <w:tr w:rsidR="00BA4876" w:rsidRPr="00A37BCE" w14:paraId="46C0CF61" w14:textId="77777777" w:rsidTr="00BA4876">
        <w:trPr>
          <w:trHeight w:val="18"/>
        </w:trPr>
        <w:tc>
          <w:tcPr>
            <w:tcW w:w="2286" w:type="pct"/>
            <w:shd w:val="clear" w:color="auto" w:fill="FFFFFF" w:themeFill="background1"/>
          </w:tcPr>
          <w:p w14:paraId="3C300DF7" w14:textId="77777777" w:rsidR="00BA4876" w:rsidRPr="00A37BCE" w:rsidRDefault="00BA4876" w:rsidP="00BA4876">
            <w:pPr>
              <w:keepLines/>
              <w:widowControl w:val="0"/>
              <w:shd w:val="clear" w:color="auto" w:fill="FFFFFF" w:themeFill="background1"/>
              <w:spacing w:line="276" w:lineRule="auto"/>
              <w:jc w:val="both"/>
              <w:rPr>
                <w:rFonts w:asciiTheme="minorHAnsi" w:eastAsia="Times New Roman" w:hAnsiTheme="minorHAnsi" w:cstheme="minorHAnsi"/>
                <w:bCs/>
                <w:color w:val="002060"/>
                <w:sz w:val="18"/>
                <w:szCs w:val="18"/>
                <w:lang w:val="sr-Cyrl-RS"/>
              </w:rPr>
            </w:pPr>
            <w:r w:rsidRPr="00A37BCE">
              <w:rPr>
                <w:rFonts w:asciiTheme="minorHAnsi" w:eastAsia="Times New Roman" w:hAnsiTheme="minorHAnsi" w:cstheme="minorHAnsi"/>
                <w:bCs/>
                <w:color w:val="002060"/>
                <w:sz w:val="18"/>
                <w:szCs w:val="18"/>
                <w:lang w:val="sr-Cyrl-RS"/>
              </w:rPr>
              <w:t xml:space="preserve"> Порески приходи</w:t>
            </w:r>
          </w:p>
        </w:tc>
        <w:tc>
          <w:tcPr>
            <w:tcW w:w="706" w:type="pct"/>
            <w:shd w:val="clear" w:color="auto" w:fill="FFFFFF" w:themeFill="background1"/>
          </w:tcPr>
          <w:p w14:paraId="1A949333"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36,1</w:t>
            </w:r>
          </w:p>
        </w:tc>
        <w:tc>
          <w:tcPr>
            <w:tcW w:w="669" w:type="pct"/>
            <w:shd w:val="clear" w:color="auto" w:fill="FFFFFF" w:themeFill="background1"/>
            <w:noWrap/>
          </w:tcPr>
          <w:p w14:paraId="50DFD688"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35,8</w:t>
            </w:r>
          </w:p>
        </w:tc>
        <w:tc>
          <w:tcPr>
            <w:tcW w:w="447" w:type="pct"/>
            <w:shd w:val="clear" w:color="auto" w:fill="FFFFFF" w:themeFill="background1"/>
            <w:noWrap/>
          </w:tcPr>
          <w:p w14:paraId="3635F26D"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35,3</w:t>
            </w:r>
          </w:p>
        </w:tc>
        <w:tc>
          <w:tcPr>
            <w:tcW w:w="447" w:type="pct"/>
            <w:shd w:val="clear" w:color="auto" w:fill="FFFFFF" w:themeFill="background1"/>
            <w:noWrap/>
          </w:tcPr>
          <w:p w14:paraId="4EA22354"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35,1</w:t>
            </w:r>
          </w:p>
        </w:tc>
        <w:tc>
          <w:tcPr>
            <w:tcW w:w="445" w:type="pct"/>
            <w:shd w:val="clear" w:color="auto" w:fill="FFFFFF" w:themeFill="background1"/>
            <w:noWrap/>
          </w:tcPr>
          <w:p w14:paraId="3D321E4A"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34,9</w:t>
            </w:r>
          </w:p>
        </w:tc>
      </w:tr>
      <w:tr w:rsidR="00BA4876" w:rsidRPr="00A37BCE" w14:paraId="7228665B" w14:textId="77777777" w:rsidTr="00BA4876">
        <w:trPr>
          <w:cnfStyle w:val="000000100000" w:firstRow="0" w:lastRow="0" w:firstColumn="0" w:lastColumn="0" w:oddVBand="0" w:evenVBand="0" w:oddHBand="1" w:evenHBand="0" w:firstRowFirstColumn="0" w:firstRowLastColumn="0" w:lastRowFirstColumn="0" w:lastRowLastColumn="0"/>
          <w:trHeight w:val="18"/>
        </w:trPr>
        <w:tc>
          <w:tcPr>
            <w:tcW w:w="2286" w:type="pct"/>
            <w:shd w:val="clear" w:color="auto" w:fill="FFFFFF" w:themeFill="background1"/>
          </w:tcPr>
          <w:p w14:paraId="6DE0958D" w14:textId="77777777" w:rsidR="00BA4876" w:rsidRPr="00A37BCE" w:rsidRDefault="00BA4876" w:rsidP="00BA4876">
            <w:pPr>
              <w:keepLines/>
              <w:widowControl w:val="0"/>
              <w:shd w:val="clear" w:color="auto" w:fill="FFFFFF" w:themeFill="background1"/>
              <w:spacing w:line="276" w:lineRule="auto"/>
              <w:ind w:left="284"/>
              <w:jc w:val="both"/>
              <w:rPr>
                <w:rFonts w:asciiTheme="minorHAnsi" w:eastAsia="Times New Roman" w:hAnsiTheme="minorHAnsi" w:cstheme="minorHAnsi"/>
                <w:bCs/>
                <w:color w:val="002060"/>
                <w:sz w:val="18"/>
                <w:szCs w:val="18"/>
                <w:lang w:val="sr-Cyrl-RS"/>
              </w:rPr>
            </w:pPr>
            <w:r w:rsidRPr="00A37BCE">
              <w:rPr>
                <w:rFonts w:asciiTheme="minorHAnsi" w:eastAsia="Times New Roman" w:hAnsiTheme="minorHAnsi" w:cstheme="minorHAnsi"/>
                <w:bCs/>
                <w:color w:val="002060"/>
                <w:sz w:val="18"/>
                <w:szCs w:val="18"/>
                <w:lang w:val="sr-Cyrl-RS"/>
              </w:rPr>
              <w:t>Порез на доходак грађана</w:t>
            </w:r>
          </w:p>
        </w:tc>
        <w:tc>
          <w:tcPr>
            <w:tcW w:w="706" w:type="pct"/>
            <w:shd w:val="clear" w:color="auto" w:fill="FFFFFF" w:themeFill="background1"/>
          </w:tcPr>
          <w:p w14:paraId="5BD62FD7"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3,5</w:t>
            </w:r>
          </w:p>
        </w:tc>
        <w:tc>
          <w:tcPr>
            <w:tcW w:w="669" w:type="pct"/>
            <w:shd w:val="clear" w:color="auto" w:fill="FFFFFF" w:themeFill="background1"/>
            <w:noWrap/>
          </w:tcPr>
          <w:p w14:paraId="42F6416B"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3,5</w:t>
            </w:r>
          </w:p>
        </w:tc>
        <w:tc>
          <w:tcPr>
            <w:tcW w:w="447" w:type="pct"/>
            <w:shd w:val="clear" w:color="auto" w:fill="FFFFFF" w:themeFill="background1"/>
            <w:noWrap/>
          </w:tcPr>
          <w:p w14:paraId="7C387870"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3,5</w:t>
            </w:r>
          </w:p>
        </w:tc>
        <w:tc>
          <w:tcPr>
            <w:tcW w:w="447" w:type="pct"/>
            <w:shd w:val="clear" w:color="auto" w:fill="FFFFFF" w:themeFill="background1"/>
            <w:noWrap/>
          </w:tcPr>
          <w:p w14:paraId="1D716756"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3,5</w:t>
            </w:r>
          </w:p>
        </w:tc>
        <w:tc>
          <w:tcPr>
            <w:tcW w:w="445" w:type="pct"/>
            <w:shd w:val="clear" w:color="auto" w:fill="FFFFFF" w:themeFill="background1"/>
            <w:noWrap/>
          </w:tcPr>
          <w:p w14:paraId="22961174"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3,5</w:t>
            </w:r>
          </w:p>
        </w:tc>
      </w:tr>
      <w:tr w:rsidR="00BA4876" w:rsidRPr="00A37BCE" w14:paraId="5A46E80A" w14:textId="77777777" w:rsidTr="00BA4876">
        <w:trPr>
          <w:trHeight w:val="18"/>
        </w:trPr>
        <w:tc>
          <w:tcPr>
            <w:tcW w:w="2286" w:type="pct"/>
            <w:shd w:val="clear" w:color="auto" w:fill="FFFFFF" w:themeFill="background1"/>
          </w:tcPr>
          <w:p w14:paraId="12EB9B63" w14:textId="77777777" w:rsidR="00BA4876" w:rsidRPr="00A37BCE" w:rsidRDefault="00BA4876" w:rsidP="00BA4876">
            <w:pPr>
              <w:keepLines/>
              <w:widowControl w:val="0"/>
              <w:shd w:val="clear" w:color="auto" w:fill="FFFFFF" w:themeFill="background1"/>
              <w:spacing w:line="276" w:lineRule="auto"/>
              <w:ind w:left="284"/>
              <w:jc w:val="both"/>
              <w:rPr>
                <w:rFonts w:asciiTheme="minorHAnsi" w:eastAsia="Times New Roman" w:hAnsiTheme="minorHAnsi" w:cstheme="minorHAnsi"/>
                <w:bCs/>
                <w:color w:val="002060"/>
                <w:sz w:val="18"/>
                <w:szCs w:val="18"/>
                <w:lang w:val="sr-Cyrl-RS"/>
              </w:rPr>
            </w:pPr>
            <w:r w:rsidRPr="00A37BCE">
              <w:rPr>
                <w:rFonts w:asciiTheme="minorHAnsi" w:eastAsia="Times New Roman" w:hAnsiTheme="minorHAnsi" w:cstheme="minorHAnsi"/>
                <w:bCs/>
                <w:color w:val="002060"/>
                <w:sz w:val="18"/>
                <w:szCs w:val="18"/>
                <w:lang w:val="sr-Cyrl-RS"/>
              </w:rPr>
              <w:t>Порез на добит правних лица</w:t>
            </w:r>
          </w:p>
        </w:tc>
        <w:tc>
          <w:tcPr>
            <w:tcW w:w="706" w:type="pct"/>
            <w:shd w:val="clear" w:color="auto" w:fill="FFFFFF" w:themeFill="background1"/>
          </w:tcPr>
          <w:p w14:paraId="73B4CED9"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2,4</w:t>
            </w:r>
          </w:p>
        </w:tc>
        <w:tc>
          <w:tcPr>
            <w:tcW w:w="669" w:type="pct"/>
            <w:shd w:val="clear" w:color="auto" w:fill="FFFFFF" w:themeFill="background1"/>
            <w:noWrap/>
          </w:tcPr>
          <w:p w14:paraId="7A704946"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2,3</w:t>
            </w:r>
          </w:p>
        </w:tc>
        <w:tc>
          <w:tcPr>
            <w:tcW w:w="447" w:type="pct"/>
            <w:shd w:val="clear" w:color="auto" w:fill="FFFFFF" w:themeFill="background1"/>
            <w:noWrap/>
          </w:tcPr>
          <w:p w14:paraId="40B7F8BE"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2,2</w:t>
            </w:r>
          </w:p>
        </w:tc>
        <w:tc>
          <w:tcPr>
            <w:tcW w:w="447" w:type="pct"/>
            <w:shd w:val="clear" w:color="auto" w:fill="FFFFFF" w:themeFill="background1"/>
            <w:noWrap/>
          </w:tcPr>
          <w:p w14:paraId="6CCE63AB"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2,1</w:t>
            </w:r>
          </w:p>
        </w:tc>
        <w:tc>
          <w:tcPr>
            <w:tcW w:w="445" w:type="pct"/>
            <w:shd w:val="clear" w:color="auto" w:fill="FFFFFF" w:themeFill="background1"/>
            <w:noWrap/>
          </w:tcPr>
          <w:p w14:paraId="44D27E5F"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2,0</w:t>
            </w:r>
          </w:p>
        </w:tc>
      </w:tr>
      <w:tr w:rsidR="00BA4876" w:rsidRPr="00A37BCE" w14:paraId="7AEE3E29" w14:textId="77777777" w:rsidTr="00BA4876">
        <w:trPr>
          <w:cnfStyle w:val="000000100000" w:firstRow="0" w:lastRow="0" w:firstColumn="0" w:lastColumn="0" w:oddVBand="0" w:evenVBand="0" w:oddHBand="1" w:evenHBand="0" w:firstRowFirstColumn="0" w:firstRowLastColumn="0" w:lastRowFirstColumn="0" w:lastRowLastColumn="0"/>
          <w:trHeight w:val="18"/>
        </w:trPr>
        <w:tc>
          <w:tcPr>
            <w:tcW w:w="2286" w:type="pct"/>
            <w:shd w:val="clear" w:color="auto" w:fill="FFFFFF" w:themeFill="background1"/>
          </w:tcPr>
          <w:p w14:paraId="6D40A631" w14:textId="77777777" w:rsidR="00BA4876" w:rsidRPr="00A37BCE" w:rsidRDefault="00BA4876" w:rsidP="00BA4876">
            <w:pPr>
              <w:keepLines/>
              <w:widowControl w:val="0"/>
              <w:shd w:val="clear" w:color="auto" w:fill="FFFFFF" w:themeFill="background1"/>
              <w:spacing w:line="276" w:lineRule="auto"/>
              <w:ind w:left="284"/>
              <w:jc w:val="both"/>
              <w:rPr>
                <w:rFonts w:asciiTheme="minorHAnsi" w:eastAsia="Times New Roman" w:hAnsiTheme="minorHAnsi" w:cstheme="minorHAnsi"/>
                <w:bCs/>
                <w:color w:val="002060"/>
                <w:sz w:val="18"/>
                <w:szCs w:val="18"/>
                <w:lang w:val="sr-Cyrl-RS"/>
              </w:rPr>
            </w:pPr>
            <w:r w:rsidRPr="00A37BCE">
              <w:rPr>
                <w:rFonts w:asciiTheme="minorHAnsi" w:eastAsia="Times New Roman" w:hAnsiTheme="minorHAnsi" w:cstheme="minorHAnsi"/>
                <w:bCs/>
                <w:color w:val="002060"/>
                <w:sz w:val="18"/>
                <w:szCs w:val="18"/>
                <w:lang w:val="sr-Cyrl-RS"/>
              </w:rPr>
              <w:t>Порез на додату вредност</w:t>
            </w:r>
          </w:p>
        </w:tc>
        <w:tc>
          <w:tcPr>
            <w:tcW w:w="706" w:type="pct"/>
            <w:shd w:val="clear" w:color="auto" w:fill="FFFFFF" w:themeFill="background1"/>
          </w:tcPr>
          <w:p w14:paraId="6434887B"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10,1</w:t>
            </w:r>
          </w:p>
        </w:tc>
        <w:tc>
          <w:tcPr>
            <w:tcW w:w="669" w:type="pct"/>
            <w:shd w:val="clear" w:color="auto" w:fill="FFFFFF" w:themeFill="background1"/>
            <w:noWrap/>
          </w:tcPr>
          <w:p w14:paraId="4E64B910"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10,0</w:t>
            </w:r>
          </w:p>
        </w:tc>
        <w:tc>
          <w:tcPr>
            <w:tcW w:w="447" w:type="pct"/>
            <w:shd w:val="clear" w:color="auto" w:fill="FFFFFF" w:themeFill="background1"/>
            <w:noWrap/>
          </w:tcPr>
          <w:p w14:paraId="091C879D"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9,9</w:t>
            </w:r>
          </w:p>
        </w:tc>
        <w:tc>
          <w:tcPr>
            <w:tcW w:w="447" w:type="pct"/>
            <w:shd w:val="clear" w:color="auto" w:fill="FFFFFF" w:themeFill="background1"/>
            <w:noWrap/>
          </w:tcPr>
          <w:p w14:paraId="268B3B9F"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10,0</w:t>
            </w:r>
          </w:p>
        </w:tc>
        <w:tc>
          <w:tcPr>
            <w:tcW w:w="445" w:type="pct"/>
            <w:shd w:val="clear" w:color="auto" w:fill="FFFFFF" w:themeFill="background1"/>
            <w:noWrap/>
          </w:tcPr>
          <w:p w14:paraId="467B1555"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10,0</w:t>
            </w:r>
          </w:p>
        </w:tc>
      </w:tr>
      <w:tr w:rsidR="00BA4876" w:rsidRPr="00A37BCE" w14:paraId="06427B72" w14:textId="77777777" w:rsidTr="00BA4876">
        <w:trPr>
          <w:trHeight w:val="18"/>
        </w:trPr>
        <w:tc>
          <w:tcPr>
            <w:tcW w:w="2286" w:type="pct"/>
            <w:shd w:val="clear" w:color="auto" w:fill="FFFFFF" w:themeFill="background1"/>
          </w:tcPr>
          <w:p w14:paraId="20D39465" w14:textId="77777777" w:rsidR="00BA4876" w:rsidRPr="00A37BCE" w:rsidRDefault="00BA4876" w:rsidP="00BA4876">
            <w:pPr>
              <w:keepLines/>
              <w:widowControl w:val="0"/>
              <w:shd w:val="clear" w:color="auto" w:fill="FFFFFF" w:themeFill="background1"/>
              <w:spacing w:line="276" w:lineRule="auto"/>
              <w:ind w:left="284"/>
              <w:jc w:val="both"/>
              <w:rPr>
                <w:rFonts w:asciiTheme="minorHAnsi" w:eastAsia="Times New Roman" w:hAnsiTheme="minorHAnsi" w:cstheme="minorHAnsi"/>
                <w:bCs/>
                <w:color w:val="002060"/>
                <w:sz w:val="18"/>
                <w:szCs w:val="18"/>
                <w:lang w:val="sr-Cyrl-RS"/>
              </w:rPr>
            </w:pPr>
            <w:r w:rsidRPr="00A37BCE">
              <w:rPr>
                <w:rFonts w:asciiTheme="minorHAnsi" w:eastAsia="Times New Roman" w:hAnsiTheme="minorHAnsi" w:cstheme="minorHAnsi"/>
                <w:bCs/>
                <w:color w:val="002060"/>
                <w:sz w:val="18"/>
                <w:szCs w:val="18"/>
                <w:lang w:val="sr-Cyrl-RS"/>
              </w:rPr>
              <w:t>Акцизе</w:t>
            </w:r>
          </w:p>
        </w:tc>
        <w:tc>
          <w:tcPr>
            <w:tcW w:w="706" w:type="pct"/>
            <w:shd w:val="clear" w:color="auto" w:fill="FFFFFF" w:themeFill="background1"/>
          </w:tcPr>
          <w:p w14:paraId="6FF0B6F0"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5,9</w:t>
            </w:r>
          </w:p>
        </w:tc>
        <w:tc>
          <w:tcPr>
            <w:tcW w:w="669" w:type="pct"/>
            <w:shd w:val="clear" w:color="auto" w:fill="FFFFFF" w:themeFill="background1"/>
            <w:noWrap/>
          </w:tcPr>
          <w:p w14:paraId="00A703A3"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5,6</w:t>
            </w:r>
          </w:p>
        </w:tc>
        <w:tc>
          <w:tcPr>
            <w:tcW w:w="447" w:type="pct"/>
            <w:shd w:val="clear" w:color="auto" w:fill="FFFFFF" w:themeFill="background1"/>
            <w:noWrap/>
          </w:tcPr>
          <w:p w14:paraId="22432DCD"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5,4</w:t>
            </w:r>
          </w:p>
        </w:tc>
        <w:tc>
          <w:tcPr>
            <w:tcW w:w="447" w:type="pct"/>
            <w:shd w:val="clear" w:color="auto" w:fill="FFFFFF" w:themeFill="background1"/>
            <w:noWrap/>
          </w:tcPr>
          <w:p w14:paraId="0640E40C"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5,1</w:t>
            </w:r>
          </w:p>
        </w:tc>
        <w:tc>
          <w:tcPr>
            <w:tcW w:w="445" w:type="pct"/>
            <w:shd w:val="clear" w:color="auto" w:fill="FFFFFF" w:themeFill="background1"/>
            <w:noWrap/>
          </w:tcPr>
          <w:p w14:paraId="027965C9"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4,9</w:t>
            </w:r>
          </w:p>
        </w:tc>
      </w:tr>
      <w:tr w:rsidR="00BA4876" w:rsidRPr="00A37BCE" w14:paraId="3FCD9980" w14:textId="77777777" w:rsidTr="00BA4876">
        <w:trPr>
          <w:cnfStyle w:val="000000100000" w:firstRow="0" w:lastRow="0" w:firstColumn="0" w:lastColumn="0" w:oddVBand="0" w:evenVBand="0" w:oddHBand="1" w:evenHBand="0" w:firstRowFirstColumn="0" w:firstRowLastColumn="0" w:lastRowFirstColumn="0" w:lastRowLastColumn="0"/>
          <w:trHeight w:val="18"/>
        </w:trPr>
        <w:tc>
          <w:tcPr>
            <w:tcW w:w="2286" w:type="pct"/>
            <w:shd w:val="clear" w:color="auto" w:fill="FFFFFF" w:themeFill="background1"/>
          </w:tcPr>
          <w:p w14:paraId="3F866EB7" w14:textId="77777777" w:rsidR="00BA4876" w:rsidRPr="00A37BCE" w:rsidRDefault="00BA4876" w:rsidP="00BA4876">
            <w:pPr>
              <w:keepLines/>
              <w:widowControl w:val="0"/>
              <w:shd w:val="clear" w:color="auto" w:fill="FFFFFF" w:themeFill="background1"/>
              <w:spacing w:line="276" w:lineRule="auto"/>
              <w:ind w:left="284"/>
              <w:jc w:val="both"/>
              <w:rPr>
                <w:rFonts w:asciiTheme="minorHAnsi" w:eastAsia="Times New Roman" w:hAnsiTheme="minorHAnsi" w:cstheme="minorHAnsi"/>
                <w:bCs/>
                <w:color w:val="002060"/>
                <w:sz w:val="18"/>
                <w:szCs w:val="18"/>
                <w:lang w:val="sr-Cyrl-RS"/>
              </w:rPr>
            </w:pPr>
            <w:r w:rsidRPr="00A37BCE">
              <w:rPr>
                <w:rFonts w:asciiTheme="minorHAnsi" w:eastAsia="Times New Roman" w:hAnsiTheme="minorHAnsi" w:cstheme="minorHAnsi"/>
                <w:bCs/>
                <w:color w:val="002060"/>
                <w:sz w:val="18"/>
                <w:szCs w:val="18"/>
                <w:lang w:val="sr-Cyrl-RS"/>
              </w:rPr>
              <w:t>Царине</w:t>
            </w:r>
          </w:p>
        </w:tc>
        <w:tc>
          <w:tcPr>
            <w:tcW w:w="706" w:type="pct"/>
            <w:shd w:val="clear" w:color="auto" w:fill="FFFFFF" w:themeFill="background1"/>
          </w:tcPr>
          <w:p w14:paraId="23522E57"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0,8</w:t>
            </w:r>
          </w:p>
        </w:tc>
        <w:tc>
          <w:tcPr>
            <w:tcW w:w="669" w:type="pct"/>
            <w:shd w:val="clear" w:color="auto" w:fill="FFFFFF" w:themeFill="background1"/>
            <w:noWrap/>
          </w:tcPr>
          <w:p w14:paraId="22C8739C"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0,8</w:t>
            </w:r>
          </w:p>
        </w:tc>
        <w:tc>
          <w:tcPr>
            <w:tcW w:w="447" w:type="pct"/>
            <w:shd w:val="clear" w:color="auto" w:fill="FFFFFF" w:themeFill="background1"/>
            <w:noWrap/>
          </w:tcPr>
          <w:p w14:paraId="7F07DD64"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0,9</w:t>
            </w:r>
          </w:p>
        </w:tc>
        <w:tc>
          <w:tcPr>
            <w:tcW w:w="447" w:type="pct"/>
            <w:shd w:val="clear" w:color="auto" w:fill="FFFFFF" w:themeFill="background1"/>
            <w:noWrap/>
          </w:tcPr>
          <w:p w14:paraId="6BC54E98"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0,9</w:t>
            </w:r>
          </w:p>
        </w:tc>
        <w:tc>
          <w:tcPr>
            <w:tcW w:w="445" w:type="pct"/>
            <w:shd w:val="clear" w:color="auto" w:fill="FFFFFF" w:themeFill="background1"/>
            <w:noWrap/>
          </w:tcPr>
          <w:p w14:paraId="0B65146F"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0,9</w:t>
            </w:r>
          </w:p>
        </w:tc>
      </w:tr>
      <w:tr w:rsidR="00BA4876" w:rsidRPr="00A37BCE" w14:paraId="17855A88" w14:textId="77777777" w:rsidTr="00BA4876">
        <w:trPr>
          <w:trHeight w:val="18"/>
        </w:trPr>
        <w:tc>
          <w:tcPr>
            <w:tcW w:w="2286" w:type="pct"/>
            <w:shd w:val="clear" w:color="auto" w:fill="FFFFFF" w:themeFill="background1"/>
          </w:tcPr>
          <w:p w14:paraId="4D869FA9" w14:textId="77777777" w:rsidR="00BA4876" w:rsidRPr="00A37BCE" w:rsidRDefault="00BA4876" w:rsidP="00BA4876">
            <w:pPr>
              <w:keepLines/>
              <w:widowControl w:val="0"/>
              <w:shd w:val="clear" w:color="auto" w:fill="FFFFFF" w:themeFill="background1"/>
              <w:spacing w:line="276" w:lineRule="auto"/>
              <w:ind w:left="284"/>
              <w:jc w:val="both"/>
              <w:rPr>
                <w:rFonts w:asciiTheme="minorHAnsi" w:eastAsia="Times New Roman" w:hAnsiTheme="minorHAnsi" w:cstheme="minorHAnsi"/>
                <w:bCs/>
                <w:color w:val="002060"/>
                <w:sz w:val="18"/>
                <w:szCs w:val="18"/>
                <w:lang w:val="sr-Cyrl-RS"/>
              </w:rPr>
            </w:pPr>
            <w:r w:rsidRPr="00A37BCE">
              <w:rPr>
                <w:rFonts w:asciiTheme="minorHAnsi" w:eastAsia="Times New Roman" w:hAnsiTheme="minorHAnsi" w:cstheme="minorHAnsi"/>
                <w:bCs/>
                <w:color w:val="002060"/>
                <w:sz w:val="18"/>
                <w:szCs w:val="18"/>
                <w:lang w:val="sr-Cyrl-RS"/>
              </w:rPr>
              <w:t>Остали порески приходи</w:t>
            </w:r>
          </w:p>
        </w:tc>
        <w:tc>
          <w:tcPr>
            <w:tcW w:w="706" w:type="pct"/>
            <w:shd w:val="clear" w:color="auto" w:fill="FFFFFF" w:themeFill="background1"/>
          </w:tcPr>
          <w:p w14:paraId="40A80045"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1,5</w:t>
            </w:r>
          </w:p>
        </w:tc>
        <w:tc>
          <w:tcPr>
            <w:tcW w:w="669" w:type="pct"/>
            <w:shd w:val="clear" w:color="auto" w:fill="FFFFFF" w:themeFill="background1"/>
            <w:noWrap/>
          </w:tcPr>
          <w:p w14:paraId="081F23CC"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1,5</w:t>
            </w:r>
          </w:p>
        </w:tc>
        <w:tc>
          <w:tcPr>
            <w:tcW w:w="447" w:type="pct"/>
            <w:shd w:val="clear" w:color="auto" w:fill="FFFFFF" w:themeFill="background1"/>
            <w:noWrap/>
          </w:tcPr>
          <w:p w14:paraId="2DACFC96"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1,4</w:t>
            </w:r>
          </w:p>
        </w:tc>
        <w:tc>
          <w:tcPr>
            <w:tcW w:w="447" w:type="pct"/>
            <w:shd w:val="clear" w:color="auto" w:fill="FFFFFF" w:themeFill="background1"/>
            <w:noWrap/>
          </w:tcPr>
          <w:p w14:paraId="6062D82A"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1,3</w:t>
            </w:r>
          </w:p>
        </w:tc>
        <w:tc>
          <w:tcPr>
            <w:tcW w:w="445" w:type="pct"/>
            <w:shd w:val="clear" w:color="auto" w:fill="FFFFFF" w:themeFill="background1"/>
            <w:noWrap/>
          </w:tcPr>
          <w:p w14:paraId="4B0B9CA6"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1,3</w:t>
            </w:r>
          </w:p>
        </w:tc>
      </w:tr>
      <w:tr w:rsidR="00BA4876" w:rsidRPr="00A37BCE" w14:paraId="7E3DAF56" w14:textId="77777777" w:rsidTr="00BA4876">
        <w:trPr>
          <w:cnfStyle w:val="000000100000" w:firstRow="0" w:lastRow="0" w:firstColumn="0" w:lastColumn="0" w:oddVBand="0" w:evenVBand="0" w:oddHBand="1" w:evenHBand="0" w:firstRowFirstColumn="0" w:firstRowLastColumn="0" w:lastRowFirstColumn="0" w:lastRowLastColumn="0"/>
          <w:trHeight w:val="18"/>
        </w:trPr>
        <w:tc>
          <w:tcPr>
            <w:tcW w:w="2286" w:type="pct"/>
            <w:shd w:val="clear" w:color="auto" w:fill="FFFFFF" w:themeFill="background1"/>
          </w:tcPr>
          <w:p w14:paraId="71EEDF28" w14:textId="77777777" w:rsidR="00BA4876" w:rsidRPr="00A37BCE" w:rsidRDefault="00BA4876" w:rsidP="00BA4876">
            <w:pPr>
              <w:keepLines/>
              <w:widowControl w:val="0"/>
              <w:shd w:val="clear" w:color="auto" w:fill="FFFFFF" w:themeFill="background1"/>
              <w:spacing w:line="276" w:lineRule="auto"/>
              <w:ind w:left="284"/>
              <w:jc w:val="both"/>
              <w:rPr>
                <w:rFonts w:asciiTheme="minorHAnsi" w:eastAsia="Times New Roman" w:hAnsiTheme="minorHAnsi" w:cstheme="minorHAnsi"/>
                <w:bCs/>
                <w:color w:val="002060"/>
                <w:sz w:val="18"/>
                <w:szCs w:val="18"/>
                <w:lang w:val="sr-Cyrl-RS"/>
              </w:rPr>
            </w:pPr>
            <w:r w:rsidRPr="00A37BCE">
              <w:rPr>
                <w:rFonts w:asciiTheme="minorHAnsi" w:eastAsia="Times New Roman" w:hAnsiTheme="minorHAnsi" w:cstheme="minorHAnsi"/>
                <w:bCs/>
                <w:color w:val="002060"/>
                <w:sz w:val="18"/>
                <w:szCs w:val="18"/>
                <w:lang w:val="sr-Cyrl-RS"/>
              </w:rPr>
              <w:t>Доприноси</w:t>
            </w:r>
          </w:p>
        </w:tc>
        <w:tc>
          <w:tcPr>
            <w:tcW w:w="706" w:type="pct"/>
            <w:shd w:val="clear" w:color="auto" w:fill="FFFFFF" w:themeFill="background1"/>
          </w:tcPr>
          <w:p w14:paraId="73F3F3DE"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11,9</w:t>
            </w:r>
          </w:p>
        </w:tc>
        <w:tc>
          <w:tcPr>
            <w:tcW w:w="669" w:type="pct"/>
            <w:shd w:val="clear" w:color="auto" w:fill="FFFFFF" w:themeFill="background1"/>
            <w:noWrap/>
          </w:tcPr>
          <w:p w14:paraId="70DF930B"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12,2</w:t>
            </w:r>
          </w:p>
        </w:tc>
        <w:tc>
          <w:tcPr>
            <w:tcW w:w="447" w:type="pct"/>
            <w:shd w:val="clear" w:color="auto" w:fill="FFFFFF" w:themeFill="background1"/>
            <w:noWrap/>
          </w:tcPr>
          <w:p w14:paraId="4C18EF87"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12,0</w:t>
            </w:r>
          </w:p>
        </w:tc>
        <w:tc>
          <w:tcPr>
            <w:tcW w:w="447" w:type="pct"/>
            <w:shd w:val="clear" w:color="auto" w:fill="FFFFFF" w:themeFill="background1"/>
            <w:noWrap/>
          </w:tcPr>
          <w:p w14:paraId="73A9E27C"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12,1</w:t>
            </w:r>
          </w:p>
        </w:tc>
        <w:tc>
          <w:tcPr>
            <w:tcW w:w="445" w:type="pct"/>
            <w:shd w:val="clear" w:color="auto" w:fill="FFFFFF" w:themeFill="background1"/>
            <w:noWrap/>
          </w:tcPr>
          <w:p w14:paraId="5762A415"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12,3</w:t>
            </w:r>
          </w:p>
        </w:tc>
      </w:tr>
      <w:tr w:rsidR="00BA4876" w:rsidRPr="00A37BCE" w14:paraId="4D131B75" w14:textId="77777777" w:rsidTr="00BA4876">
        <w:trPr>
          <w:trHeight w:val="18"/>
        </w:trPr>
        <w:tc>
          <w:tcPr>
            <w:tcW w:w="2286" w:type="pct"/>
            <w:shd w:val="clear" w:color="auto" w:fill="FFFFFF" w:themeFill="background1"/>
          </w:tcPr>
          <w:p w14:paraId="1F7C8429" w14:textId="77777777" w:rsidR="00BA4876" w:rsidRPr="00A37BCE" w:rsidRDefault="00BA4876" w:rsidP="00BA4876">
            <w:pPr>
              <w:keepLines/>
              <w:widowControl w:val="0"/>
              <w:shd w:val="clear" w:color="auto" w:fill="FFFFFF" w:themeFill="background1"/>
              <w:spacing w:line="276" w:lineRule="auto"/>
              <w:jc w:val="both"/>
              <w:rPr>
                <w:rFonts w:asciiTheme="minorHAnsi" w:eastAsia="Times New Roman" w:hAnsiTheme="minorHAnsi" w:cstheme="minorHAnsi"/>
                <w:bCs/>
                <w:color w:val="002060"/>
                <w:sz w:val="18"/>
                <w:szCs w:val="18"/>
                <w:lang w:val="sr-Cyrl-RS"/>
              </w:rPr>
            </w:pPr>
            <w:r w:rsidRPr="00A37BCE">
              <w:rPr>
                <w:rFonts w:asciiTheme="minorHAnsi" w:eastAsia="Times New Roman" w:hAnsiTheme="minorHAnsi" w:cstheme="minorHAnsi"/>
                <w:bCs/>
                <w:color w:val="002060"/>
                <w:sz w:val="18"/>
                <w:szCs w:val="18"/>
                <w:lang w:val="sr-Cyrl-RS"/>
              </w:rPr>
              <w:t xml:space="preserve"> Непорески приходи</w:t>
            </w:r>
          </w:p>
        </w:tc>
        <w:tc>
          <w:tcPr>
            <w:tcW w:w="706" w:type="pct"/>
            <w:shd w:val="clear" w:color="auto" w:fill="FFFFFF" w:themeFill="background1"/>
          </w:tcPr>
          <w:p w14:paraId="06E6CD93"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5,2</w:t>
            </w:r>
          </w:p>
        </w:tc>
        <w:tc>
          <w:tcPr>
            <w:tcW w:w="669" w:type="pct"/>
            <w:shd w:val="clear" w:color="auto" w:fill="FFFFFF" w:themeFill="background1"/>
            <w:noWrap/>
          </w:tcPr>
          <w:p w14:paraId="5F69281D"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5,1</w:t>
            </w:r>
          </w:p>
        </w:tc>
        <w:tc>
          <w:tcPr>
            <w:tcW w:w="447" w:type="pct"/>
            <w:shd w:val="clear" w:color="auto" w:fill="FFFFFF" w:themeFill="background1"/>
            <w:noWrap/>
          </w:tcPr>
          <w:p w14:paraId="6034C4B6"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4,3</w:t>
            </w:r>
          </w:p>
        </w:tc>
        <w:tc>
          <w:tcPr>
            <w:tcW w:w="447" w:type="pct"/>
            <w:shd w:val="clear" w:color="auto" w:fill="FFFFFF" w:themeFill="background1"/>
            <w:noWrap/>
          </w:tcPr>
          <w:p w14:paraId="636B74B3"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3,8</w:t>
            </w:r>
          </w:p>
        </w:tc>
        <w:tc>
          <w:tcPr>
            <w:tcW w:w="445" w:type="pct"/>
            <w:shd w:val="clear" w:color="auto" w:fill="FFFFFF" w:themeFill="background1"/>
            <w:noWrap/>
          </w:tcPr>
          <w:p w14:paraId="2C68D729"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3,6</w:t>
            </w:r>
          </w:p>
        </w:tc>
      </w:tr>
      <w:tr w:rsidR="00BA4876" w:rsidRPr="00A37BCE" w14:paraId="49DAD70F" w14:textId="77777777" w:rsidTr="00BA4876">
        <w:trPr>
          <w:cnfStyle w:val="000000100000" w:firstRow="0" w:lastRow="0" w:firstColumn="0" w:lastColumn="0" w:oddVBand="0" w:evenVBand="0" w:oddHBand="1" w:evenHBand="0" w:firstRowFirstColumn="0" w:firstRowLastColumn="0" w:lastRowFirstColumn="0" w:lastRowLastColumn="0"/>
          <w:trHeight w:val="18"/>
        </w:trPr>
        <w:tc>
          <w:tcPr>
            <w:tcW w:w="2286" w:type="pct"/>
            <w:tcBorders>
              <w:bottom w:val="single" w:sz="4" w:space="0" w:color="002060"/>
            </w:tcBorders>
            <w:shd w:val="clear" w:color="auto" w:fill="FFFFFF" w:themeFill="background1"/>
          </w:tcPr>
          <w:p w14:paraId="71112FFE" w14:textId="77777777" w:rsidR="00BA4876" w:rsidRPr="00A37BCE" w:rsidRDefault="00BA4876" w:rsidP="00BA4876">
            <w:pPr>
              <w:keepLines/>
              <w:widowControl w:val="0"/>
              <w:shd w:val="clear" w:color="auto" w:fill="FFFFFF" w:themeFill="background1"/>
              <w:spacing w:line="276" w:lineRule="auto"/>
              <w:jc w:val="both"/>
              <w:rPr>
                <w:rFonts w:asciiTheme="minorHAnsi" w:eastAsia="Times New Roman" w:hAnsiTheme="minorHAnsi" w:cstheme="minorHAnsi"/>
                <w:bCs/>
                <w:color w:val="002060"/>
                <w:sz w:val="18"/>
                <w:szCs w:val="18"/>
                <w:lang w:val="sr-Cyrl-RS"/>
              </w:rPr>
            </w:pPr>
            <w:r w:rsidRPr="00A37BCE">
              <w:rPr>
                <w:rFonts w:asciiTheme="minorHAnsi" w:eastAsia="Times New Roman" w:hAnsiTheme="minorHAnsi" w:cstheme="minorHAnsi"/>
                <w:bCs/>
                <w:color w:val="002060"/>
                <w:sz w:val="18"/>
                <w:szCs w:val="18"/>
                <w:lang w:val="sr-Cyrl-RS"/>
              </w:rPr>
              <w:t>Донације</w:t>
            </w:r>
          </w:p>
        </w:tc>
        <w:tc>
          <w:tcPr>
            <w:tcW w:w="706" w:type="pct"/>
            <w:tcBorders>
              <w:bottom w:val="single" w:sz="4" w:space="0" w:color="002060"/>
            </w:tcBorders>
            <w:shd w:val="clear" w:color="auto" w:fill="FFFFFF" w:themeFill="background1"/>
          </w:tcPr>
          <w:p w14:paraId="3B6B10F8"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0,2</w:t>
            </w:r>
          </w:p>
        </w:tc>
        <w:tc>
          <w:tcPr>
            <w:tcW w:w="669" w:type="pct"/>
            <w:tcBorders>
              <w:bottom w:val="single" w:sz="4" w:space="0" w:color="002060"/>
            </w:tcBorders>
            <w:shd w:val="clear" w:color="auto" w:fill="FFFFFF" w:themeFill="background1"/>
            <w:noWrap/>
          </w:tcPr>
          <w:p w14:paraId="1576D0F0"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0,2</w:t>
            </w:r>
          </w:p>
        </w:tc>
        <w:tc>
          <w:tcPr>
            <w:tcW w:w="447" w:type="pct"/>
            <w:tcBorders>
              <w:bottom w:val="single" w:sz="4" w:space="0" w:color="002060"/>
            </w:tcBorders>
            <w:shd w:val="clear" w:color="auto" w:fill="FFFFFF" w:themeFill="background1"/>
            <w:noWrap/>
          </w:tcPr>
          <w:p w14:paraId="0A3A4EAC"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0,3</w:t>
            </w:r>
          </w:p>
        </w:tc>
        <w:tc>
          <w:tcPr>
            <w:tcW w:w="447" w:type="pct"/>
            <w:tcBorders>
              <w:bottom w:val="single" w:sz="4" w:space="0" w:color="002060"/>
            </w:tcBorders>
            <w:shd w:val="clear" w:color="auto" w:fill="FFFFFF" w:themeFill="background1"/>
            <w:noWrap/>
          </w:tcPr>
          <w:p w14:paraId="79E8DAE5"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0,3</w:t>
            </w:r>
          </w:p>
        </w:tc>
        <w:tc>
          <w:tcPr>
            <w:tcW w:w="445" w:type="pct"/>
            <w:tcBorders>
              <w:bottom w:val="single" w:sz="4" w:space="0" w:color="002060"/>
            </w:tcBorders>
            <w:shd w:val="clear" w:color="auto" w:fill="FFFFFF" w:themeFill="background1"/>
            <w:noWrap/>
          </w:tcPr>
          <w:p w14:paraId="75228F28"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0,2</w:t>
            </w:r>
          </w:p>
        </w:tc>
      </w:tr>
    </w:tbl>
    <w:p w14:paraId="6B793915" w14:textId="77777777" w:rsidR="00BA4876" w:rsidRPr="00A37BCE" w:rsidRDefault="00BA4876" w:rsidP="00BA4876">
      <w:pPr>
        <w:spacing w:after="120" w:line="276" w:lineRule="auto"/>
        <w:jc w:val="both"/>
        <w:rPr>
          <w:rFonts w:eastAsia="MS PGothic" w:cstheme="minorHAnsi"/>
          <w:color w:val="000000" w:themeColor="text1"/>
          <w:sz w:val="20"/>
          <w:szCs w:val="20"/>
          <w:lang w:val="sr-Cyrl-RS" w:eastAsia="ja-JP"/>
        </w:rPr>
        <w:sectPr w:rsidR="00BA4876" w:rsidRPr="00A37BCE" w:rsidSect="00BA4876">
          <w:type w:val="continuous"/>
          <w:pgSz w:w="12240" w:h="15840"/>
          <w:pgMar w:top="1440" w:right="1440" w:bottom="1440" w:left="1440" w:header="720" w:footer="720" w:gutter="0"/>
          <w:cols w:space="720"/>
          <w:docGrid w:linePitch="360"/>
        </w:sectPr>
      </w:pPr>
      <w:r w:rsidRPr="00A37BCE">
        <w:rPr>
          <w:rFonts w:eastAsia="Calibri" w:cstheme="minorHAnsi"/>
          <w:bCs/>
          <w:color w:val="44546A" w:themeColor="text2"/>
          <w:sz w:val="16"/>
          <w:szCs w:val="20"/>
          <w:lang w:val="sr-Cyrl-RS" w:eastAsia="ja-JP"/>
        </w:rPr>
        <w:t xml:space="preserve">Извор: </w:t>
      </w:r>
      <w:r w:rsidRPr="00A37BCE">
        <w:rPr>
          <w:rFonts w:cstheme="minorHAnsi"/>
          <w:color w:val="44546A" w:themeColor="text2"/>
          <w:sz w:val="16"/>
          <w:szCs w:val="20"/>
          <w:lang w:val="sr-Cyrl-RS"/>
        </w:rPr>
        <w:t>Министарство финансија</w:t>
      </w:r>
    </w:p>
    <w:p w14:paraId="248FC448" w14:textId="7BFA601D" w:rsidR="00BA4876" w:rsidRPr="00A37BCE" w:rsidRDefault="00BA4876" w:rsidP="00BA4876">
      <w:pPr>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lastRenderedPageBreak/>
        <w:t>Део буџетског простора од око 0,4% БДП, односно око 20 млрд динара, искористиће се за смањење пореских и непореских давања у 2019. години. На страни пореза смањиће се допринос за незапосленост. Умањиће се обавезе уплате дела јавног сектора (републичких и локалних јавних предузећа) по основу смањења зарада, које су се евидентирале као неп</w:t>
      </w:r>
      <w:r w:rsidR="00D82D2A">
        <w:rPr>
          <w:rFonts w:eastAsia="MS PGothic" w:cstheme="minorHAnsi"/>
          <w:color w:val="44546A" w:themeColor="text2"/>
          <w:sz w:val="20"/>
          <w:szCs w:val="20"/>
          <w:lang w:val="sr-Cyrl-RS" w:eastAsia="ja-JP"/>
        </w:rPr>
        <w:t>орески приход буџета Републике.</w:t>
      </w:r>
    </w:p>
    <w:p w14:paraId="3A69B621" w14:textId="77777777" w:rsidR="00BA4876" w:rsidRPr="00A37BCE" w:rsidRDefault="00BA4876" w:rsidP="00BA4876">
      <w:pPr>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Пројекција пореских прихода подразумева одржавање постојећег степена наплате.</w:t>
      </w:r>
    </w:p>
    <w:p w14:paraId="047CDDC5" w14:textId="52DB80EA" w:rsidR="00BA4876" w:rsidRPr="00A37BCE" w:rsidRDefault="00BA4876" w:rsidP="00BA4876">
      <w:pPr>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 xml:space="preserve">Порез на доходак пројектован је на стабилном нивоу од око 3,5% БДП током целог средњорочног периода у складу са очекиваним ефектима структурних и фискалних мера, политиком зарада у јавном сектору и повољним кретањима на тржишту рада, пре свега, запослености и просечних зарада у приватном сектору. Преовлађујући облик пореза на доходак је порез на зараде, тако да су кретање масе зарада и запослености главни фактори који утичу на кретање овог пореског облика. Мере које ће утицати на ниво и опорезивање зарада су смањење доприноса за незапосленост и повећање минималне зараде. Стопа доприноса за незапосленост ће се смањити са 1,5% на 0,75%, односно укида се допринос за осигурање од незапослености на терет послодавца. Смањење прихода државе по овом основу износи око 12 млрд динара, али са обзиром да се на нивоу опште </w:t>
      </w:r>
      <w:r w:rsidRPr="00A37BCE">
        <w:rPr>
          <w:rFonts w:eastAsia="MS PGothic" w:cstheme="minorHAnsi"/>
          <w:color w:val="44546A" w:themeColor="text2"/>
          <w:sz w:val="20"/>
          <w:szCs w:val="20"/>
          <w:lang w:val="sr-Cyrl-RS" w:eastAsia="ja-JP"/>
        </w:rPr>
        <w:lastRenderedPageBreak/>
        <w:t>државе остварују уштеде по основу смањења бруто зарада, нето ефекат на фискални резултат је мањи и износи око 9 млрд динара или 0,2% БДП. Са друге стране, процењује се да ће повећање минималне зараде надокнадити део прихода опште државе изгубљене по основу смањења доприноса. Ефекат повећања минималне зараде, на приходе државе износи 6 млрд динара, с тим да је нето еф</w:t>
      </w:r>
      <w:r w:rsidR="00D82D2A">
        <w:rPr>
          <w:rFonts w:eastAsia="MS PGothic" w:cstheme="minorHAnsi"/>
          <w:color w:val="44546A" w:themeColor="text2"/>
          <w:sz w:val="20"/>
          <w:szCs w:val="20"/>
          <w:lang w:val="sr-Cyrl-RS" w:eastAsia="ja-JP"/>
        </w:rPr>
        <w:t>екат на резултат 5 млрд динара.</w:t>
      </w:r>
    </w:p>
    <w:p w14:paraId="45547082" w14:textId="282EA800" w:rsidR="00BA4876" w:rsidRPr="00A37BCE" w:rsidRDefault="00BA4876" w:rsidP="00BA4876">
      <w:pPr>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 xml:space="preserve">Други облици пореза на доходак су порез на дивиденде, порез на приходе од камата, годишњи порез на доходак </w:t>
      </w:r>
      <w:r w:rsidR="0047251C">
        <w:rPr>
          <w:rFonts w:eastAsia="MS PGothic" w:cstheme="minorHAnsi"/>
          <w:color w:val="44546A" w:themeColor="text2"/>
          <w:sz w:val="20"/>
          <w:szCs w:val="20"/>
          <w:lang w:val="sr-Cyrl-RS" w:eastAsia="ja-JP"/>
        </w:rPr>
        <w:t>итд,</w:t>
      </w:r>
      <w:r w:rsidRPr="00A37BCE">
        <w:rPr>
          <w:rFonts w:eastAsia="MS PGothic" w:cstheme="minorHAnsi"/>
          <w:color w:val="44546A" w:themeColor="text2"/>
          <w:sz w:val="20"/>
          <w:szCs w:val="20"/>
          <w:lang w:val="sr-Cyrl-RS" w:eastAsia="ja-JP"/>
        </w:rPr>
        <w:t xml:space="preserve"> и прате кретање опште економске активности. У наредном периоду очекује се да маса зарада расте брже од номиналног БДП као резултат повољних кретања на тржишту рада, пре свега раста запослености, те ће и приход по основу пореза на зараде расти у смислу учешћа у БДП. Остали порези на доходак ће расти спорије тако да се очекује стабилан ниво прихода по основу пореза на доходак. Код пореза на зараде кључна је борба против сиве економије, с обзиром на знатан број непријављених радника и исплате зарада „на руке</w:t>
      </w:r>
      <w:r w:rsidR="00956C60" w:rsidRPr="00956C60">
        <w:rPr>
          <w:rFonts w:eastAsia="MS PGothic" w:cstheme="minorHAnsi"/>
          <w:color w:val="44546A" w:themeColor="text2"/>
          <w:sz w:val="20"/>
          <w:szCs w:val="20"/>
          <w:lang w:val="sr-Cyrl-RS" w:eastAsia="ja-JP"/>
        </w:rPr>
        <w:t>ˮ</w:t>
      </w:r>
      <w:r w:rsidRPr="00A37BCE">
        <w:rPr>
          <w:rFonts w:eastAsia="MS PGothic" w:cstheme="minorHAnsi"/>
          <w:color w:val="44546A" w:themeColor="text2"/>
          <w:sz w:val="20"/>
          <w:szCs w:val="20"/>
          <w:lang w:val="sr-Cyrl-RS" w:eastAsia="ja-JP"/>
        </w:rPr>
        <w:t>. У последњим годинама интензивиране су контроле и појачане санкције што је дало резултате у сузбијању сиве економије у области рада и запошљавања, али је значајно да се на овом пољу настави са континуираним ангажманом и у наредном периоду.</w:t>
      </w:r>
    </w:p>
    <w:p w14:paraId="536D0FEE" w14:textId="6ED8AE84" w:rsidR="00BA4876" w:rsidRPr="00A37BCE" w:rsidRDefault="00BA4876" w:rsidP="00BA4876">
      <w:pPr>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lastRenderedPageBreak/>
        <w:t>Смањење доприноса за незапосленост утицаће на пад учешћа доприноса за обавезно социјално осигурање у БДП у 2019. години, након чега се очекује постепени раст. Кретање учешћа овог јавног прихода у БДП има сличну путању као и кретање учешћа пореза на зараде, с обзиром да су за њихову пројекцију коришћене исте претпоставке о кретању зарада и запослености. Доприноси су пореска категорија код које је најизраженија пореска недисциплина и регистрован највећи дуг пореских обвезника, те су последице евентуалног повећања фискалне недисциплине највидљ</w:t>
      </w:r>
      <w:r w:rsidR="00D82D2A">
        <w:rPr>
          <w:rFonts w:eastAsia="MS PGothic" w:cstheme="minorHAnsi"/>
          <w:color w:val="44546A" w:themeColor="text2"/>
          <w:sz w:val="20"/>
          <w:szCs w:val="20"/>
          <w:lang w:val="sr-Cyrl-RS" w:eastAsia="ja-JP"/>
        </w:rPr>
        <w:t>ивије код овог пореског облика.</w:t>
      </w:r>
    </w:p>
    <w:p w14:paraId="1A08FC19" w14:textId="074A4444" w:rsidR="00BA4876" w:rsidRPr="00A37BCE" w:rsidRDefault="00BA4876" w:rsidP="00BA4876">
      <w:pPr>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 xml:space="preserve">Приходи од пореза на добит правних лица у периоду 2019–2021. године зависиће од путање привредног раста, релативне стабилности курса динара и опште профитабилности привреде. Процена прихода по овом основу може бити неизвесна како због економских фактора, тако и због могућности коришћења пореског кредита или повраћаја, као и разлика у рачуноводственим и пореским билансима. У 2017. години остварена је рекордна наплата пореза на добит (2,4% БДП), углавном као резултат високе профитабилности привреде у 2016. години. Пројекција прихода по овом основу је конзервативна и не укључује приходе по основу укидања пореских олакшица из 2013. године, који се услед постојања прелазног периода од неколико година, сада ефектуирају. Планираним изменама </w:t>
      </w:r>
      <w:r w:rsidR="00DE6D95" w:rsidRPr="00A37BCE">
        <w:rPr>
          <w:rFonts w:eastAsia="MS PGothic" w:cstheme="minorHAnsi"/>
          <w:color w:val="44546A" w:themeColor="text2"/>
          <w:sz w:val="20"/>
          <w:szCs w:val="20"/>
          <w:lang w:val="sr-Cyrl-RS" w:eastAsia="ja-JP"/>
        </w:rPr>
        <w:t>З</w:t>
      </w:r>
      <w:r w:rsidRPr="00A37BCE">
        <w:rPr>
          <w:rFonts w:eastAsia="MS PGothic" w:cstheme="minorHAnsi"/>
          <w:color w:val="44546A" w:themeColor="text2"/>
          <w:sz w:val="20"/>
          <w:szCs w:val="20"/>
          <w:lang w:val="sr-Cyrl-RS" w:eastAsia="ja-JP"/>
        </w:rPr>
        <w:t>акона о порезу на добит правних лица предвиђена је, између осталог, и промена начина обрачуна амортизације основних средстава, која се признаје као расход у пореском биланс</w:t>
      </w:r>
      <w:r w:rsidR="00D82D2A">
        <w:rPr>
          <w:rFonts w:eastAsia="MS PGothic" w:cstheme="minorHAnsi"/>
          <w:color w:val="44546A" w:themeColor="text2"/>
          <w:sz w:val="20"/>
          <w:szCs w:val="20"/>
          <w:lang w:val="sr-Cyrl-RS" w:eastAsia="ja-JP"/>
        </w:rPr>
        <w:t>у.</w:t>
      </w:r>
    </w:p>
    <w:p w14:paraId="65BC0E5E" w14:textId="7C8B8209" w:rsidR="00BA4876" w:rsidRPr="00A37BCE" w:rsidRDefault="00BA4876" w:rsidP="00BA4876">
      <w:pPr>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 xml:space="preserve">Кретање прихода од пореза на додату вредност карактерише стабилно учешће у БДП. Главна детерминанта кретања ПДВ је домаћа тражња вођена расположивим дохотком становништва. Расположиви доходак као највећа детерминанта потрошње зависи од кретања зарада у јавном сектору, пензија, социјалне помоћи, кретања масе зарада у приватном сектору и осталих облика доходака, укључујући и дознаке, као и од динамике кредитне активности банака према </w:t>
      </w:r>
      <w:r w:rsidRPr="00A37BCE">
        <w:rPr>
          <w:rFonts w:eastAsia="MS PGothic" w:cstheme="minorHAnsi"/>
          <w:color w:val="44546A" w:themeColor="text2"/>
          <w:sz w:val="20"/>
          <w:szCs w:val="20"/>
          <w:lang w:val="sr-Cyrl-RS" w:eastAsia="ja-JP"/>
        </w:rPr>
        <w:lastRenderedPageBreak/>
        <w:t>становништву. У наредном периоду већи значај имаће и приходи по основу потрошње иностраних туриста. Релаксација фискалне политике у домену зарада у јавном сектору и пензија такође ће допринети расту расположивог дохотка становништва. Као и код пореза на доходак грађана, ризици за остварење пројекције ПДВ у наредном периоду односе се на кретање зарада у приватном сектору, раст привредне активности, као и на степен сиве економије, одно</w:t>
      </w:r>
      <w:r w:rsidR="00D82D2A">
        <w:rPr>
          <w:rFonts w:eastAsia="MS PGothic" w:cstheme="minorHAnsi"/>
          <w:color w:val="44546A" w:themeColor="text2"/>
          <w:sz w:val="20"/>
          <w:szCs w:val="20"/>
          <w:lang w:val="sr-Cyrl-RS" w:eastAsia="ja-JP"/>
        </w:rPr>
        <w:t>сно ефикасност у њеном смањењу.</w:t>
      </w:r>
    </w:p>
    <w:p w14:paraId="7A800A54" w14:textId="4626C595" w:rsidR="00BA4876" w:rsidRPr="00A37BCE" w:rsidRDefault="00BA4876" w:rsidP="00BA4876">
      <w:pPr>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Резултати ефикасније наплате и контроле пореских обвезника су евидентни и очекује се да ће тај тренд бити настављен у наредном периоду, с тим што ефекти борбе против сиве економије нису експлицитно укључени у средњорочну пројекцију јавних прихода. Повећање степена ПДВ наплате у смислу спровођења независних антиевазионих мера у области пореза на додату вредност дало је одређене резултате у протеклом периоду. У овом сегменту постоји простор за даља побољшања, кроз јачање и модерн</w:t>
      </w:r>
      <w:r w:rsidR="00D82D2A">
        <w:rPr>
          <w:rFonts w:eastAsia="MS PGothic" w:cstheme="minorHAnsi"/>
          <w:color w:val="44546A" w:themeColor="text2"/>
          <w:sz w:val="20"/>
          <w:szCs w:val="20"/>
          <w:lang w:val="sr-Cyrl-RS" w:eastAsia="ja-JP"/>
        </w:rPr>
        <w:t>изацију пореске администрације.</w:t>
      </w:r>
    </w:p>
    <w:p w14:paraId="1D194515" w14:textId="3FD67367" w:rsidR="00BA4876" w:rsidRPr="00A37BCE" w:rsidRDefault="00BA4876" w:rsidP="00BA4876">
      <w:pPr>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 xml:space="preserve">Пројекција прихода од акциза сачињена је на основу важеће акцизне политике и пројектоване потрошње акцизних производа. У оквиру акцизне политике код дуванских производа очекује се даље постепено усклађивање са директивама ЕУ у складу са средњорочним планом поступног повећавања акцизног оптерећења. Код цигарета оно ће бити усмерено кроз постепено повећање акциза, како би се у прихватљивом временском року достигао ЕУ минимум од 1,8 евра по паклици. У наредном периоду је за потребе пројекције прихода од акциза, услед опрезности, предвиђен даљи природан пад тржишта дуванских производа, у просеку од око 3% годишње. За разлику од дуванских производа ситуација на тржишту нафтних деривата је знатно мање волатилна. Боља контрола и ефекти маркирања нафтних деривата смањили су могућност и исплативост нелегалних активности. У наредним годинама, услед опрезности, није претпостављен наставак раста потрошње нафтних деривата иако се може очекивати да ће убрзање економске </w:t>
      </w:r>
      <w:r w:rsidRPr="00A37BCE">
        <w:rPr>
          <w:rFonts w:eastAsia="MS PGothic" w:cstheme="minorHAnsi"/>
          <w:color w:val="44546A" w:themeColor="text2"/>
          <w:sz w:val="20"/>
          <w:szCs w:val="20"/>
          <w:lang w:val="sr-Cyrl-RS" w:eastAsia="ja-JP"/>
        </w:rPr>
        <w:lastRenderedPageBreak/>
        <w:t xml:space="preserve">активности допринети расту потрошње. Приходи од акциза на алкохолна пића, кафу и електричну енергију су пројектовани у складу са постојећом структуром потрошње. Тренутни номинални износи акциза на алкохолна пића и кафу усклађени су са очекиваним износима стопе инфлације у средњорочном периоду. Током 2015. године уведена је ad valorem акциза од 7,5% на потрошњу електричне енергије. За период 2019–2021. године приход од ове акцизе на годишњем нивоу планиран је у износу од око 17 млрд динара, узимајући у обзир тренутну </w:t>
      </w:r>
      <w:r w:rsidR="00D82D2A">
        <w:rPr>
          <w:rFonts w:eastAsia="MS PGothic" w:cstheme="minorHAnsi"/>
          <w:color w:val="44546A" w:themeColor="text2"/>
          <w:sz w:val="20"/>
          <w:szCs w:val="20"/>
          <w:lang w:val="sr-Cyrl-RS" w:eastAsia="ja-JP"/>
        </w:rPr>
        <w:t>годишњу потрошњу и важеће цене.</w:t>
      </w:r>
    </w:p>
    <w:p w14:paraId="6D7C072D" w14:textId="538AAD0B" w:rsidR="00BA4876" w:rsidRPr="00A37BCE" w:rsidRDefault="00BA4876" w:rsidP="00BA4876">
      <w:pPr>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Приходи од царина ће се стабилизовати на нивоу од 0,9% БДП у наредном периоду. Полазећи од пројектованог кретања увоза, девизног курса и потрошње, као и завршетка процеса усклађивања царинских тарифа услед примене Споразума о стабилизацији и придруживању, очекује се благо повећање њиховог учешћа у БДП, за 0,1</w:t>
      </w:r>
      <w:r w:rsidR="004B175D">
        <w:rPr>
          <w:rFonts w:eastAsia="MS PGothic" w:cstheme="minorHAnsi"/>
          <w:color w:val="44546A" w:themeColor="text2"/>
          <w:sz w:val="20"/>
          <w:szCs w:val="20"/>
          <w:lang w:val="sr-Cyrl-RS" w:eastAsia="ja-JP"/>
        </w:rPr>
        <w:t xml:space="preserve"> п. п.</w:t>
      </w:r>
      <w:r w:rsidRPr="00A37BCE">
        <w:rPr>
          <w:rFonts w:eastAsia="MS PGothic" w:cstheme="minorHAnsi"/>
          <w:color w:val="44546A" w:themeColor="text2"/>
          <w:sz w:val="20"/>
          <w:szCs w:val="20"/>
          <w:lang w:val="sr-Cyrl-RS" w:eastAsia="ja-JP"/>
        </w:rPr>
        <w:t xml:space="preserve"> БДП, у односу на претходни период.</w:t>
      </w:r>
    </w:p>
    <w:p w14:paraId="4A2C2D4D" w14:textId="2488D851" w:rsidR="00BA4876" w:rsidRPr="00A37BCE" w:rsidRDefault="00BA4876" w:rsidP="00BA4876">
      <w:pPr>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Пројектује се благи пад учешћа у БДП осталих пореских прихода. Најзначајнији порески приход у овој категорији је порез на имовину чије учешће износи око 70%. Повећање овог прихода може се очекивати по основу проширења основице. Повећање степена наплате, кроз повећање обухвата непокретности на које се порез плаћа (то јест по основу проширења пореске базе), није укључено у пројекције у средњем року и представља позитиван ризик. Поред пореза на имовину у остале пореске приходе укључују се и порези на употребу, држање и ношење добара, те други облици пореза на локалном нивоу. Они су пројектовани само у складу са кретањем инфлације, будући да је инфлаторна компонента уграђена у зна</w:t>
      </w:r>
      <w:r w:rsidR="00D82D2A">
        <w:rPr>
          <w:rFonts w:eastAsia="MS PGothic" w:cstheme="minorHAnsi"/>
          <w:color w:val="44546A" w:themeColor="text2"/>
          <w:sz w:val="20"/>
          <w:szCs w:val="20"/>
          <w:lang w:val="sr-Cyrl-RS" w:eastAsia="ja-JP"/>
        </w:rPr>
        <w:t>чајан део ових пореских облика.</w:t>
      </w:r>
    </w:p>
    <w:p w14:paraId="1BD2C8CE" w14:textId="3303B2E0" w:rsidR="00BA4876" w:rsidRPr="00A37BCE" w:rsidRDefault="00BA4876" w:rsidP="00BA4876">
      <w:pPr>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Предвиђено је смањење учешћа непореских прихода у БДП, са 5,2% колико је приходовано у 2017. години на 3,6% колико се очекује да ће износити у 2021. години. У наредној години предвиђено је смањење обавезе уплате средстава по основу смањења зарада за део јавног сектора. Наиме, фазно укидање кризних мера односи се, пре свега</w:t>
      </w:r>
      <w:r w:rsidR="00DE6D95" w:rsidRPr="00A37BCE">
        <w:rPr>
          <w:rFonts w:eastAsia="MS PGothic" w:cstheme="minorHAnsi"/>
          <w:color w:val="44546A" w:themeColor="text2"/>
          <w:sz w:val="20"/>
          <w:szCs w:val="20"/>
          <w:lang w:val="sr-Cyrl-RS" w:eastAsia="ja-JP"/>
        </w:rPr>
        <w:t>,</w:t>
      </w:r>
      <w:r w:rsidRPr="00A37BCE">
        <w:rPr>
          <w:rFonts w:eastAsia="MS PGothic" w:cstheme="minorHAnsi"/>
          <w:color w:val="44546A" w:themeColor="text2"/>
          <w:sz w:val="20"/>
          <w:szCs w:val="20"/>
          <w:lang w:val="sr-Cyrl-RS" w:eastAsia="ja-JP"/>
        </w:rPr>
        <w:t xml:space="preserve"> на оне кориснике јавних средстава, који </w:t>
      </w:r>
      <w:r w:rsidRPr="00A37BCE">
        <w:rPr>
          <w:rFonts w:eastAsia="MS PGothic" w:cstheme="minorHAnsi"/>
          <w:color w:val="44546A" w:themeColor="text2"/>
          <w:sz w:val="20"/>
          <w:szCs w:val="20"/>
          <w:lang w:val="sr-Cyrl-RS" w:eastAsia="ja-JP"/>
        </w:rPr>
        <w:lastRenderedPageBreak/>
        <w:t>су имали обавезу уплате средстава по овом основу у буџет, и то на републичка и локална јавна предузећа. Ефекат ове мере се процењује на 8,5 млрд динара у 2019. години. Преостали део ових обавеза ће бити укинут у 2020. години, што ће довести даљег смањивања непореских прихода. Други разлог за смањење пројектованог учешћа непореских прихода у БДП је и искључивање из базне 2018. године свих оних прихода који се не сматрају структурним тј. трајним, првенствено се то односи на ванредне категорије непореских прихода. Ванредни непорески приходи су углавном једнократни, у одређеној мери неизвесни, како по питању износа, тако и по питању тренутка уплате. Највећи део ових прихода представљају ванредне уплате добити јавних предузећа и агенција, дивиденде буџета, приходи по основу наплаћених потраживања Агенције за осигурање депозита, емисионе премије, итд. Редовни непорески приходи обухватају различите таксе, накнаде, казне, приходе органа и организација и све остале приходе који се остварују устаљеном динамиком током године. Ови непорески приходи индексирају се са оствареном инфлацијом у претходној години, или пак прате промену у вредности основе на које се примењују и услед тога се коригују пројектованом инфлацијом. Пројекција непореских прихода узима у обзир и доношење Закона о накнадама којим ће бити укинуте поједине накнаде, док ће код појединих бити смањене стопе и износи, са негативним ефектом на приходе, који</w:t>
      </w:r>
      <w:r w:rsidR="00D82D2A">
        <w:rPr>
          <w:rFonts w:eastAsia="MS PGothic" w:cstheme="minorHAnsi"/>
          <w:color w:val="44546A" w:themeColor="text2"/>
          <w:sz w:val="20"/>
          <w:szCs w:val="20"/>
          <w:lang w:val="sr-Cyrl-RS" w:eastAsia="ja-JP"/>
        </w:rPr>
        <w:t xml:space="preserve"> се процењује на 2 млрд динара.</w:t>
      </w:r>
    </w:p>
    <w:p w14:paraId="006E348C" w14:textId="77777777" w:rsidR="00BA4876" w:rsidRPr="00A37BCE" w:rsidRDefault="00BA4876" w:rsidP="00BA4876">
      <w:pPr>
        <w:spacing w:after="120" w:line="276" w:lineRule="auto"/>
        <w:jc w:val="both"/>
        <w:rPr>
          <w:rFonts w:eastAsia="MS PGothic" w:cstheme="minorHAnsi"/>
          <w:color w:val="44546A" w:themeColor="text2"/>
          <w:sz w:val="20"/>
          <w:szCs w:val="20"/>
          <w:lang w:val="sr-Cyrl-RS" w:eastAsia="ja-JP"/>
        </w:rPr>
      </w:pPr>
      <w:r w:rsidRPr="00A37BCE">
        <w:rPr>
          <w:rFonts w:eastAsia="MS PGothic" w:cstheme="minorHAnsi"/>
          <w:color w:val="44546A" w:themeColor="text2"/>
          <w:sz w:val="20"/>
          <w:szCs w:val="20"/>
          <w:lang w:val="sr-Cyrl-RS" w:eastAsia="ja-JP"/>
        </w:rPr>
        <w:t>Процесом приближавања државе чланству у ЕУ повећавају се расположива средства из ИПА и ИПАРД фондова која чине преовлађујући део прихода од донација. У пројектоване износе по основу донација укључена су и средства по основу секторске буџетске подршке ЕУ. Приходи по основу донација су неутрални у односу на резултат, с обзиром да су једнаки расходима по овом основу.</w:t>
      </w:r>
    </w:p>
    <w:p w14:paraId="1EE28AB2" w14:textId="77777777" w:rsidR="00BA4876" w:rsidRPr="00A37BCE" w:rsidRDefault="00BA4876" w:rsidP="00BA4876">
      <w:pPr>
        <w:spacing w:after="120" w:line="276" w:lineRule="auto"/>
        <w:jc w:val="both"/>
        <w:rPr>
          <w:rFonts w:eastAsia="MS PGothic" w:cstheme="minorHAnsi"/>
          <w:color w:val="44546A" w:themeColor="text2"/>
          <w:sz w:val="20"/>
          <w:szCs w:val="20"/>
          <w:lang w:val="sr-Cyrl-RS" w:eastAsia="ja-JP"/>
        </w:rPr>
        <w:sectPr w:rsidR="00BA4876" w:rsidRPr="00A37BCE" w:rsidSect="00BA4876">
          <w:type w:val="continuous"/>
          <w:pgSz w:w="12240" w:h="15840"/>
          <w:pgMar w:top="1440" w:right="1440" w:bottom="1440" w:left="1440" w:header="720" w:footer="720" w:gutter="0"/>
          <w:cols w:num="2" w:space="720"/>
          <w:docGrid w:linePitch="360"/>
        </w:sectPr>
      </w:pPr>
      <w:r w:rsidRPr="00A37BCE">
        <w:rPr>
          <w:rFonts w:eastAsia="MS PGothic" w:cstheme="minorHAnsi"/>
          <w:color w:val="44546A" w:themeColor="text2"/>
          <w:sz w:val="20"/>
          <w:szCs w:val="20"/>
          <w:lang w:val="sr-Cyrl-RS" w:eastAsia="ja-JP"/>
        </w:rPr>
        <w:t xml:space="preserve">Рестриктивна фискална политика у комбинацији са добрим макроекономским перформансама довела је до стварања фискалног простора који ће </w:t>
      </w:r>
      <w:r w:rsidRPr="00A37BCE">
        <w:rPr>
          <w:rFonts w:eastAsia="MS PGothic" w:cstheme="minorHAnsi"/>
          <w:color w:val="44546A" w:themeColor="text2"/>
          <w:sz w:val="20"/>
          <w:szCs w:val="20"/>
          <w:lang w:val="sr-Cyrl-RS" w:eastAsia="ja-JP"/>
        </w:rPr>
        <w:lastRenderedPageBreak/>
        <w:t xml:space="preserve">се, између осталог, искористити на расходној страни, пре свега за релаксирање политике плата и пензија и повећање капиталних инвестиција као битне компоненте развоја привреде. У наредном периоду посебна пажња ће се посветити унапређењу ефикасности реализације капиталних инвестиција државе. Социјална компонента буџета ће се побољшати бољим таргетирањем </w:t>
      </w:r>
      <w:r w:rsidRPr="00A37BCE">
        <w:rPr>
          <w:rFonts w:eastAsia="MS PGothic" w:cstheme="minorHAnsi"/>
          <w:color w:val="44546A" w:themeColor="text2"/>
          <w:sz w:val="20"/>
          <w:szCs w:val="20"/>
          <w:lang w:val="sr-Cyrl-RS" w:eastAsia="ja-JP"/>
        </w:rPr>
        <w:lastRenderedPageBreak/>
        <w:t xml:space="preserve">програма социјалне помоћи и већим издвајањем за функције здравства и образовања. Од 2019. године плате и пензије ће се стабилизовати у смислу учешћа у БДП, што ће бити још један од фактора који ће омогућити праведнију прерасподелу дохотка уз смањење притиска на јавне финансије. </w:t>
      </w:r>
    </w:p>
    <w:p w14:paraId="47DECB0D" w14:textId="21573544" w:rsidR="00BA4876" w:rsidRPr="00A37BCE" w:rsidRDefault="00BA4876" w:rsidP="00BA4876">
      <w:pPr>
        <w:keepNext/>
        <w:spacing w:after="200" w:line="276" w:lineRule="auto"/>
        <w:jc w:val="center"/>
        <w:rPr>
          <w:rFonts w:eastAsia="MS PGothic" w:cstheme="minorHAnsi"/>
          <w:b/>
          <w:color w:val="002060"/>
          <w:sz w:val="20"/>
          <w:szCs w:val="20"/>
          <w:lang w:val="sr-Cyrl-RS" w:eastAsia="ja-JP"/>
        </w:rPr>
      </w:pPr>
      <w:r w:rsidRPr="00A37BCE">
        <w:rPr>
          <w:rFonts w:eastAsia="MS PGothic" w:cstheme="minorHAnsi"/>
          <w:b/>
          <w:color w:val="002060"/>
          <w:sz w:val="20"/>
          <w:szCs w:val="20"/>
          <w:lang w:val="sr-Cyrl-RS" w:eastAsia="ja-JP"/>
        </w:rPr>
        <w:lastRenderedPageBreak/>
        <w:t xml:space="preserve">Табела </w:t>
      </w:r>
      <w:r w:rsidR="005B01D9" w:rsidRPr="00A37BCE">
        <w:rPr>
          <w:rFonts w:eastAsia="MS PGothic" w:cstheme="minorHAnsi"/>
          <w:b/>
          <w:color w:val="002060"/>
          <w:sz w:val="20"/>
          <w:szCs w:val="20"/>
          <w:lang w:val="sr-Cyrl-RS" w:eastAsia="ja-JP"/>
        </w:rPr>
        <w:t>10</w:t>
      </w:r>
      <w:r w:rsidRPr="00A37BCE">
        <w:rPr>
          <w:rFonts w:eastAsia="MS PGothic" w:cstheme="minorHAnsi"/>
          <w:b/>
          <w:color w:val="002060"/>
          <w:sz w:val="20"/>
          <w:szCs w:val="20"/>
          <w:lang w:val="sr-Cyrl-RS" w:eastAsia="ja-JP"/>
        </w:rPr>
        <w:t>. Укупни расходи у периоду 2017–2021. године, % БДП</w:t>
      </w:r>
    </w:p>
    <w:tbl>
      <w:tblPr>
        <w:tblStyle w:val="LightShading-Accent1221"/>
        <w:tblW w:w="5000" w:type="pct"/>
        <w:tblLook w:val="0420" w:firstRow="1" w:lastRow="0" w:firstColumn="0" w:lastColumn="0" w:noHBand="0" w:noVBand="1"/>
      </w:tblPr>
      <w:tblGrid>
        <w:gridCol w:w="3488"/>
        <w:gridCol w:w="1563"/>
        <w:gridCol w:w="1224"/>
        <w:gridCol w:w="887"/>
        <w:gridCol w:w="1097"/>
        <w:gridCol w:w="1101"/>
      </w:tblGrid>
      <w:tr w:rsidR="00BA4876" w:rsidRPr="00A37BCE" w14:paraId="49B23EFF" w14:textId="77777777" w:rsidTr="00BA4876">
        <w:trPr>
          <w:cnfStyle w:val="100000000000" w:firstRow="1" w:lastRow="0" w:firstColumn="0" w:lastColumn="0" w:oddVBand="0" w:evenVBand="0" w:oddHBand="0" w:evenHBand="0" w:firstRowFirstColumn="0" w:firstRowLastColumn="0" w:lastRowFirstColumn="0" w:lastRowLastColumn="0"/>
          <w:trHeight w:val="41"/>
        </w:trPr>
        <w:tc>
          <w:tcPr>
            <w:tcW w:w="1863" w:type="pct"/>
            <w:tcBorders>
              <w:top w:val="single" w:sz="4" w:space="0" w:color="002060"/>
              <w:bottom w:val="single" w:sz="4" w:space="0" w:color="002060"/>
            </w:tcBorders>
            <w:noWrap/>
            <w:vAlign w:val="center"/>
          </w:tcPr>
          <w:p w14:paraId="49208EDC" w14:textId="77777777" w:rsidR="00BA4876" w:rsidRPr="00B3546C" w:rsidRDefault="00BA4876" w:rsidP="00BA4876">
            <w:pPr>
              <w:keepNext/>
              <w:widowControl w:val="0"/>
              <w:shd w:val="clear" w:color="auto" w:fill="FFFFFF" w:themeFill="background1"/>
              <w:spacing w:line="276" w:lineRule="auto"/>
              <w:jc w:val="both"/>
              <w:rPr>
                <w:rFonts w:asciiTheme="minorHAnsi" w:eastAsia="Times New Roman" w:hAnsiTheme="minorHAnsi" w:cstheme="minorHAnsi"/>
                <w:b w:val="0"/>
                <w:color w:val="002060"/>
                <w:sz w:val="18"/>
                <w:szCs w:val="18"/>
                <w:lang w:val="sr-Cyrl-RS"/>
              </w:rPr>
            </w:pPr>
            <w:r w:rsidRPr="00B3546C">
              <w:rPr>
                <w:rFonts w:asciiTheme="minorHAnsi" w:hAnsiTheme="minorHAnsi" w:cstheme="minorHAnsi"/>
                <w:b w:val="0"/>
                <w:color w:val="002060"/>
                <w:sz w:val="18"/>
                <w:lang w:val="sr-Cyrl-RS"/>
              </w:rPr>
              <w:t>Опис</w:t>
            </w:r>
          </w:p>
        </w:tc>
        <w:tc>
          <w:tcPr>
            <w:tcW w:w="835" w:type="pct"/>
            <w:tcBorders>
              <w:top w:val="single" w:sz="4" w:space="0" w:color="002060"/>
              <w:bottom w:val="single" w:sz="4" w:space="0" w:color="002060"/>
            </w:tcBorders>
            <w:vAlign w:val="center"/>
          </w:tcPr>
          <w:p w14:paraId="01155F4C" w14:textId="77777777" w:rsidR="00BA4876" w:rsidRPr="00B3546C" w:rsidRDefault="00BA4876" w:rsidP="00BA4876">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lang w:val="sr-Cyrl-RS"/>
              </w:rPr>
            </w:pPr>
            <w:r w:rsidRPr="00B3546C">
              <w:rPr>
                <w:rFonts w:asciiTheme="minorHAnsi" w:hAnsiTheme="minorHAnsi" w:cstheme="minorHAnsi"/>
                <w:b w:val="0"/>
                <w:color w:val="002060"/>
                <w:sz w:val="18"/>
                <w:lang w:val="sr-Cyrl-RS"/>
              </w:rPr>
              <w:t>Извршење</w:t>
            </w:r>
          </w:p>
        </w:tc>
        <w:tc>
          <w:tcPr>
            <w:tcW w:w="654" w:type="pct"/>
            <w:tcBorders>
              <w:top w:val="single" w:sz="4" w:space="0" w:color="002060"/>
              <w:bottom w:val="single" w:sz="4" w:space="0" w:color="002060"/>
            </w:tcBorders>
            <w:vAlign w:val="center"/>
          </w:tcPr>
          <w:p w14:paraId="2BF5A421" w14:textId="77777777" w:rsidR="00BA4876" w:rsidRPr="00B3546C" w:rsidRDefault="00BA4876" w:rsidP="00BA4876">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lang w:val="sr-Cyrl-RS"/>
              </w:rPr>
            </w:pPr>
            <w:r w:rsidRPr="00B3546C">
              <w:rPr>
                <w:rFonts w:asciiTheme="minorHAnsi" w:hAnsiTheme="minorHAnsi" w:cstheme="minorHAnsi"/>
                <w:b w:val="0"/>
                <w:color w:val="002060"/>
                <w:sz w:val="18"/>
                <w:lang w:val="sr-Cyrl-RS"/>
              </w:rPr>
              <w:t>Процена</w:t>
            </w:r>
          </w:p>
        </w:tc>
        <w:tc>
          <w:tcPr>
            <w:tcW w:w="1648" w:type="pct"/>
            <w:gridSpan w:val="3"/>
            <w:tcBorders>
              <w:top w:val="single" w:sz="4" w:space="0" w:color="002060"/>
              <w:bottom w:val="single" w:sz="4" w:space="0" w:color="002060"/>
            </w:tcBorders>
            <w:vAlign w:val="center"/>
          </w:tcPr>
          <w:p w14:paraId="09A63E57" w14:textId="77777777" w:rsidR="00BA4876" w:rsidRPr="00B3546C" w:rsidRDefault="00BA4876" w:rsidP="00BA4876">
            <w:pPr>
              <w:keepNext/>
              <w:widowControl w:val="0"/>
              <w:shd w:val="clear" w:color="auto" w:fill="FFFFFF" w:themeFill="background1"/>
              <w:spacing w:line="276" w:lineRule="auto"/>
              <w:jc w:val="center"/>
              <w:rPr>
                <w:rFonts w:asciiTheme="minorHAnsi" w:eastAsia="Times New Roman" w:hAnsiTheme="minorHAnsi" w:cstheme="minorHAnsi"/>
                <w:b w:val="0"/>
                <w:color w:val="002060"/>
                <w:sz w:val="18"/>
                <w:szCs w:val="18"/>
                <w:lang w:val="sr-Cyrl-RS"/>
              </w:rPr>
            </w:pPr>
            <w:r w:rsidRPr="00B3546C">
              <w:rPr>
                <w:rFonts w:asciiTheme="minorHAnsi" w:hAnsiTheme="minorHAnsi" w:cstheme="minorHAnsi"/>
                <w:b w:val="0"/>
                <w:color w:val="002060"/>
                <w:sz w:val="18"/>
                <w:lang w:val="sr-Cyrl-RS"/>
              </w:rPr>
              <w:t>Пројекција</w:t>
            </w:r>
          </w:p>
        </w:tc>
      </w:tr>
      <w:tr w:rsidR="00BA4876" w:rsidRPr="00A37BCE" w14:paraId="70B9B75D" w14:textId="77777777" w:rsidTr="00BA4876">
        <w:trPr>
          <w:cnfStyle w:val="000000100000" w:firstRow="0" w:lastRow="0" w:firstColumn="0" w:lastColumn="0" w:oddVBand="0" w:evenVBand="0" w:oddHBand="1" w:evenHBand="0" w:firstRowFirstColumn="0" w:firstRowLastColumn="0" w:lastRowFirstColumn="0" w:lastRowLastColumn="0"/>
          <w:trHeight w:val="41"/>
        </w:trPr>
        <w:tc>
          <w:tcPr>
            <w:tcW w:w="1863" w:type="pct"/>
            <w:tcBorders>
              <w:top w:val="single" w:sz="4" w:space="0" w:color="002060"/>
              <w:bottom w:val="nil"/>
            </w:tcBorders>
            <w:shd w:val="clear" w:color="auto" w:fill="FFFFFF" w:themeFill="background1"/>
            <w:noWrap/>
          </w:tcPr>
          <w:p w14:paraId="5627A559" w14:textId="77777777" w:rsidR="00BA4876" w:rsidRPr="00B3546C" w:rsidRDefault="00BA4876" w:rsidP="00BA4876">
            <w:pPr>
              <w:keepNext/>
              <w:widowControl w:val="0"/>
              <w:shd w:val="clear" w:color="auto" w:fill="FFFFFF" w:themeFill="background1"/>
              <w:spacing w:line="276" w:lineRule="auto"/>
              <w:jc w:val="both"/>
              <w:rPr>
                <w:rFonts w:asciiTheme="minorHAnsi" w:eastAsia="Times New Roman" w:hAnsiTheme="minorHAnsi" w:cstheme="minorHAnsi"/>
                <w:bCs/>
                <w:color w:val="002060"/>
                <w:sz w:val="18"/>
                <w:szCs w:val="18"/>
                <w:lang w:val="sr-Cyrl-RS"/>
              </w:rPr>
            </w:pPr>
          </w:p>
        </w:tc>
        <w:tc>
          <w:tcPr>
            <w:tcW w:w="835" w:type="pct"/>
            <w:tcBorders>
              <w:top w:val="single" w:sz="4" w:space="0" w:color="002060"/>
              <w:bottom w:val="single" w:sz="4" w:space="0" w:color="002060"/>
            </w:tcBorders>
            <w:shd w:val="clear" w:color="auto" w:fill="FFFFFF" w:themeFill="background1"/>
          </w:tcPr>
          <w:p w14:paraId="49FF2E49" w14:textId="77777777" w:rsidR="00BA4876" w:rsidRPr="00B3546C" w:rsidRDefault="00BA4876" w:rsidP="00BA4876">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B3546C">
              <w:rPr>
                <w:rFonts w:asciiTheme="minorHAnsi" w:eastAsia="Times New Roman" w:hAnsiTheme="minorHAnsi" w:cstheme="minorHAnsi"/>
                <w:bCs/>
                <w:color w:val="002060"/>
                <w:sz w:val="18"/>
                <w:szCs w:val="18"/>
                <w:lang w:val="sr-Cyrl-RS"/>
              </w:rPr>
              <w:t>2017</w:t>
            </w:r>
          </w:p>
        </w:tc>
        <w:tc>
          <w:tcPr>
            <w:tcW w:w="654" w:type="pct"/>
            <w:tcBorders>
              <w:top w:val="single" w:sz="4" w:space="0" w:color="002060"/>
              <w:bottom w:val="single" w:sz="4" w:space="0" w:color="002060"/>
            </w:tcBorders>
            <w:shd w:val="clear" w:color="auto" w:fill="FFFFFF" w:themeFill="background1"/>
          </w:tcPr>
          <w:p w14:paraId="5D9F7006" w14:textId="77777777" w:rsidR="00BA4876" w:rsidRPr="00B3546C" w:rsidRDefault="00BA4876" w:rsidP="00BA4876">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B3546C">
              <w:rPr>
                <w:rFonts w:asciiTheme="minorHAnsi" w:eastAsia="Times New Roman" w:hAnsiTheme="minorHAnsi" w:cstheme="minorHAnsi"/>
                <w:bCs/>
                <w:color w:val="002060"/>
                <w:sz w:val="18"/>
                <w:szCs w:val="18"/>
                <w:lang w:val="sr-Cyrl-RS"/>
              </w:rPr>
              <w:t>2018</w:t>
            </w:r>
          </w:p>
        </w:tc>
        <w:tc>
          <w:tcPr>
            <w:tcW w:w="474" w:type="pct"/>
            <w:tcBorders>
              <w:top w:val="single" w:sz="4" w:space="0" w:color="002060"/>
              <w:bottom w:val="single" w:sz="4" w:space="0" w:color="002060"/>
            </w:tcBorders>
            <w:shd w:val="clear" w:color="auto" w:fill="FFFFFF" w:themeFill="background1"/>
          </w:tcPr>
          <w:p w14:paraId="48997749" w14:textId="77777777" w:rsidR="00BA4876" w:rsidRPr="00B3546C" w:rsidRDefault="00BA4876" w:rsidP="00BA4876">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B3546C">
              <w:rPr>
                <w:rFonts w:asciiTheme="minorHAnsi" w:eastAsia="Times New Roman" w:hAnsiTheme="minorHAnsi" w:cstheme="minorHAnsi"/>
                <w:bCs/>
                <w:color w:val="002060"/>
                <w:sz w:val="18"/>
                <w:szCs w:val="18"/>
                <w:lang w:val="sr-Cyrl-RS"/>
              </w:rPr>
              <w:t>2019</w:t>
            </w:r>
          </w:p>
        </w:tc>
        <w:tc>
          <w:tcPr>
            <w:tcW w:w="586" w:type="pct"/>
            <w:tcBorders>
              <w:top w:val="single" w:sz="4" w:space="0" w:color="002060"/>
              <w:bottom w:val="single" w:sz="4" w:space="0" w:color="002060"/>
            </w:tcBorders>
            <w:shd w:val="clear" w:color="auto" w:fill="FFFFFF" w:themeFill="background1"/>
          </w:tcPr>
          <w:p w14:paraId="428214F2" w14:textId="77777777" w:rsidR="00BA4876" w:rsidRPr="00B3546C" w:rsidRDefault="00BA4876" w:rsidP="00BA4876">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B3546C">
              <w:rPr>
                <w:rFonts w:asciiTheme="minorHAnsi" w:eastAsia="Times New Roman" w:hAnsiTheme="minorHAnsi" w:cstheme="minorHAnsi"/>
                <w:bCs/>
                <w:color w:val="002060"/>
                <w:sz w:val="18"/>
                <w:szCs w:val="18"/>
                <w:lang w:val="sr-Cyrl-RS"/>
              </w:rPr>
              <w:t>2020</w:t>
            </w:r>
          </w:p>
        </w:tc>
        <w:tc>
          <w:tcPr>
            <w:tcW w:w="588" w:type="pct"/>
            <w:tcBorders>
              <w:top w:val="single" w:sz="4" w:space="0" w:color="002060"/>
              <w:bottom w:val="single" w:sz="4" w:space="0" w:color="002060"/>
            </w:tcBorders>
            <w:shd w:val="clear" w:color="auto" w:fill="FFFFFF" w:themeFill="background1"/>
          </w:tcPr>
          <w:p w14:paraId="136A5132" w14:textId="77777777" w:rsidR="00BA4876" w:rsidRPr="00B3546C" w:rsidRDefault="00BA4876" w:rsidP="00BA4876">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B3546C">
              <w:rPr>
                <w:rFonts w:asciiTheme="minorHAnsi" w:eastAsia="Times New Roman" w:hAnsiTheme="minorHAnsi" w:cstheme="minorHAnsi"/>
                <w:bCs/>
                <w:color w:val="002060"/>
                <w:sz w:val="18"/>
                <w:szCs w:val="18"/>
                <w:lang w:val="sr-Cyrl-RS"/>
              </w:rPr>
              <w:t>2021</w:t>
            </w:r>
          </w:p>
        </w:tc>
      </w:tr>
      <w:tr w:rsidR="00BA4876" w:rsidRPr="00A37BCE" w14:paraId="3953B57C" w14:textId="77777777" w:rsidTr="00BA4876">
        <w:trPr>
          <w:trHeight w:val="41"/>
        </w:trPr>
        <w:tc>
          <w:tcPr>
            <w:tcW w:w="1863" w:type="pct"/>
            <w:tcBorders>
              <w:top w:val="nil"/>
            </w:tcBorders>
            <w:shd w:val="clear" w:color="auto" w:fill="FFFFFF" w:themeFill="background1"/>
          </w:tcPr>
          <w:p w14:paraId="1FBC6093" w14:textId="77777777" w:rsidR="00BA4876" w:rsidRPr="00B3546C" w:rsidRDefault="00BA4876" w:rsidP="00BA4876">
            <w:pPr>
              <w:keepNext/>
              <w:widowControl w:val="0"/>
              <w:shd w:val="clear" w:color="auto" w:fill="FFFFFF" w:themeFill="background1"/>
              <w:spacing w:line="276" w:lineRule="auto"/>
              <w:jc w:val="both"/>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ЈАВНИ РАСХОДИ</w:t>
            </w:r>
          </w:p>
        </w:tc>
        <w:tc>
          <w:tcPr>
            <w:tcW w:w="835" w:type="pct"/>
            <w:tcBorders>
              <w:top w:val="single" w:sz="4" w:space="0" w:color="002060"/>
            </w:tcBorders>
            <w:shd w:val="clear" w:color="auto" w:fill="FFFFFF" w:themeFill="background1"/>
          </w:tcPr>
          <w:p w14:paraId="18D1AF90"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40,4</w:t>
            </w:r>
          </w:p>
        </w:tc>
        <w:tc>
          <w:tcPr>
            <w:tcW w:w="654" w:type="pct"/>
            <w:tcBorders>
              <w:top w:val="single" w:sz="4" w:space="0" w:color="002060"/>
            </w:tcBorders>
            <w:shd w:val="clear" w:color="auto" w:fill="FFFFFF" w:themeFill="background1"/>
            <w:noWrap/>
          </w:tcPr>
          <w:p w14:paraId="3F48D7B7"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40,6</w:t>
            </w:r>
          </w:p>
        </w:tc>
        <w:tc>
          <w:tcPr>
            <w:tcW w:w="474" w:type="pct"/>
            <w:tcBorders>
              <w:top w:val="single" w:sz="4" w:space="0" w:color="002060"/>
            </w:tcBorders>
            <w:shd w:val="clear" w:color="auto" w:fill="FFFFFF" w:themeFill="background1"/>
            <w:noWrap/>
          </w:tcPr>
          <w:p w14:paraId="68886E5B"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40,4</w:t>
            </w:r>
          </w:p>
        </w:tc>
        <w:tc>
          <w:tcPr>
            <w:tcW w:w="586" w:type="pct"/>
            <w:tcBorders>
              <w:top w:val="single" w:sz="4" w:space="0" w:color="002060"/>
            </w:tcBorders>
            <w:shd w:val="clear" w:color="auto" w:fill="FFFFFF" w:themeFill="background1"/>
            <w:noWrap/>
          </w:tcPr>
          <w:p w14:paraId="54FE81F5"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39,7</w:t>
            </w:r>
          </w:p>
        </w:tc>
        <w:tc>
          <w:tcPr>
            <w:tcW w:w="588" w:type="pct"/>
            <w:tcBorders>
              <w:top w:val="single" w:sz="4" w:space="0" w:color="002060"/>
            </w:tcBorders>
            <w:shd w:val="clear" w:color="auto" w:fill="FFFFFF" w:themeFill="background1"/>
            <w:noWrap/>
          </w:tcPr>
          <w:p w14:paraId="42CC793B"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39,2</w:t>
            </w:r>
          </w:p>
        </w:tc>
      </w:tr>
      <w:tr w:rsidR="00BA4876" w:rsidRPr="00A37BCE" w14:paraId="3FD6DABE" w14:textId="77777777" w:rsidTr="00BA4876">
        <w:trPr>
          <w:cnfStyle w:val="000000100000" w:firstRow="0" w:lastRow="0" w:firstColumn="0" w:lastColumn="0" w:oddVBand="0" w:evenVBand="0" w:oddHBand="1" w:evenHBand="0" w:firstRowFirstColumn="0" w:firstRowLastColumn="0" w:lastRowFirstColumn="0" w:lastRowLastColumn="0"/>
          <w:trHeight w:val="41"/>
        </w:trPr>
        <w:tc>
          <w:tcPr>
            <w:tcW w:w="1863" w:type="pct"/>
            <w:shd w:val="clear" w:color="auto" w:fill="FFFFFF" w:themeFill="background1"/>
          </w:tcPr>
          <w:p w14:paraId="5B6622D9" w14:textId="77777777" w:rsidR="00BA4876" w:rsidRPr="00B3546C" w:rsidRDefault="00BA4876" w:rsidP="00BA4876">
            <w:pPr>
              <w:keepNext/>
              <w:widowControl w:val="0"/>
              <w:shd w:val="clear" w:color="auto" w:fill="FFFFFF" w:themeFill="background1"/>
              <w:spacing w:line="276" w:lineRule="auto"/>
              <w:jc w:val="both"/>
              <w:rPr>
                <w:rFonts w:asciiTheme="minorHAnsi" w:eastAsia="Times New Roman" w:hAnsiTheme="minorHAnsi" w:cstheme="minorHAnsi"/>
                <w:bCs/>
                <w:color w:val="002060"/>
                <w:sz w:val="18"/>
                <w:szCs w:val="18"/>
                <w:lang w:val="sr-Cyrl-RS"/>
              </w:rPr>
            </w:pPr>
            <w:r w:rsidRPr="00B3546C">
              <w:rPr>
                <w:rFonts w:asciiTheme="minorHAnsi" w:eastAsia="Times New Roman" w:hAnsiTheme="minorHAnsi" w:cstheme="minorHAnsi"/>
                <w:bCs/>
                <w:color w:val="002060"/>
                <w:sz w:val="18"/>
                <w:szCs w:val="18"/>
                <w:lang w:val="sr-Cyrl-RS"/>
              </w:rPr>
              <w:t xml:space="preserve"> Текући расходи</w:t>
            </w:r>
          </w:p>
        </w:tc>
        <w:tc>
          <w:tcPr>
            <w:tcW w:w="835" w:type="pct"/>
            <w:shd w:val="clear" w:color="auto" w:fill="FFFFFF" w:themeFill="background1"/>
          </w:tcPr>
          <w:p w14:paraId="7853BFA3"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36,7</w:t>
            </w:r>
          </w:p>
        </w:tc>
        <w:tc>
          <w:tcPr>
            <w:tcW w:w="654" w:type="pct"/>
            <w:shd w:val="clear" w:color="auto" w:fill="FFFFFF" w:themeFill="background1"/>
            <w:noWrap/>
          </w:tcPr>
          <w:p w14:paraId="3FEBC421"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36,4</w:t>
            </w:r>
          </w:p>
        </w:tc>
        <w:tc>
          <w:tcPr>
            <w:tcW w:w="474" w:type="pct"/>
            <w:shd w:val="clear" w:color="auto" w:fill="FFFFFF" w:themeFill="background1"/>
            <w:noWrap/>
          </w:tcPr>
          <w:p w14:paraId="52CFFFD4"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36,0</w:t>
            </w:r>
          </w:p>
        </w:tc>
        <w:tc>
          <w:tcPr>
            <w:tcW w:w="586" w:type="pct"/>
            <w:shd w:val="clear" w:color="auto" w:fill="FFFFFF" w:themeFill="background1"/>
            <w:noWrap/>
          </w:tcPr>
          <w:p w14:paraId="109639B1"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35,5</w:t>
            </w:r>
          </w:p>
        </w:tc>
        <w:tc>
          <w:tcPr>
            <w:tcW w:w="588" w:type="pct"/>
            <w:shd w:val="clear" w:color="auto" w:fill="FFFFFF" w:themeFill="background1"/>
            <w:noWrap/>
          </w:tcPr>
          <w:p w14:paraId="6E2FEE53"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34,9</w:t>
            </w:r>
          </w:p>
        </w:tc>
      </w:tr>
      <w:tr w:rsidR="00BA4876" w:rsidRPr="00A37BCE" w14:paraId="38F5C4FE" w14:textId="77777777" w:rsidTr="00BA4876">
        <w:trPr>
          <w:trHeight w:val="41"/>
        </w:trPr>
        <w:tc>
          <w:tcPr>
            <w:tcW w:w="1863" w:type="pct"/>
            <w:shd w:val="clear" w:color="auto" w:fill="FFFFFF" w:themeFill="background1"/>
          </w:tcPr>
          <w:p w14:paraId="309276C7" w14:textId="77777777" w:rsidR="00BA4876" w:rsidRPr="00B3546C" w:rsidRDefault="00BA4876" w:rsidP="00BA4876">
            <w:pPr>
              <w:keepNext/>
              <w:widowControl w:val="0"/>
              <w:shd w:val="clear" w:color="auto" w:fill="FFFFFF" w:themeFill="background1"/>
              <w:spacing w:line="276" w:lineRule="auto"/>
              <w:ind w:left="284"/>
              <w:jc w:val="both"/>
              <w:rPr>
                <w:rFonts w:asciiTheme="minorHAnsi" w:eastAsia="Times New Roman" w:hAnsiTheme="minorHAnsi" w:cstheme="minorHAnsi"/>
                <w:bCs/>
                <w:color w:val="002060"/>
                <w:sz w:val="18"/>
                <w:szCs w:val="18"/>
                <w:lang w:val="sr-Cyrl-RS"/>
              </w:rPr>
            </w:pPr>
            <w:r w:rsidRPr="00B3546C">
              <w:rPr>
                <w:rFonts w:asciiTheme="minorHAnsi" w:eastAsia="Times New Roman" w:hAnsiTheme="minorHAnsi" w:cstheme="minorHAnsi"/>
                <w:bCs/>
                <w:color w:val="002060"/>
                <w:sz w:val="18"/>
                <w:szCs w:val="18"/>
                <w:lang w:val="sr-Cyrl-RS"/>
              </w:rPr>
              <w:t>Расходи за запослене</w:t>
            </w:r>
          </w:p>
        </w:tc>
        <w:tc>
          <w:tcPr>
            <w:tcW w:w="835" w:type="pct"/>
            <w:shd w:val="clear" w:color="auto" w:fill="FFFFFF" w:themeFill="background1"/>
          </w:tcPr>
          <w:p w14:paraId="7DE37C44"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9,0</w:t>
            </w:r>
          </w:p>
        </w:tc>
        <w:tc>
          <w:tcPr>
            <w:tcW w:w="654" w:type="pct"/>
            <w:shd w:val="clear" w:color="auto" w:fill="FFFFFF" w:themeFill="background1"/>
            <w:noWrap/>
          </w:tcPr>
          <w:p w14:paraId="1B2343F4"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9,2</w:t>
            </w:r>
          </w:p>
        </w:tc>
        <w:tc>
          <w:tcPr>
            <w:tcW w:w="474" w:type="pct"/>
            <w:shd w:val="clear" w:color="auto" w:fill="FFFFFF" w:themeFill="background1"/>
            <w:noWrap/>
          </w:tcPr>
          <w:p w14:paraId="32F295DF"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9,2</w:t>
            </w:r>
          </w:p>
        </w:tc>
        <w:tc>
          <w:tcPr>
            <w:tcW w:w="586" w:type="pct"/>
            <w:shd w:val="clear" w:color="auto" w:fill="FFFFFF" w:themeFill="background1"/>
            <w:noWrap/>
          </w:tcPr>
          <w:p w14:paraId="1F6C68A0"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9,2</w:t>
            </w:r>
          </w:p>
        </w:tc>
        <w:tc>
          <w:tcPr>
            <w:tcW w:w="588" w:type="pct"/>
            <w:shd w:val="clear" w:color="auto" w:fill="FFFFFF" w:themeFill="background1"/>
            <w:noWrap/>
          </w:tcPr>
          <w:p w14:paraId="1CF68916"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9,2</w:t>
            </w:r>
          </w:p>
        </w:tc>
      </w:tr>
      <w:tr w:rsidR="00BA4876" w:rsidRPr="00A37BCE" w14:paraId="62745DEA" w14:textId="77777777" w:rsidTr="00BA4876">
        <w:trPr>
          <w:cnfStyle w:val="000000100000" w:firstRow="0" w:lastRow="0" w:firstColumn="0" w:lastColumn="0" w:oddVBand="0" w:evenVBand="0" w:oddHBand="1" w:evenHBand="0" w:firstRowFirstColumn="0" w:firstRowLastColumn="0" w:lastRowFirstColumn="0" w:lastRowLastColumn="0"/>
          <w:trHeight w:val="41"/>
        </w:trPr>
        <w:tc>
          <w:tcPr>
            <w:tcW w:w="1863" w:type="pct"/>
            <w:shd w:val="clear" w:color="auto" w:fill="FFFFFF" w:themeFill="background1"/>
          </w:tcPr>
          <w:p w14:paraId="4793205C" w14:textId="77777777" w:rsidR="00BA4876" w:rsidRPr="00B3546C" w:rsidRDefault="00BA4876" w:rsidP="00BA4876">
            <w:pPr>
              <w:keepNext/>
              <w:widowControl w:val="0"/>
              <w:shd w:val="clear" w:color="auto" w:fill="FFFFFF" w:themeFill="background1"/>
              <w:spacing w:line="276" w:lineRule="auto"/>
              <w:ind w:left="284"/>
              <w:jc w:val="both"/>
              <w:rPr>
                <w:rFonts w:asciiTheme="minorHAnsi" w:eastAsia="Times New Roman" w:hAnsiTheme="minorHAnsi" w:cstheme="minorHAnsi"/>
                <w:bCs/>
                <w:color w:val="002060"/>
                <w:sz w:val="18"/>
                <w:szCs w:val="18"/>
                <w:lang w:val="sr-Cyrl-RS"/>
              </w:rPr>
            </w:pPr>
            <w:r w:rsidRPr="00B3546C">
              <w:rPr>
                <w:rFonts w:asciiTheme="minorHAnsi" w:eastAsia="Times New Roman" w:hAnsiTheme="minorHAnsi" w:cstheme="minorHAnsi"/>
                <w:bCs/>
                <w:color w:val="002060"/>
                <w:sz w:val="18"/>
                <w:szCs w:val="18"/>
                <w:lang w:val="sr-Cyrl-RS"/>
              </w:rPr>
              <w:t>Куповина робе и услуга</w:t>
            </w:r>
          </w:p>
        </w:tc>
        <w:tc>
          <w:tcPr>
            <w:tcW w:w="835" w:type="pct"/>
            <w:shd w:val="clear" w:color="auto" w:fill="FFFFFF" w:themeFill="background1"/>
          </w:tcPr>
          <w:p w14:paraId="724D4C53"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6,3</w:t>
            </w:r>
          </w:p>
        </w:tc>
        <w:tc>
          <w:tcPr>
            <w:tcW w:w="654" w:type="pct"/>
            <w:shd w:val="clear" w:color="auto" w:fill="FFFFFF" w:themeFill="background1"/>
            <w:noWrap/>
          </w:tcPr>
          <w:p w14:paraId="1A76035E"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6,7</w:t>
            </w:r>
          </w:p>
        </w:tc>
        <w:tc>
          <w:tcPr>
            <w:tcW w:w="474" w:type="pct"/>
            <w:shd w:val="clear" w:color="auto" w:fill="FFFFFF" w:themeFill="background1"/>
            <w:noWrap/>
          </w:tcPr>
          <w:p w14:paraId="3C6BE053"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6,7</w:t>
            </w:r>
          </w:p>
        </w:tc>
        <w:tc>
          <w:tcPr>
            <w:tcW w:w="586" w:type="pct"/>
            <w:shd w:val="clear" w:color="auto" w:fill="FFFFFF" w:themeFill="background1"/>
            <w:noWrap/>
          </w:tcPr>
          <w:p w14:paraId="1189AC51"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6,6</w:t>
            </w:r>
          </w:p>
        </w:tc>
        <w:tc>
          <w:tcPr>
            <w:tcW w:w="588" w:type="pct"/>
            <w:shd w:val="clear" w:color="auto" w:fill="FFFFFF" w:themeFill="background1"/>
            <w:noWrap/>
          </w:tcPr>
          <w:p w14:paraId="69A462EF"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6,5</w:t>
            </w:r>
          </w:p>
        </w:tc>
      </w:tr>
      <w:tr w:rsidR="00BA4876" w:rsidRPr="00A37BCE" w14:paraId="2D4CE870" w14:textId="77777777" w:rsidTr="00BA4876">
        <w:trPr>
          <w:trHeight w:val="41"/>
        </w:trPr>
        <w:tc>
          <w:tcPr>
            <w:tcW w:w="1863" w:type="pct"/>
            <w:shd w:val="clear" w:color="auto" w:fill="FFFFFF" w:themeFill="background1"/>
          </w:tcPr>
          <w:p w14:paraId="2543B3D9" w14:textId="77777777" w:rsidR="00BA4876" w:rsidRPr="00B3546C" w:rsidRDefault="00BA4876" w:rsidP="00BA4876">
            <w:pPr>
              <w:keepNext/>
              <w:widowControl w:val="0"/>
              <w:shd w:val="clear" w:color="auto" w:fill="FFFFFF" w:themeFill="background1"/>
              <w:spacing w:line="276" w:lineRule="auto"/>
              <w:ind w:left="284"/>
              <w:jc w:val="both"/>
              <w:rPr>
                <w:rFonts w:asciiTheme="minorHAnsi" w:eastAsia="Times New Roman" w:hAnsiTheme="minorHAnsi" w:cstheme="minorHAnsi"/>
                <w:bCs/>
                <w:color w:val="002060"/>
                <w:sz w:val="18"/>
                <w:szCs w:val="18"/>
                <w:lang w:val="sr-Cyrl-RS"/>
              </w:rPr>
            </w:pPr>
            <w:r w:rsidRPr="00B3546C">
              <w:rPr>
                <w:rFonts w:asciiTheme="minorHAnsi" w:eastAsia="Times New Roman" w:hAnsiTheme="minorHAnsi" w:cstheme="minorHAnsi"/>
                <w:bCs/>
                <w:color w:val="002060"/>
                <w:sz w:val="18"/>
                <w:szCs w:val="18"/>
                <w:lang w:val="sr-Cyrl-RS"/>
              </w:rPr>
              <w:t>Отплата камата</w:t>
            </w:r>
          </w:p>
        </w:tc>
        <w:tc>
          <w:tcPr>
            <w:tcW w:w="835" w:type="pct"/>
            <w:shd w:val="clear" w:color="auto" w:fill="FFFFFF" w:themeFill="background1"/>
          </w:tcPr>
          <w:p w14:paraId="31575D81"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2,5</w:t>
            </w:r>
          </w:p>
        </w:tc>
        <w:tc>
          <w:tcPr>
            <w:tcW w:w="654" w:type="pct"/>
            <w:shd w:val="clear" w:color="auto" w:fill="FFFFFF" w:themeFill="background1"/>
            <w:noWrap/>
          </w:tcPr>
          <w:p w14:paraId="7FAAF740"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2,1</w:t>
            </w:r>
          </w:p>
        </w:tc>
        <w:tc>
          <w:tcPr>
            <w:tcW w:w="474" w:type="pct"/>
            <w:shd w:val="clear" w:color="auto" w:fill="FFFFFF" w:themeFill="background1"/>
            <w:noWrap/>
          </w:tcPr>
          <w:p w14:paraId="5CDC46D6"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2,0</w:t>
            </w:r>
          </w:p>
        </w:tc>
        <w:tc>
          <w:tcPr>
            <w:tcW w:w="586" w:type="pct"/>
            <w:shd w:val="clear" w:color="auto" w:fill="FFFFFF" w:themeFill="background1"/>
            <w:noWrap/>
          </w:tcPr>
          <w:p w14:paraId="099671DD"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1,8</w:t>
            </w:r>
          </w:p>
        </w:tc>
        <w:tc>
          <w:tcPr>
            <w:tcW w:w="588" w:type="pct"/>
            <w:shd w:val="clear" w:color="auto" w:fill="FFFFFF" w:themeFill="background1"/>
            <w:noWrap/>
          </w:tcPr>
          <w:p w14:paraId="6B9AD0E6"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1,6</w:t>
            </w:r>
          </w:p>
        </w:tc>
      </w:tr>
      <w:tr w:rsidR="00BA4876" w:rsidRPr="00A37BCE" w14:paraId="11AFE867" w14:textId="77777777" w:rsidTr="00BA4876">
        <w:trPr>
          <w:cnfStyle w:val="000000100000" w:firstRow="0" w:lastRow="0" w:firstColumn="0" w:lastColumn="0" w:oddVBand="0" w:evenVBand="0" w:oddHBand="1" w:evenHBand="0" w:firstRowFirstColumn="0" w:firstRowLastColumn="0" w:lastRowFirstColumn="0" w:lastRowLastColumn="0"/>
          <w:trHeight w:val="41"/>
        </w:trPr>
        <w:tc>
          <w:tcPr>
            <w:tcW w:w="1863" w:type="pct"/>
            <w:shd w:val="clear" w:color="auto" w:fill="FFFFFF" w:themeFill="background1"/>
          </w:tcPr>
          <w:p w14:paraId="7A7DE547" w14:textId="77777777" w:rsidR="00BA4876" w:rsidRPr="00B3546C" w:rsidRDefault="00BA4876" w:rsidP="00BA4876">
            <w:pPr>
              <w:keepNext/>
              <w:widowControl w:val="0"/>
              <w:shd w:val="clear" w:color="auto" w:fill="FFFFFF" w:themeFill="background1"/>
              <w:spacing w:line="276" w:lineRule="auto"/>
              <w:ind w:left="284"/>
              <w:jc w:val="both"/>
              <w:rPr>
                <w:rFonts w:asciiTheme="minorHAnsi" w:eastAsia="Times New Roman" w:hAnsiTheme="minorHAnsi" w:cstheme="minorHAnsi"/>
                <w:bCs/>
                <w:color w:val="002060"/>
                <w:sz w:val="18"/>
                <w:szCs w:val="18"/>
                <w:lang w:val="sr-Cyrl-RS"/>
              </w:rPr>
            </w:pPr>
            <w:r w:rsidRPr="00B3546C">
              <w:rPr>
                <w:rFonts w:asciiTheme="minorHAnsi" w:eastAsia="Times New Roman" w:hAnsiTheme="minorHAnsi" w:cstheme="minorHAnsi"/>
                <w:bCs/>
                <w:color w:val="002060"/>
                <w:sz w:val="18"/>
                <w:szCs w:val="18"/>
                <w:lang w:val="sr-Cyrl-RS"/>
              </w:rPr>
              <w:t>Субвенције</w:t>
            </w:r>
          </w:p>
        </w:tc>
        <w:tc>
          <w:tcPr>
            <w:tcW w:w="835" w:type="pct"/>
            <w:shd w:val="clear" w:color="auto" w:fill="FFFFFF" w:themeFill="background1"/>
          </w:tcPr>
          <w:p w14:paraId="4AD1D7C4"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2,4</w:t>
            </w:r>
          </w:p>
        </w:tc>
        <w:tc>
          <w:tcPr>
            <w:tcW w:w="654" w:type="pct"/>
            <w:shd w:val="clear" w:color="auto" w:fill="FFFFFF" w:themeFill="background1"/>
            <w:noWrap/>
          </w:tcPr>
          <w:p w14:paraId="6F4F6785"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2,2</w:t>
            </w:r>
          </w:p>
        </w:tc>
        <w:tc>
          <w:tcPr>
            <w:tcW w:w="474" w:type="pct"/>
            <w:shd w:val="clear" w:color="auto" w:fill="FFFFFF" w:themeFill="background1"/>
            <w:noWrap/>
          </w:tcPr>
          <w:p w14:paraId="54435A0B"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2,3</w:t>
            </w:r>
          </w:p>
        </w:tc>
        <w:tc>
          <w:tcPr>
            <w:tcW w:w="586" w:type="pct"/>
            <w:shd w:val="clear" w:color="auto" w:fill="FFFFFF" w:themeFill="background1"/>
            <w:noWrap/>
          </w:tcPr>
          <w:p w14:paraId="36E2343C"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2,2</w:t>
            </w:r>
          </w:p>
        </w:tc>
        <w:tc>
          <w:tcPr>
            <w:tcW w:w="588" w:type="pct"/>
            <w:shd w:val="clear" w:color="auto" w:fill="FFFFFF" w:themeFill="background1"/>
            <w:noWrap/>
          </w:tcPr>
          <w:p w14:paraId="1EFAAC47"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2,1</w:t>
            </w:r>
          </w:p>
        </w:tc>
      </w:tr>
      <w:tr w:rsidR="00BA4876" w:rsidRPr="00A37BCE" w14:paraId="74EBE9C9" w14:textId="77777777" w:rsidTr="00BA4876">
        <w:trPr>
          <w:trHeight w:val="41"/>
        </w:trPr>
        <w:tc>
          <w:tcPr>
            <w:tcW w:w="1863" w:type="pct"/>
            <w:shd w:val="clear" w:color="auto" w:fill="FFFFFF" w:themeFill="background1"/>
          </w:tcPr>
          <w:p w14:paraId="24736B45" w14:textId="77777777" w:rsidR="00BA4876" w:rsidRPr="00B3546C" w:rsidRDefault="00BA4876" w:rsidP="00BA4876">
            <w:pPr>
              <w:keepNext/>
              <w:widowControl w:val="0"/>
              <w:shd w:val="clear" w:color="auto" w:fill="FFFFFF" w:themeFill="background1"/>
              <w:spacing w:line="276" w:lineRule="auto"/>
              <w:ind w:left="284"/>
              <w:jc w:val="both"/>
              <w:rPr>
                <w:rFonts w:asciiTheme="minorHAnsi" w:eastAsia="Times New Roman" w:hAnsiTheme="minorHAnsi" w:cstheme="minorHAnsi"/>
                <w:bCs/>
                <w:color w:val="002060"/>
                <w:sz w:val="18"/>
                <w:szCs w:val="18"/>
                <w:lang w:val="sr-Cyrl-RS"/>
              </w:rPr>
            </w:pPr>
            <w:r w:rsidRPr="00B3546C">
              <w:rPr>
                <w:rFonts w:asciiTheme="minorHAnsi" w:eastAsia="Times New Roman" w:hAnsiTheme="minorHAnsi" w:cstheme="minorHAnsi"/>
                <w:bCs/>
                <w:color w:val="002060"/>
                <w:sz w:val="18"/>
                <w:szCs w:val="18"/>
                <w:lang w:val="sr-Cyrl-RS"/>
              </w:rPr>
              <w:t>Социјална помоћ и трансфери</w:t>
            </w:r>
          </w:p>
        </w:tc>
        <w:tc>
          <w:tcPr>
            <w:tcW w:w="835" w:type="pct"/>
            <w:shd w:val="clear" w:color="auto" w:fill="FFFFFF" w:themeFill="background1"/>
          </w:tcPr>
          <w:p w14:paraId="7AE70437"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15,1</w:t>
            </w:r>
          </w:p>
        </w:tc>
        <w:tc>
          <w:tcPr>
            <w:tcW w:w="654" w:type="pct"/>
            <w:shd w:val="clear" w:color="auto" w:fill="FFFFFF" w:themeFill="background1"/>
            <w:noWrap/>
          </w:tcPr>
          <w:p w14:paraId="0B999D22"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14,7</w:t>
            </w:r>
          </w:p>
        </w:tc>
        <w:tc>
          <w:tcPr>
            <w:tcW w:w="474" w:type="pct"/>
            <w:shd w:val="clear" w:color="auto" w:fill="FFFFFF" w:themeFill="background1"/>
            <w:noWrap/>
          </w:tcPr>
          <w:p w14:paraId="1F2DCB3D" w14:textId="7DFFA100"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14,</w:t>
            </w:r>
            <w:r w:rsidR="00DE6D95" w:rsidRPr="00B3546C">
              <w:rPr>
                <w:rFonts w:asciiTheme="minorHAnsi" w:hAnsiTheme="minorHAnsi" w:cstheme="minorHAnsi"/>
                <w:color w:val="002060"/>
                <w:sz w:val="18"/>
                <w:szCs w:val="18"/>
                <w:lang w:val="sr-Cyrl-RS"/>
              </w:rPr>
              <w:t>4</w:t>
            </w:r>
          </w:p>
        </w:tc>
        <w:tc>
          <w:tcPr>
            <w:tcW w:w="586" w:type="pct"/>
            <w:shd w:val="clear" w:color="auto" w:fill="FFFFFF" w:themeFill="background1"/>
            <w:noWrap/>
          </w:tcPr>
          <w:p w14:paraId="3ADAAB3E" w14:textId="52D074E2"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14,</w:t>
            </w:r>
            <w:r w:rsidR="00DE6D95" w:rsidRPr="00B3546C">
              <w:rPr>
                <w:rFonts w:asciiTheme="minorHAnsi" w:hAnsiTheme="minorHAnsi" w:cstheme="minorHAnsi"/>
                <w:color w:val="002060"/>
                <w:sz w:val="18"/>
                <w:szCs w:val="18"/>
                <w:lang w:val="sr-Cyrl-RS"/>
              </w:rPr>
              <w:t>3</w:t>
            </w:r>
          </w:p>
        </w:tc>
        <w:tc>
          <w:tcPr>
            <w:tcW w:w="588" w:type="pct"/>
            <w:shd w:val="clear" w:color="auto" w:fill="FFFFFF" w:themeFill="background1"/>
            <w:noWrap/>
          </w:tcPr>
          <w:p w14:paraId="71E83952" w14:textId="2220F3EB"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14,</w:t>
            </w:r>
            <w:r w:rsidR="00DE6D95" w:rsidRPr="00B3546C">
              <w:rPr>
                <w:rFonts w:asciiTheme="minorHAnsi" w:hAnsiTheme="minorHAnsi" w:cstheme="minorHAnsi"/>
                <w:color w:val="002060"/>
                <w:sz w:val="18"/>
                <w:szCs w:val="18"/>
                <w:lang w:val="sr-Cyrl-RS"/>
              </w:rPr>
              <w:t>2</w:t>
            </w:r>
          </w:p>
        </w:tc>
      </w:tr>
      <w:tr w:rsidR="00BA4876" w:rsidRPr="00A37BCE" w14:paraId="2E54FDCD" w14:textId="77777777" w:rsidTr="00BA4876">
        <w:trPr>
          <w:cnfStyle w:val="000000100000" w:firstRow="0" w:lastRow="0" w:firstColumn="0" w:lastColumn="0" w:oddVBand="0" w:evenVBand="0" w:oddHBand="1" w:evenHBand="0" w:firstRowFirstColumn="0" w:firstRowLastColumn="0" w:lastRowFirstColumn="0" w:lastRowLastColumn="0"/>
          <w:trHeight w:val="87"/>
        </w:trPr>
        <w:tc>
          <w:tcPr>
            <w:tcW w:w="1863" w:type="pct"/>
            <w:shd w:val="clear" w:color="auto" w:fill="FFFFFF" w:themeFill="background1"/>
          </w:tcPr>
          <w:p w14:paraId="1974AC8C" w14:textId="77777777" w:rsidR="00BA4876" w:rsidRPr="00B3546C" w:rsidRDefault="00BA4876" w:rsidP="00BA4876">
            <w:pPr>
              <w:keepNext/>
              <w:widowControl w:val="0"/>
              <w:shd w:val="clear" w:color="auto" w:fill="FFFFFF" w:themeFill="background1"/>
              <w:spacing w:line="276" w:lineRule="auto"/>
              <w:ind w:left="397"/>
              <w:jc w:val="both"/>
              <w:rPr>
                <w:rFonts w:asciiTheme="minorHAnsi" w:eastAsia="Times New Roman" w:hAnsiTheme="minorHAnsi" w:cstheme="minorHAnsi"/>
                <w:bCs/>
                <w:color w:val="002060"/>
                <w:sz w:val="18"/>
                <w:szCs w:val="18"/>
                <w:lang w:val="sr-Cyrl-RS"/>
              </w:rPr>
            </w:pPr>
            <w:r w:rsidRPr="00B3546C">
              <w:rPr>
                <w:rFonts w:asciiTheme="minorHAnsi" w:eastAsia="Times New Roman" w:hAnsiTheme="minorHAnsi" w:cstheme="minorHAnsi"/>
                <w:bCs/>
                <w:color w:val="002060"/>
                <w:sz w:val="18"/>
                <w:szCs w:val="18"/>
                <w:lang w:val="sr-Cyrl-RS"/>
              </w:rPr>
              <w:t>од чега пензије</w:t>
            </w:r>
          </w:p>
        </w:tc>
        <w:tc>
          <w:tcPr>
            <w:tcW w:w="835" w:type="pct"/>
            <w:shd w:val="clear" w:color="auto" w:fill="FFFFFF" w:themeFill="background1"/>
          </w:tcPr>
          <w:p w14:paraId="2C0C3953"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10,5</w:t>
            </w:r>
          </w:p>
        </w:tc>
        <w:tc>
          <w:tcPr>
            <w:tcW w:w="654" w:type="pct"/>
            <w:shd w:val="clear" w:color="auto" w:fill="FFFFFF" w:themeFill="background1"/>
            <w:noWrap/>
          </w:tcPr>
          <w:p w14:paraId="6BFFDD0C"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10,4</w:t>
            </w:r>
          </w:p>
        </w:tc>
        <w:tc>
          <w:tcPr>
            <w:tcW w:w="474" w:type="pct"/>
            <w:shd w:val="clear" w:color="auto" w:fill="FFFFFF" w:themeFill="background1"/>
            <w:noWrap/>
          </w:tcPr>
          <w:p w14:paraId="51D00287"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10,4</w:t>
            </w:r>
          </w:p>
        </w:tc>
        <w:tc>
          <w:tcPr>
            <w:tcW w:w="586" w:type="pct"/>
            <w:shd w:val="clear" w:color="auto" w:fill="FFFFFF" w:themeFill="background1"/>
            <w:noWrap/>
          </w:tcPr>
          <w:p w14:paraId="33FDE7E9"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10,4</w:t>
            </w:r>
          </w:p>
        </w:tc>
        <w:tc>
          <w:tcPr>
            <w:tcW w:w="588" w:type="pct"/>
            <w:shd w:val="clear" w:color="auto" w:fill="FFFFFF" w:themeFill="background1"/>
            <w:noWrap/>
          </w:tcPr>
          <w:p w14:paraId="2EB69A94" w14:textId="77777777" w:rsidR="00BA4876" w:rsidRPr="00B3546C"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B3546C">
              <w:rPr>
                <w:rFonts w:asciiTheme="minorHAnsi" w:hAnsiTheme="minorHAnsi" w:cstheme="minorHAnsi"/>
                <w:color w:val="002060"/>
                <w:sz w:val="18"/>
                <w:szCs w:val="18"/>
                <w:lang w:val="sr-Cyrl-RS"/>
              </w:rPr>
              <w:t>10,4</w:t>
            </w:r>
          </w:p>
        </w:tc>
      </w:tr>
      <w:tr w:rsidR="00BA4876" w:rsidRPr="00A37BCE" w14:paraId="6BDD4FD1" w14:textId="77777777" w:rsidTr="00BA4876">
        <w:trPr>
          <w:trHeight w:val="41"/>
        </w:trPr>
        <w:tc>
          <w:tcPr>
            <w:tcW w:w="1863" w:type="pct"/>
            <w:shd w:val="clear" w:color="auto" w:fill="FFFFFF" w:themeFill="background1"/>
          </w:tcPr>
          <w:p w14:paraId="0D9979BE" w14:textId="77777777" w:rsidR="00BA4876" w:rsidRPr="00A37BCE" w:rsidRDefault="00BA4876" w:rsidP="00BA4876">
            <w:pPr>
              <w:keepNext/>
              <w:widowControl w:val="0"/>
              <w:shd w:val="clear" w:color="auto" w:fill="FFFFFF" w:themeFill="background1"/>
              <w:spacing w:line="276" w:lineRule="auto"/>
              <w:ind w:left="284"/>
              <w:jc w:val="both"/>
              <w:rPr>
                <w:rFonts w:asciiTheme="minorHAnsi" w:eastAsia="Times New Roman" w:hAnsiTheme="minorHAnsi" w:cstheme="minorHAnsi"/>
                <w:bCs/>
                <w:color w:val="002060"/>
                <w:sz w:val="18"/>
                <w:szCs w:val="18"/>
                <w:lang w:val="sr-Cyrl-RS"/>
              </w:rPr>
            </w:pPr>
            <w:r w:rsidRPr="00A37BCE">
              <w:rPr>
                <w:rFonts w:asciiTheme="minorHAnsi" w:eastAsia="Times New Roman" w:hAnsiTheme="minorHAnsi" w:cstheme="minorHAnsi"/>
                <w:bCs/>
                <w:color w:val="002060"/>
                <w:sz w:val="18"/>
                <w:szCs w:val="18"/>
                <w:lang w:val="sr-Cyrl-RS"/>
              </w:rPr>
              <w:t>Остали текући расходи</w:t>
            </w:r>
          </w:p>
        </w:tc>
        <w:tc>
          <w:tcPr>
            <w:tcW w:w="835" w:type="pct"/>
            <w:shd w:val="clear" w:color="auto" w:fill="FFFFFF" w:themeFill="background1"/>
          </w:tcPr>
          <w:p w14:paraId="53E02073"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1,3</w:t>
            </w:r>
          </w:p>
        </w:tc>
        <w:tc>
          <w:tcPr>
            <w:tcW w:w="654" w:type="pct"/>
            <w:shd w:val="clear" w:color="auto" w:fill="FFFFFF" w:themeFill="background1"/>
            <w:noWrap/>
          </w:tcPr>
          <w:p w14:paraId="5849BEFB"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1,5</w:t>
            </w:r>
          </w:p>
        </w:tc>
        <w:tc>
          <w:tcPr>
            <w:tcW w:w="474" w:type="pct"/>
            <w:shd w:val="clear" w:color="auto" w:fill="FFFFFF" w:themeFill="background1"/>
            <w:noWrap/>
          </w:tcPr>
          <w:p w14:paraId="20308FE8" w14:textId="653A54D6"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w:t>
            </w:r>
            <w:r w:rsidR="00DE6D95" w:rsidRPr="00A37BCE">
              <w:rPr>
                <w:rFonts w:asciiTheme="minorHAnsi" w:hAnsiTheme="minorHAnsi" w:cstheme="minorHAnsi"/>
                <w:color w:val="002060"/>
                <w:sz w:val="18"/>
                <w:szCs w:val="18"/>
                <w:lang w:val="sr-Cyrl-RS"/>
              </w:rPr>
              <w:t>3</w:t>
            </w:r>
          </w:p>
        </w:tc>
        <w:tc>
          <w:tcPr>
            <w:tcW w:w="586" w:type="pct"/>
            <w:shd w:val="clear" w:color="auto" w:fill="FFFFFF" w:themeFill="background1"/>
            <w:noWrap/>
          </w:tcPr>
          <w:p w14:paraId="020D8044"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1,2</w:t>
            </w:r>
          </w:p>
        </w:tc>
        <w:tc>
          <w:tcPr>
            <w:tcW w:w="588" w:type="pct"/>
            <w:shd w:val="clear" w:color="auto" w:fill="FFFFFF" w:themeFill="background1"/>
            <w:noWrap/>
          </w:tcPr>
          <w:p w14:paraId="5AFE6108"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1,2</w:t>
            </w:r>
          </w:p>
        </w:tc>
      </w:tr>
      <w:tr w:rsidR="00BA4876" w:rsidRPr="00A37BCE" w14:paraId="5DFDD713" w14:textId="77777777" w:rsidTr="00BA4876">
        <w:trPr>
          <w:cnfStyle w:val="000000100000" w:firstRow="0" w:lastRow="0" w:firstColumn="0" w:lastColumn="0" w:oddVBand="0" w:evenVBand="0" w:oddHBand="1" w:evenHBand="0" w:firstRowFirstColumn="0" w:firstRowLastColumn="0" w:lastRowFirstColumn="0" w:lastRowLastColumn="0"/>
          <w:trHeight w:val="41"/>
        </w:trPr>
        <w:tc>
          <w:tcPr>
            <w:tcW w:w="1863" w:type="pct"/>
            <w:shd w:val="clear" w:color="auto" w:fill="FFFFFF" w:themeFill="background1"/>
          </w:tcPr>
          <w:p w14:paraId="244BE297" w14:textId="77777777" w:rsidR="00BA4876" w:rsidRPr="00A37BCE" w:rsidRDefault="00BA4876" w:rsidP="00BA4876">
            <w:pPr>
              <w:keepNext/>
              <w:widowControl w:val="0"/>
              <w:shd w:val="clear" w:color="auto" w:fill="FFFFFF" w:themeFill="background1"/>
              <w:spacing w:line="276" w:lineRule="auto"/>
              <w:jc w:val="both"/>
              <w:rPr>
                <w:rFonts w:asciiTheme="minorHAnsi" w:eastAsia="Times New Roman" w:hAnsiTheme="minorHAnsi" w:cstheme="minorHAnsi"/>
                <w:bCs/>
                <w:color w:val="002060"/>
                <w:sz w:val="18"/>
                <w:szCs w:val="18"/>
                <w:lang w:val="sr-Cyrl-RS"/>
              </w:rPr>
            </w:pPr>
            <w:r w:rsidRPr="00A37BCE">
              <w:rPr>
                <w:rFonts w:asciiTheme="minorHAnsi" w:eastAsia="Times New Roman" w:hAnsiTheme="minorHAnsi" w:cstheme="minorHAnsi"/>
                <w:bCs/>
                <w:color w:val="002060"/>
                <w:sz w:val="18"/>
                <w:szCs w:val="18"/>
                <w:lang w:val="sr-Cyrl-RS"/>
              </w:rPr>
              <w:t xml:space="preserve"> Капитални расходи</w:t>
            </w:r>
          </w:p>
        </w:tc>
        <w:tc>
          <w:tcPr>
            <w:tcW w:w="835" w:type="pct"/>
            <w:shd w:val="clear" w:color="auto" w:fill="FFFFFF" w:themeFill="background1"/>
          </w:tcPr>
          <w:p w14:paraId="0E40706F"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2,8</w:t>
            </w:r>
          </w:p>
        </w:tc>
        <w:tc>
          <w:tcPr>
            <w:tcW w:w="654" w:type="pct"/>
            <w:shd w:val="clear" w:color="auto" w:fill="FFFFFF" w:themeFill="background1"/>
            <w:noWrap/>
          </w:tcPr>
          <w:p w14:paraId="592600EE"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3,6</w:t>
            </w:r>
          </w:p>
        </w:tc>
        <w:tc>
          <w:tcPr>
            <w:tcW w:w="474" w:type="pct"/>
            <w:shd w:val="clear" w:color="auto" w:fill="FFFFFF" w:themeFill="background1"/>
            <w:noWrap/>
          </w:tcPr>
          <w:p w14:paraId="21FE838E"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4,0</w:t>
            </w:r>
          </w:p>
        </w:tc>
        <w:tc>
          <w:tcPr>
            <w:tcW w:w="586" w:type="pct"/>
            <w:shd w:val="clear" w:color="auto" w:fill="FFFFFF" w:themeFill="background1"/>
            <w:noWrap/>
          </w:tcPr>
          <w:p w14:paraId="3C0990F0"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4,0</w:t>
            </w:r>
          </w:p>
        </w:tc>
        <w:tc>
          <w:tcPr>
            <w:tcW w:w="588" w:type="pct"/>
            <w:shd w:val="clear" w:color="auto" w:fill="FFFFFF" w:themeFill="background1"/>
            <w:noWrap/>
          </w:tcPr>
          <w:p w14:paraId="560A236C"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4,1</w:t>
            </w:r>
          </w:p>
        </w:tc>
      </w:tr>
      <w:tr w:rsidR="00BA4876" w:rsidRPr="00A37BCE" w14:paraId="76532B5B" w14:textId="77777777" w:rsidTr="00BA4876">
        <w:trPr>
          <w:trHeight w:val="41"/>
        </w:trPr>
        <w:tc>
          <w:tcPr>
            <w:tcW w:w="1863" w:type="pct"/>
            <w:shd w:val="clear" w:color="auto" w:fill="FFFFFF" w:themeFill="background1"/>
            <w:noWrap/>
          </w:tcPr>
          <w:p w14:paraId="6E30E2DE" w14:textId="77777777" w:rsidR="00BA4876" w:rsidRPr="00A37BCE" w:rsidRDefault="00BA4876" w:rsidP="00BA4876">
            <w:pPr>
              <w:keepNext/>
              <w:widowControl w:val="0"/>
              <w:shd w:val="clear" w:color="auto" w:fill="FFFFFF" w:themeFill="background1"/>
              <w:spacing w:line="276" w:lineRule="auto"/>
              <w:jc w:val="both"/>
              <w:rPr>
                <w:rFonts w:asciiTheme="minorHAnsi" w:eastAsia="Times New Roman" w:hAnsiTheme="minorHAnsi" w:cstheme="minorHAnsi"/>
                <w:bCs/>
                <w:color w:val="002060"/>
                <w:sz w:val="18"/>
                <w:szCs w:val="18"/>
                <w:lang w:val="sr-Cyrl-RS"/>
              </w:rPr>
            </w:pPr>
            <w:r w:rsidRPr="00A37BCE">
              <w:rPr>
                <w:rFonts w:asciiTheme="minorHAnsi" w:eastAsia="Times New Roman" w:hAnsiTheme="minorHAnsi" w:cstheme="minorHAnsi"/>
                <w:bCs/>
                <w:color w:val="002060"/>
                <w:sz w:val="18"/>
                <w:szCs w:val="18"/>
                <w:lang w:val="sr-Cyrl-RS"/>
              </w:rPr>
              <w:t xml:space="preserve"> Нето буџетске позајмице</w:t>
            </w:r>
          </w:p>
        </w:tc>
        <w:tc>
          <w:tcPr>
            <w:tcW w:w="835" w:type="pct"/>
            <w:shd w:val="clear" w:color="auto" w:fill="FFFFFF" w:themeFill="background1"/>
          </w:tcPr>
          <w:p w14:paraId="647C5F39"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0,3</w:t>
            </w:r>
          </w:p>
        </w:tc>
        <w:tc>
          <w:tcPr>
            <w:tcW w:w="654" w:type="pct"/>
            <w:shd w:val="clear" w:color="auto" w:fill="FFFFFF" w:themeFill="background1"/>
            <w:noWrap/>
          </w:tcPr>
          <w:p w14:paraId="125E0239"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0,2</w:t>
            </w:r>
          </w:p>
        </w:tc>
        <w:tc>
          <w:tcPr>
            <w:tcW w:w="474" w:type="pct"/>
            <w:shd w:val="clear" w:color="auto" w:fill="FFFFFF" w:themeFill="background1"/>
            <w:noWrap/>
          </w:tcPr>
          <w:p w14:paraId="3B88097E"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0,1</w:t>
            </w:r>
          </w:p>
        </w:tc>
        <w:tc>
          <w:tcPr>
            <w:tcW w:w="586" w:type="pct"/>
            <w:shd w:val="clear" w:color="auto" w:fill="FFFFFF" w:themeFill="background1"/>
            <w:noWrap/>
          </w:tcPr>
          <w:p w14:paraId="6CE0F6DF"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0,1</w:t>
            </w:r>
          </w:p>
        </w:tc>
        <w:tc>
          <w:tcPr>
            <w:tcW w:w="588" w:type="pct"/>
            <w:shd w:val="clear" w:color="auto" w:fill="FFFFFF" w:themeFill="background1"/>
            <w:noWrap/>
          </w:tcPr>
          <w:p w14:paraId="0D6BA986"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0,1</w:t>
            </w:r>
          </w:p>
        </w:tc>
      </w:tr>
      <w:tr w:rsidR="00BA4876" w:rsidRPr="00A37BCE" w14:paraId="43A760B8" w14:textId="77777777" w:rsidTr="00BA4876">
        <w:trPr>
          <w:cnfStyle w:val="000000100000" w:firstRow="0" w:lastRow="0" w:firstColumn="0" w:lastColumn="0" w:oddVBand="0" w:evenVBand="0" w:oddHBand="1" w:evenHBand="0" w:firstRowFirstColumn="0" w:firstRowLastColumn="0" w:lastRowFirstColumn="0" w:lastRowLastColumn="0"/>
          <w:trHeight w:val="80"/>
        </w:trPr>
        <w:tc>
          <w:tcPr>
            <w:tcW w:w="1863" w:type="pct"/>
            <w:tcBorders>
              <w:bottom w:val="single" w:sz="4" w:space="0" w:color="002060"/>
            </w:tcBorders>
            <w:shd w:val="clear" w:color="auto" w:fill="FFFFFF" w:themeFill="background1"/>
            <w:noWrap/>
          </w:tcPr>
          <w:p w14:paraId="6FB32C4E" w14:textId="77777777" w:rsidR="00BA4876" w:rsidRPr="00A37BCE" w:rsidRDefault="00BA4876" w:rsidP="00BA4876">
            <w:pPr>
              <w:keepNext/>
              <w:widowControl w:val="0"/>
              <w:shd w:val="clear" w:color="auto" w:fill="FFFFFF" w:themeFill="background1"/>
              <w:spacing w:line="276" w:lineRule="auto"/>
              <w:jc w:val="both"/>
              <w:rPr>
                <w:rFonts w:asciiTheme="minorHAnsi" w:eastAsia="Times New Roman" w:hAnsiTheme="minorHAnsi" w:cstheme="minorHAnsi"/>
                <w:bCs/>
                <w:color w:val="002060"/>
                <w:sz w:val="18"/>
                <w:szCs w:val="18"/>
                <w:lang w:val="sr-Cyrl-RS"/>
              </w:rPr>
            </w:pPr>
            <w:r w:rsidRPr="00A37BCE">
              <w:rPr>
                <w:rFonts w:asciiTheme="minorHAnsi" w:eastAsia="Times New Roman" w:hAnsiTheme="minorHAnsi" w:cstheme="minorHAnsi"/>
                <w:bCs/>
                <w:color w:val="002060"/>
                <w:sz w:val="18"/>
                <w:szCs w:val="18"/>
                <w:lang w:val="sr-Cyrl-RS"/>
              </w:rPr>
              <w:t xml:space="preserve"> Отплата по основу гаранција</w:t>
            </w:r>
          </w:p>
        </w:tc>
        <w:tc>
          <w:tcPr>
            <w:tcW w:w="835" w:type="pct"/>
            <w:tcBorders>
              <w:bottom w:val="single" w:sz="4" w:space="0" w:color="002060"/>
            </w:tcBorders>
            <w:shd w:val="clear" w:color="auto" w:fill="FFFFFF" w:themeFill="background1"/>
          </w:tcPr>
          <w:p w14:paraId="47B79C0E"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0,6</w:t>
            </w:r>
          </w:p>
        </w:tc>
        <w:tc>
          <w:tcPr>
            <w:tcW w:w="654" w:type="pct"/>
            <w:tcBorders>
              <w:bottom w:val="single" w:sz="4" w:space="0" w:color="002060"/>
            </w:tcBorders>
            <w:shd w:val="clear" w:color="auto" w:fill="FFFFFF" w:themeFill="background1"/>
            <w:noWrap/>
          </w:tcPr>
          <w:p w14:paraId="69EA9854"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0,4</w:t>
            </w:r>
          </w:p>
        </w:tc>
        <w:tc>
          <w:tcPr>
            <w:tcW w:w="474" w:type="pct"/>
            <w:tcBorders>
              <w:bottom w:val="single" w:sz="4" w:space="0" w:color="002060"/>
            </w:tcBorders>
            <w:shd w:val="clear" w:color="auto" w:fill="FFFFFF" w:themeFill="background1"/>
            <w:noWrap/>
          </w:tcPr>
          <w:p w14:paraId="67E2C726"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0,2</w:t>
            </w:r>
          </w:p>
        </w:tc>
        <w:tc>
          <w:tcPr>
            <w:tcW w:w="586" w:type="pct"/>
            <w:tcBorders>
              <w:bottom w:val="single" w:sz="4" w:space="0" w:color="002060"/>
            </w:tcBorders>
            <w:shd w:val="clear" w:color="auto" w:fill="FFFFFF" w:themeFill="background1"/>
            <w:noWrap/>
          </w:tcPr>
          <w:p w14:paraId="01FEE795"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0,1</w:t>
            </w:r>
          </w:p>
        </w:tc>
        <w:tc>
          <w:tcPr>
            <w:tcW w:w="588" w:type="pct"/>
            <w:tcBorders>
              <w:bottom w:val="single" w:sz="4" w:space="0" w:color="002060"/>
            </w:tcBorders>
            <w:shd w:val="clear" w:color="auto" w:fill="FFFFFF" w:themeFill="background1"/>
            <w:noWrap/>
          </w:tcPr>
          <w:p w14:paraId="2B06EC63" w14:textId="77777777" w:rsidR="00BA4876" w:rsidRPr="00A37BCE" w:rsidRDefault="00BA4876" w:rsidP="00BA4876">
            <w:pPr>
              <w:shd w:val="clear" w:color="auto" w:fill="FFFFFF" w:themeFill="background1"/>
              <w:spacing w:line="276" w:lineRule="auto"/>
              <w:jc w:val="right"/>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0,1</w:t>
            </w:r>
          </w:p>
        </w:tc>
      </w:tr>
    </w:tbl>
    <w:p w14:paraId="073639A8" w14:textId="77777777" w:rsidR="00BA4876" w:rsidRPr="00A37BCE" w:rsidRDefault="00BA4876" w:rsidP="00BA4876">
      <w:pPr>
        <w:spacing w:after="120" w:line="276" w:lineRule="auto"/>
        <w:jc w:val="both"/>
        <w:rPr>
          <w:rFonts w:cstheme="minorHAnsi"/>
          <w:color w:val="44546A" w:themeColor="text2"/>
          <w:sz w:val="16"/>
          <w:szCs w:val="20"/>
          <w:lang w:val="sr-Cyrl-RS"/>
        </w:rPr>
      </w:pPr>
      <w:r w:rsidRPr="00A37BCE">
        <w:rPr>
          <w:rFonts w:eastAsia="Calibri" w:cstheme="minorHAnsi"/>
          <w:bCs/>
          <w:color w:val="44546A" w:themeColor="text2"/>
          <w:sz w:val="16"/>
          <w:szCs w:val="20"/>
          <w:lang w:val="sr-Cyrl-RS" w:eastAsia="ja-JP"/>
        </w:rPr>
        <w:t xml:space="preserve">Извор: </w:t>
      </w:r>
      <w:r w:rsidRPr="00A37BCE">
        <w:rPr>
          <w:rFonts w:cstheme="minorHAnsi"/>
          <w:color w:val="44546A" w:themeColor="text2"/>
          <w:sz w:val="16"/>
          <w:szCs w:val="20"/>
          <w:lang w:val="sr-Cyrl-RS"/>
        </w:rPr>
        <w:t>Министарство финансија</w:t>
      </w:r>
    </w:p>
    <w:p w14:paraId="464E8818" w14:textId="77777777" w:rsidR="00BA4876" w:rsidRPr="00A37BCE" w:rsidRDefault="00BA4876" w:rsidP="00BA4876">
      <w:pPr>
        <w:spacing w:after="120" w:line="276" w:lineRule="auto"/>
        <w:jc w:val="both"/>
        <w:rPr>
          <w:rFonts w:eastAsia="Calibri" w:cstheme="minorHAnsi"/>
          <w:b/>
          <w:color w:val="000000" w:themeColor="text1"/>
          <w:sz w:val="20"/>
          <w:szCs w:val="20"/>
          <w:lang w:val="sr-Cyrl-RS" w:eastAsia="ja-JP"/>
        </w:rPr>
        <w:sectPr w:rsidR="00BA4876" w:rsidRPr="00A37BCE" w:rsidSect="00BA4876">
          <w:type w:val="continuous"/>
          <w:pgSz w:w="12240" w:h="15840"/>
          <w:pgMar w:top="1440" w:right="1440" w:bottom="1440" w:left="1440" w:header="720" w:footer="720" w:gutter="0"/>
          <w:cols w:space="720"/>
          <w:docGrid w:linePitch="360"/>
        </w:sectPr>
      </w:pPr>
    </w:p>
    <w:p w14:paraId="4DC7E50C" w14:textId="0FD6E3F3"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lastRenderedPageBreak/>
        <w:t xml:space="preserve">У 2019. години, један део фискалног простора биће искоришћен за повећање зарада у сектору опште државе, и то у износу од 33 млрд динара. Пошто се ради о укупним трошковима рада, односно о маси зарада која укључује порезе и доприносе, нето ефекат на фискални резултат износиће 20 млрд динара, односно 0,4% БДП. Смањење зарада, забрана запошљавања и рационализација броја запослених у јавном сектору су мере које су највише допринеле смањењу расхода и успеху фискалне консолидације. Примена ових мера деловала је на пад учешћа зарада у БДП на 9% у 2017. години. Законом о буџетском систему предвиђено је снижавање нивоа зарада без доприноса на терет послодавца до 7% БДП, међутим чини се да је тако таргетиран ниво зарада постављен доста ниско. Тренутно је учешће овако дефинисаних зарада у БДП 7,8%. Просечан ниво зарада на нивоу опште државе у ЕУ је око 10% БДП, тако да је са учешћем укупних трошкова зарада од око 9,2% БДП Република Србија знатно испод просека ЕУ. У </w:t>
      </w:r>
      <w:r w:rsidRPr="00A37BCE">
        <w:rPr>
          <w:rFonts w:eastAsia="Calibri" w:cstheme="minorHAnsi"/>
          <w:color w:val="44546A" w:themeColor="text2"/>
          <w:sz w:val="20"/>
          <w:szCs w:val="20"/>
          <w:lang w:val="sr-Cyrl-RS" w:eastAsia="ja-JP"/>
        </w:rPr>
        <w:lastRenderedPageBreak/>
        <w:t>претходном периоду, започета је свеобухватна реформа система зарада у јавном сектору, која за циљ има обезбеђење правичности и смањење разлика између плата запослених у јавном сектору. Примена новог реформисаног система плата у јавн</w:t>
      </w:r>
      <w:r w:rsidR="00D82D2A">
        <w:rPr>
          <w:rFonts w:eastAsia="Calibri" w:cstheme="minorHAnsi"/>
          <w:color w:val="44546A" w:themeColor="text2"/>
          <w:sz w:val="20"/>
          <w:szCs w:val="20"/>
          <w:lang w:val="sr-Cyrl-RS" w:eastAsia="ja-JP"/>
        </w:rPr>
        <w:t>ом сектору почеће 2020. године.</w:t>
      </w:r>
    </w:p>
    <w:p w14:paraId="08AADF85" w14:textId="77777777"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Издаци за робе и услуге ће се постепено смањивати у средњорочном периоду у смислу учешћа у БДП (6,5% БДП).</w:t>
      </w:r>
    </w:p>
    <w:p w14:paraId="1E4DA2D9" w14:textId="03158F14"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 xml:space="preserve">Смањење расхода за камате један је од најбољих показатеља успеха фискалне консолидације. Добри резултати у претходном периоду смањили су потребе за задуживањем што је довело до промене тренда кретања камата. У 2021. години ниво расхода </w:t>
      </w:r>
      <w:r w:rsidR="00D82D2A">
        <w:rPr>
          <w:rFonts w:eastAsia="Calibri" w:cstheme="minorHAnsi"/>
          <w:color w:val="44546A" w:themeColor="text2"/>
          <w:sz w:val="20"/>
          <w:szCs w:val="20"/>
          <w:lang w:val="sr-Cyrl-RS" w:eastAsia="ja-JP"/>
        </w:rPr>
        <w:t>за камате ће пасти на 1,6% БДП.</w:t>
      </w:r>
    </w:p>
    <w:p w14:paraId="236D14C8" w14:textId="47BA10E3"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Социјална помоћ и трансфери становништву представљају највећу расходну категорију буџета опште државе. Током 2018. године укинут је Закон о привременом уређивању начина исплате пензија уз повећање</w:t>
      </w:r>
      <w:r w:rsidR="00BF218E">
        <w:rPr>
          <w:rFonts w:eastAsia="Calibri" w:cstheme="minorHAnsi"/>
          <w:color w:val="44546A" w:themeColor="text2"/>
          <w:sz w:val="20"/>
          <w:szCs w:val="20"/>
          <w:lang w:val="sr-Cyrl-RS" w:eastAsia="ja-JP"/>
        </w:rPr>
        <w:t xml:space="preserve"> укупних примања пензионера са нижим</w:t>
      </w:r>
      <w:r w:rsidRPr="00A37BCE">
        <w:rPr>
          <w:rFonts w:eastAsia="Calibri" w:cstheme="minorHAnsi"/>
          <w:color w:val="44546A" w:themeColor="text2"/>
          <w:sz w:val="20"/>
          <w:szCs w:val="20"/>
          <w:lang w:val="sr-Cyrl-RS" w:eastAsia="ja-JP"/>
        </w:rPr>
        <w:t xml:space="preserve"> пензија</w:t>
      </w:r>
      <w:r w:rsidR="00BF218E">
        <w:rPr>
          <w:rFonts w:eastAsia="Calibri" w:cstheme="minorHAnsi"/>
          <w:color w:val="44546A" w:themeColor="text2"/>
          <w:sz w:val="20"/>
          <w:szCs w:val="20"/>
          <w:lang w:val="sr-Cyrl-RS" w:eastAsia="ja-JP"/>
        </w:rPr>
        <w:t xml:space="preserve">ма за </w:t>
      </w:r>
      <w:r w:rsidRPr="00A37BCE">
        <w:rPr>
          <w:rFonts w:eastAsia="Calibri" w:cstheme="minorHAnsi"/>
          <w:color w:val="44546A" w:themeColor="text2"/>
          <w:sz w:val="20"/>
          <w:szCs w:val="20"/>
          <w:lang w:val="sr-Cyrl-RS" w:eastAsia="ja-JP"/>
        </w:rPr>
        <w:t xml:space="preserve">5,0%, у односу </w:t>
      </w:r>
      <w:r w:rsidRPr="00A37BCE">
        <w:rPr>
          <w:rFonts w:eastAsia="Calibri" w:cstheme="minorHAnsi"/>
          <w:color w:val="44546A" w:themeColor="text2"/>
          <w:sz w:val="20"/>
          <w:szCs w:val="20"/>
          <w:lang w:val="sr-Cyrl-RS" w:eastAsia="ja-JP"/>
        </w:rPr>
        <w:lastRenderedPageBreak/>
        <w:t>на исплаћену</w:t>
      </w:r>
      <w:r w:rsidR="00BF218E">
        <w:rPr>
          <w:rFonts w:eastAsia="Calibri" w:cstheme="minorHAnsi"/>
          <w:color w:val="44546A" w:themeColor="text2"/>
          <w:sz w:val="20"/>
          <w:szCs w:val="20"/>
          <w:lang w:val="sr-Cyrl-RS" w:eastAsia="ja-JP"/>
        </w:rPr>
        <w:t xml:space="preserve"> пензију за септембар</w:t>
      </w:r>
      <w:r w:rsidRPr="00A37BCE">
        <w:rPr>
          <w:rFonts w:eastAsia="Calibri" w:cstheme="minorHAnsi"/>
          <w:color w:val="44546A" w:themeColor="text2"/>
          <w:sz w:val="20"/>
          <w:szCs w:val="20"/>
          <w:lang w:val="sr-Cyrl-RS" w:eastAsia="ja-JP"/>
        </w:rPr>
        <w:t xml:space="preserve"> 2018. године. Ефекти ових мера у 2019. години су већи укупни расходи за пензије у износу од 40 млрд динара. У наредном средњорочном периоду, пројектовано је стабилно учешће расхода за пензије од 10,4%</w:t>
      </w:r>
      <w:r w:rsidR="00855D6C" w:rsidRPr="00A37BCE">
        <w:rPr>
          <w:rFonts w:eastAsia="Calibri" w:cstheme="minorHAnsi"/>
          <w:color w:val="44546A" w:themeColor="text2"/>
          <w:sz w:val="20"/>
          <w:szCs w:val="20"/>
          <w:lang w:val="sr-Cyrl-RS" w:eastAsia="ja-JP"/>
        </w:rPr>
        <w:t xml:space="preserve"> </w:t>
      </w:r>
      <w:r w:rsidRPr="00A37BCE">
        <w:rPr>
          <w:rFonts w:eastAsia="Calibri" w:cstheme="minorHAnsi"/>
          <w:color w:val="44546A" w:themeColor="text2"/>
          <w:sz w:val="20"/>
          <w:szCs w:val="20"/>
          <w:lang w:val="sr-Cyrl-RS" w:eastAsia="ja-JP"/>
        </w:rPr>
        <w:t>БДП. Остали облици социјалних давања и трансфера становништву у наредном периоду усклађиваће се применом прописане индексације, текућих и планираних измена политика у овој области и са пројектованим бројем корисника. Учешће расхода за социјална давања опада са 15,1% БДП, колико је износило у 2017. години, на 14,</w:t>
      </w:r>
      <w:r w:rsidR="00855D6C" w:rsidRPr="00A37BCE">
        <w:rPr>
          <w:rFonts w:eastAsia="Calibri" w:cstheme="minorHAnsi"/>
          <w:color w:val="44546A" w:themeColor="text2"/>
          <w:sz w:val="20"/>
          <w:szCs w:val="20"/>
          <w:lang w:val="sr-Cyrl-RS" w:eastAsia="ja-JP"/>
        </w:rPr>
        <w:t>2</w:t>
      </w:r>
      <w:r w:rsidR="00D82D2A">
        <w:rPr>
          <w:rFonts w:eastAsia="Calibri" w:cstheme="minorHAnsi"/>
          <w:color w:val="44546A" w:themeColor="text2"/>
          <w:sz w:val="20"/>
          <w:szCs w:val="20"/>
          <w:lang w:val="sr-Cyrl-RS" w:eastAsia="ja-JP"/>
        </w:rPr>
        <w:t>% БДП у 2021. години.</w:t>
      </w:r>
    </w:p>
    <w:p w14:paraId="2AC30E1B" w14:textId="69C3BBFC"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Смањење субвенција које служе као помоћ неефикасним сегментима јавног сектора омогућило би повећање оног дела субвенција које представљају праве подстицаје привреди, пре свега пољопривреди и малим и средњим предузећима, и које би довеле до убрзања привредних активности. Циљ је да се субвенционисана средства преусмере ка развојним програмима у привреди и пољопривреди. Управо је због почетка коришћења средстава из ИПАРД програма предвиђен једнократни скок учешћа субвенција у БДП у 2019. години.</w:t>
      </w:r>
    </w:p>
    <w:p w14:paraId="1800E64C" w14:textId="685E56AA"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Категорије осталих текућих расхода чине различити издаци, као што су до</w:t>
      </w:r>
      <w:r w:rsidR="00005B4B">
        <w:rPr>
          <w:rFonts w:eastAsia="Calibri" w:cstheme="minorHAnsi"/>
          <w:color w:val="44546A" w:themeColor="text2"/>
          <w:sz w:val="20"/>
          <w:szCs w:val="20"/>
          <w:lang w:val="sr-Cyrl-RS" w:eastAsia="ja-JP"/>
        </w:rPr>
        <w:t>тације удружењима</w:t>
      </w:r>
      <w:r w:rsidRPr="00A37BCE">
        <w:rPr>
          <w:rFonts w:eastAsia="Calibri" w:cstheme="minorHAnsi"/>
          <w:color w:val="44546A" w:themeColor="text2"/>
          <w:sz w:val="20"/>
          <w:szCs w:val="20"/>
          <w:lang w:val="sr-Cyrl-RS" w:eastAsia="ja-JP"/>
        </w:rPr>
        <w:t>, политичким</w:t>
      </w:r>
      <w:r w:rsidR="00005B4B">
        <w:rPr>
          <w:rFonts w:eastAsia="Calibri" w:cstheme="minorHAnsi"/>
          <w:color w:val="44546A" w:themeColor="text2"/>
          <w:sz w:val="20"/>
          <w:szCs w:val="20"/>
          <w:lang w:val="sr-Cyrl-RS" w:eastAsia="ja-JP"/>
        </w:rPr>
        <w:t xml:space="preserve"> странкама</w:t>
      </w:r>
      <w:r w:rsidRPr="00A37BCE">
        <w:rPr>
          <w:rFonts w:eastAsia="Calibri" w:cstheme="minorHAnsi"/>
          <w:color w:val="44546A" w:themeColor="text2"/>
          <w:sz w:val="20"/>
          <w:szCs w:val="20"/>
          <w:lang w:val="sr-Cyrl-RS" w:eastAsia="ja-JP"/>
        </w:rPr>
        <w:t>, верским и спортским организацијама, казне, накнада штете итд. У протеклом периоду ниво ове категорије је био између 1,3% и 1,5% БДП, a до 2021. године учешће ових расхода у БДП ће опадати.</w:t>
      </w:r>
    </w:p>
    <w:p w14:paraId="758FA5D5" w14:textId="0B5E2C6A"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 xml:space="preserve">У 2018. години значајно је побољшана ефикасност извршења јавних инвестиција. Капитални расходи су повећани за 0,8% </w:t>
      </w:r>
      <w:r w:rsidR="004B175D">
        <w:rPr>
          <w:rFonts w:eastAsia="Calibri" w:cstheme="minorHAnsi"/>
          <w:color w:val="44546A" w:themeColor="text2"/>
          <w:sz w:val="20"/>
          <w:szCs w:val="20"/>
          <w:lang w:val="sr-Cyrl-RS" w:eastAsia="ja-JP"/>
        </w:rPr>
        <w:t>п. п.</w:t>
      </w:r>
      <w:r w:rsidRPr="00A37BCE">
        <w:rPr>
          <w:rFonts w:eastAsia="Calibri" w:cstheme="minorHAnsi"/>
          <w:color w:val="44546A" w:themeColor="text2"/>
          <w:sz w:val="20"/>
          <w:szCs w:val="20"/>
          <w:lang w:val="sr-Cyrl-RS" w:eastAsia="ja-JP"/>
        </w:rPr>
        <w:t xml:space="preserve"> БДП у односу на 2017. годину захваљујући отпочињању нове фазе инфраструктурних пројеката. У наредном средњорочном периоду сви напори биће усмерени на достизање прихватљивог и пожељног нивоа улагања у јавну инфраструктуру, што </w:t>
      </w:r>
      <w:r w:rsidRPr="00A37BCE">
        <w:rPr>
          <w:rFonts w:eastAsia="Calibri" w:cstheme="minorHAnsi"/>
          <w:color w:val="44546A" w:themeColor="text2"/>
          <w:sz w:val="20"/>
          <w:szCs w:val="20"/>
          <w:lang w:val="sr-Cyrl-RS" w:eastAsia="ja-JP"/>
        </w:rPr>
        <w:lastRenderedPageBreak/>
        <w:t>представља 4% БДП. Смањењем текуће потрошње сектора државе створио се фискални простор који ће делом бити искоришћен за повећање инвестиција. Најзначајнији инфраструктурни радови су на Коридорима 10 и 11 који се углавном финансирају из међународних кредита.</w:t>
      </w:r>
    </w:p>
    <w:p w14:paraId="22D9CD5F" w14:textId="77777777"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Ниво буџетских позајмица и отплате дуга по основу гаранција је добар показатељ успеха фискалне консолидације. Укупно учешће ове две категорије у БДП сведено је на 0,6% БДП у 2018. години. До краја 2021. године ови издаци ће бити минимални, са учешћем до 0,2% БДП.</w:t>
      </w:r>
    </w:p>
    <w:p w14:paraId="18A88C0E" w14:textId="6ED8C524"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Отплата по основу издатих гаранција и плаћање гаранција по комерцијалним трансакцијама представљају обавезе по основу дуга јавних предузећа које је републички буџет преузео на себе, с обзиром да те компаније нису могле самостално да их извршавају. Ови расходи су представљали велики терет за буџет с обзиром на дугогодишње неефикасно пословање великог броја државних предузећа и привредних друштава. У 2017. години ови расходи су значајно снижени, а планом отплате предвиђено је да ће од 2021. године ови расходи износи</w:t>
      </w:r>
      <w:r w:rsidR="00A70F3C">
        <w:rPr>
          <w:rFonts w:eastAsia="Calibri" w:cstheme="minorHAnsi"/>
          <w:color w:val="44546A" w:themeColor="text2"/>
          <w:sz w:val="20"/>
          <w:szCs w:val="20"/>
          <w:lang w:val="sr-Cyrl-RS" w:eastAsia="ja-JP"/>
        </w:rPr>
        <w:t>ти само око 0,1% БДП.</w:t>
      </w:r>
    </w:p>
    <w:p w14:paraId="1511C70F" w14:textId="2905BD44" w:rsidR="00BA4876" w:rsidRPr="00A37BCE" w:rsidRDefault="00BA4876" w:rsidP="00BA4876">
      <w:pPr>
        <w:spacing w:after="120" w:line="276" w:lineRule="auto"/>
        <w:jc w:val="both"/>
        <w:rPr>
          <w:rFonts w:eastAsia="Calibri" w:cstheme="minorHAnsi"/>
          <w:b/>
          <w:color w:val="2F5496" w:themeColor="accent1" w:themeShade="BF"/>
          <w:szCs w:val="20"/>
          <w:lang w:val="sr-Cyrl-RS" w:eastAsia="ja-JP"/>
        </w:rPr>
      </w:pPr>
      <w:r w:rsidRPr="00A37BCE">
        <w:rPr>
          <w:rFonts w:eastAsia="Calibri" w:cstheme="minorHAnsi"/>
          <w:b/>
          <w:color w:val="2F5496" w:themeColor="accent1" w:themeShade="BF"/>
          <w:szCs w:val="20"/>
          <w:lang w:val="sr-Cyrl-RS" w:eastAsia="ja-JP"/>
        </w:rPr>
        <w:t>Структурне мере за унапређење стабилности и одрживости јавних финансија</w:t>
      </w:r>
      <w:r w:rsidRPr="00A37BCE">
        <w:rPr>
          <w:rFonts w:eastAsia="Calibri" w:cstheme="minorHAnsi"/>
          <w:b/>
          <w:color w:val="2F5496" w:themeColor="accent1" w:themeShade="BF"/>
          <w:szCs w:val="20"/>
          <w:vertAlign w:val="superscript"/>
          <w:lang w:val="sr-Cyrl-RS" w:eastAsia="ja-JP"/>
        </w:rPr>
        <w:footnoteReference w:id="6"/>
      </w:r>
    </w:p>
    <w:p w14:paraId="660E5959" w14:textId="339FD998"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 xml:space="preserve">Након успешно спроведених мера фискалне консолидације, подржаних трогодишњим Аранжманом из предострожности са ММФ, Република Србија је у јулу ове године склопила нови аранжман </w:t>
      </w:r>
      <w:r w:rsidR="009D3C98" w:rsidRPr="009D3C98">
        <w:rPr>
          <w:rFonts w:eastAsia="Calibri" w:cstheme="minorHAnsi"/>
          <w:color w:val="44546A" w:themeColor="text2"/>
          <w:sz w:val="20"/>
          <w:szCs w:val="20"/>
          <w:lang w:val="sr-Cyrl-RS" w:eastAsia="ja-JP"/>
        </w:rPr>
        <w:t>–</w:t>
      </w:r>
      <w:r w:rsidRPr="00A37BCE">
        <w:rPr>
          <w:rFonts w:eastAsia="Calibri" w:cstheme="minorHAnsi"/>
          <w:color w:val="44546A" w:themeColor="text2"/>
          <w:sz w:val="20"/>
          <w:szCs w:val="20"/>
          <w:lang w:val="sr-Cyrl-RS" w:eastAsia="ja-JP"/>
        </w:rPr>
        <w:t xml:space="preserve"> Инструмент за координацију политика – PCI (</w:t>
      </w:r>
      <w:r w:rsidRPr="00956C60">
        <w:rPr>
          <w:rFonts w:eastAsia="Calibri" w:cstheme="minorHAnsi"/>
          <w:i/>
          <w:color w:val="44546A" w:themeColor="text2"/>
          <w:sz w:val="20"/>
          <w:szCs w:val="20"/>
          <w:lang w:val="sr-Cyrl-RS" w:eastAsia="ja-JP"/>
        </w:rPr>
        <w:t>Policy Coordination Instrument</w:t>
      </w:r>
      <w:r w:rsidRPr="00A37BCE">
        <w:rPr>
          <w:rFonts w:eastAsia="Calibri" w:cstheme="minorHAnsi"/>
          <w:color w:val="44546A" w:themeColor="text2"/>
          <w:sz w:val="20"/>
          <w:szCs w:val="20"/>
          <w:lang w:val="sr-Cyrl-RS" w:eastAsia="ja-JP"/>
        </w:rPr>
        <w:t>), у трајању од 30 месеци, којим је предвиђен наставак спровођења институционалних и структурних реформи.</w:t>
      </w:r>
    </w:p>
    <w:p w14:paraId="4F868F70" w14:textId="1AEF297F" w:rsidR="00BA4876" w:rsidRPr="00A37BCE" w:rsidRDefault="00BA4876" w:rsidP="00BA4876">
      <w:pPr>
        <w:spacing w:after="120" w:line="276" w:lineRule="auto"/>
        <w:jc w:val="both"/>
        <w:rPr>
          <w:rFonts w:eastAsia="MS PGothic" w:cstheme="minorHAnsi"/>
          <w:bCs/>
          <w:color w:val="44546A" w:themeColor="text2"/>
          <w:sz w:val="20"/>
          <w:szCs w:val="20"/>
          <w:lang w:val="sr-Cyrl-RS" w:eastAsia="ja-JP"/>
        </w:rPr>
      </w:pPr>
      <w:r w:rsidRPr="00A37BCE">
        <w:rPr>
          <w:rFonts w:eastAsia="MS PGothic" w:cstheme="minorHAnsi"/>
          <w:bCs/>
          <w:color w:val="44546A" w:themeColor="text2"/>
          <w:sz w:val="20"/>
          <w:szCs w:val="20"/>
          <w:lang w:val="sr-Cyrl-RS" w:eastAsia="ja-JP"/>
        </w:rPr>
        <w:t xml:space="preserve">Програмом је предвиђено очување макроекономске и фискалне стабилности, уз наставак смањења учешћа јавног дуга и спровођења мера које ће подстицати привредни </w:t>
      </w:r>
      <w:r w:rsidRPr="00A37BCE">
        <w:rPr>
          <w:rFonts w:eastAsia="MS PGothic" w:cstheme="minorHAnsi"/>
          <w:bCs/>
          <w:color w:val="44546A" w:themeColor="text2"/>
          <w:sz w:val="20"/>
          <w:szCs w:val="20"/>
          <w:lang w:val="sr-Cyrl-RS" w:eastAsia="ja-JP"/>
        </w:rPr>
        <w:lastRenderedPageBreak/>
        <w:t>раст, пре свега раст јавних инвестиција. Пореским мерама мотивисаће се даље запошљавање и инвестиције, уз поједностављење пореских поступака и смањење броја парафискалних намета. Монетарна политика</w:t>
      </w:r>
      <w:r w:rsidR="00051446">
        <w:rPr>
          <w:rFonts w:eastAsia="MS PGothic" w:cstheme="minorHAnsi"/>
          <w:bCs/>
          <w:color w:val="44546A" w:themeColor="text2"/>
          <w:sz w:val="20"/>
          <w:szCs w:val="20"/>
          <w:lang w:val="sr-Cyrl-RS" w:eastAsia="ja-JP"/>
        </w:rPr>
        <w:t xml:space="preserve"> ће и убудуће подржавати </w:t>
      </w:r>
      <w:r w:rsidRPr="00A37BCE">
        <w:rPr>
          <w:rFonts w:eastAsia="MS PGothic" w:cstheme="minorHAnsi"/>
          <w:bCs/>
          <w:color w:val="44546A" w:themeColor="text2"/>
          <w:sz w:val="20"/>
          <w:szCs w:val="20"/>
          <w:lang w:val="sr-Cyrl-RS" w:eastAsia="ja-JP"/>
        </w:rPr>
        <w:t>економску активност</w:t>
      </w:r>
      <w:r w:rsidR="00051446">
        <w:rPr>
          <w:rFonts w:eastAsia="MS PGothic" w:cstheme="minorHAnsi"/>
          <w:bCs/>
          <w:color w:val="44546A" w:themeColor="text2"/>
          <w:sz w:val="20"/>
          <w:szCs w:val="20"/>
          <w:lang w:val="sr-Cyrl-RS" w:eastAsia="ja-JP"/>
        </w:rPr>
        <w:t xml:space="preserve"> не доводећи у питање одржавање постигнуте стабилности цена као примарног циља НБС, </w:t>
      </w:r>
      <w:r w:rsidRPr="00A37BCE">
        <w:rPr>
          <w:rFonts w:eastAsia="MS PGothic" w:cstheme="minorHAnsi"/>
          <w:bCs/>
          <w:color w:val="44546A" w:themeColor="text2"/>
          <w:sz w:val="20"/>
          <w:szCs w:val="20"/>
          <w:lang w:val="sr-Cyrl-RS" w:eastAsia="ja-JP"/>
        </w:rPr>
        <w:t>уз даље јачање процеса динаризације и</w:t>
      </w:r>
      <w:r w:rsidR="00051446">
        <w:rPr>
          <w:rFonts w:eastAsia="MS PGothic" w:cstheme="minorHAnsi"/>
          <w:bCs/>
          <w:color w:val="44546A" w:themeColor="text2"/>
          <w:sz w:val="20"/>
          <w:szCs w:val="20"/>
          <w:lang w:val="sr-Cyrl-RS" w:eastAsia="ja-JP"/>
        </w:rPr>
        <w:t xml:space="preserve"> очување</w:t>
      </w:r>
      <w:r w:rsidRPr="00A37BCE">
        <w:rPr>
          <w:rFonts w:eastAsia="MS PGothic" w:cstheme="minorHAnsi"/>
          <w:bCs/>
          <w:color w:val="44546A" w:themeColor="text2"/>
          <w:sz w:val="20"/>
          <w:szCs w:val="20"/>
          <w:lang w:val="sr-Cyrl-RS" w:eastAsia="ja-JP"/>
        </w:rPr>
        <w:t xml:space="preserve"> релативн</w:t>
      </w:r>
      <w:r w:rsidR="00051446">
        <w:rPr>
          <w:rFonts w:eastAsia="MS PGothic" w:cstheme="minorHAnsi"/>
          <w:bCs/>
          <w:color w:val="44546A" w:themeColor="text2"/>
          <w:sz w:val="20"/>
          <w:szCs w:val="20"/>
          <w:lang w:val="sr-Cyrl-RS" w:eastAsia="ja-JP"/>
        </w:rPr>
        <w:t>е</w:t>
      </w:r>
      <w:r w:rsidRPr="00A37BCE">
        <w:rPr>
          <w:rFonts w:eastAsia="MS PGothic" w:cstheme="minorHAnsi"/>
          <w:bCs/>
          <w:color w:val="44546A" w:themeColor="text2"/>
          <w:sz w:val="20"/>
          <w:szCs w:val="20"/>
          <w:lang w:val="sr-Cyrl-RS" w:eastAsia="ja-JP"/>
        </w:rPr>
        <w:t xml:space="preserve"> стабилност</w:t>
      </w:r>
      <w:r w:rsidR="00051446">
        <w:rPr>
          <w:rFonts w:eastAsia="MS PGothic" w:cstheme="minorHAnsi"/>
          <w:bCs/>
          <w:color w:val="44546A" w:themeColor="text2"/>
          <w:sz w:val="20"/>
          <w:szCs w:val="20"/>
          <w:lang w:val="sr-Cyrl-RS" w:eastAsia="ja-JP"/>
        </w:rPr>
        <w:t>и</w:t>
      </w:r>
      <w:r w:rsidRPr="00A37BCE">
        <w:rPr>
          <w:rFonts w:eastAsia="MS PGothic" w:cstheme="minorHAnsi"/>
          <w:bCs/>
          <w:color w:val="44546A" w:themeColor="text2"/>
          <w:sz w:val="20"/>
          <w:szCs w:val="20"/>
          <w:lang w:val="sr-Cyrl-RS" w:eastAsia="ja-JP"/>
        </w:rPr>
        <w:t xml:space="preserve"> девизног курса. У финансијском сектору, где су постигну</w:t>
      </w:r>
      <w:r w:rsidR="00C33F97">
        <w:rPr>
          <w:rFonts w:eastAsia="MS PGothic" w:cstheme="minorHAnsi"/>
          <w:bCs/>
          <w:color w:val="44546A" w:themeColor="text2"/>
          <w:sz w:val="20"/>
          <w:szCs w:val="20"/>
          <w:lang w:val="sr-Cyrl-RS" w:eastAsia="ja-JP"/>
        </w:rPr>
        <w:t>ти изванредни</w:t>
      </w:r>
      <w:r w:rsidRPr="00A37BCE">
        <w:rPr>
          <w:rFonts w:eastAsia="MS PGothic" w:cstheme="minorHAnsi"/>
          <w:bCs/>
          <w:color w:val="44546A" w:themeColor="text2"/>
          <w:sz w:val="20"/>
          <w:szCs w:val="20"/>
          <w:lang w:val="sr-Cyrl-RS" w:eastAsia="ja-JP"/>
        </w:rPr>
        <w:t xml:space="preserve"> резултати у смањењу нивоа проблематичних кредита, наставиће се активности на њиховом даљем смањивању, уз решавање одређених проблема финансијских институција (банака у државном власништву, државних развојних агенција, итд). Структурне и институционалне реформе у наредном средњорочном периоду имаће за циљ унапређење пословног окружења, што доприноси успешнијем процесу приступања земље ЕУ. Ове реформе фокусираће се на реструктурирање државних предузећа, финансијских институција и јавне управе, као и на даље смањење сиве економије.</w:t>
      </w:r>
    </w:p>
    <w:p w14:paraId="783988EF" w14:textId="77777777"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У наредном периоду очекује се наставак реформи у области запошљавања, управљања кадровима и система плата у сектору државе. Циљ фискалне политике у средњем року је задржавање расхода за запослене на одрживом нивоу, уз адекватну структуру запослених, како би се обезбедио већи квалитет пружених услуга. У наредном средњорочном периоду акценат је на структурним мерама, које би преко оптимизације броја запослених с једне стране, и успостављања новог система плата у сектору државе, с друге стране, допринело повећању ефикасности и квалитету пружених јавних услуга.</w:t>
      </w:r>
    </w:p>
    <w:p w14:paraId="52474371" w14:textId="77777777"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 xml:space="preserve">Протеклих година усвојени су бројни закони и подзаконски акти како би се прецизно одредио обухват и број запослених у јавном сектору. Закон о начину одређивања максималног броја запослених је кровни закон којим се дефинише максималан број стално запослених лица на институционалном нивоу. На снази је и Владина Уредба о поступку за прибављање сагласности за </w:t>
      </w:r>
      <w:r w:rsidRPr="00A37BCE">
        <w:rPr>
          <w:rFonts w:eastAsia="Calibri" w:cstheme="minorHAnsi"/>
          <w:color w:val="44546A" w:themeColor="text2"/>
          <w:sz w:val="20"/>
          <w:szCs w:val="20"/>
          <w:lang w:val="sr-Cyrl-RS" w:eastAsia="ja-JP"/>
        </w:rPr>
        <w:lastRenderedPageBreak/>
        <w:t>ново запошљавање и додатно радно ангажовање код корисника јавних средстава. Овај систем је допринео смањењу броја запослених, али било је и одређених проблема у погледу обезбеђења адекватне структуре запослених и несметаног функционисања појединих делова јавног сектора. У наредном периоду, имајући у виду фискална ограничења, дизајнираће се флексибилнији систем који ће оптимизовати структуру запослених у јавној управи и ограничити запошљавање у јавним предузећима.</w:t>
      </w:r>
    </w:p>
    <w:p w14:paraId="12F32164" w14:textId="62078694"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У циљу смањења различитих облика буџетске подршке јавним и државним предузећима наставља се са реформама највећих јавних и државних предузећа. Смањење буџетске подршке овим предузећима подразумева: а) ограничење директних и индиректних субвенција, б) стриктно ограничење у издавању гаранција за нове кредите и в) јачање одговорности и транспарентности у пословању ових предузећа, укључујући и контролу и смањење доцњи у плаћањима, нарочито према ЈП ЕПС и ЈП „Србијагас</w:t>
      </w:r>
      <w:r w:rsidR="00956C60" w:rsidRPr="00956C60">
        <w:rPr>
          <w:rFonts w:eastAsia="Calibri" w:cstheme="minorHAnsi"/>
          <w:color w:val="44546A" w:themeColor="text2"/>
          <w:sz w:val="20"/>
          <w:szCs w:val="20"/>
          <w:lang w:val="sr-Cyrl-RS" w:eastAsia="ja-JP"/>
        </w:rPr>
        <w:t>ˮ</w:t>
      </w:r>
      <w:r w:rsidRPr="00A37BCE">
        <w:rPr>
          <w:rFonts w:eastAsia="Calibri" w:cstheme="minorHAnsi"/>
          <w:color w:val="44546A" w:themeColor="text2"/>
          <w:sz w:val="20"/>
          <w:szCs w:val="20"/>
          <w:lang w:val="sr-Cyrl-RS" w:eastAsia="ja-JP"/>
        </w:rPr>
        <w:t>. За следећу годину се планира израда стратегије којом ће бити обухваћен интегрисани приступ надгледању и праћењу пословања државних и јавних предузећа, процеса њихове финансијске консолидације, реструктурирања, дезинвестирања и мера за побољшање управ</w:t>
      </w:r>
      <w:r w:rsidR="00D82D2A">
        <w:rPr>
          <w:rFonts w:eastAsia="Calibri" w:cstheme="minorHAnsi"/>
          <w:color w:val="44546A" w:themeColor="text2"/>
          <w:sz w:val="20"/>
          <w:szCs w:val="20"/>
          <w:lang w:val="sr-Cyrl-RS" w:eastAsia="ja-JP"/>
        </w:rPr>
        <w:t>љања и институционалног оквира.</w:t>
      </w:r>
    </w:p>
    <w:p w14:paraId="1454BCEB" w14:textId="1AA3A621"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Статус предузећа из портфолија бивше Агенције за приватизацију решава се кроз поступак стечаја или приватизације. До септембра 2018. године проглашен је стечај за преко 310 предузећа, док је 54 приватизовано од краја 2014. године. Око 34.800 запослених из 336 предузећа примило је отпремнине. Неопходно је да се нађе решење за још око 90 предузећа са гото</w:t>
      </w:r>
      <w:r w:rsidR="00D82D2A">
        <w:rPr>
          <w:rFonts w:eastAsia="Calibri" w:cstheme="minorHAnsi"/>
          <w:color w:val="44546A" w:themeColor="text2"/>
          <w:sz w:val="20"/>
          <w:szCs w:val="20"/>
          <w:lang w:val="sr-Cyrl-RS" w:eastAsia="ja-JP"/>
        </w:rPr>
        <w:t>во 39.000 запослених.</w:t>
      </w:r>
    </w:p>
    <w:p w14:paraId="11E030B5" w14:textId="71E5E4B3"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За предузећа, која чине стратешке компаније из портфолија бивше Агенције за приватизацију, решење се налази или кроз приватизационе тендере, или кроз стечај. У септембру је завршен поступак приватизације ПКБ, који је продат компанији „Ал Дахра</w:t>
      </w:r>
      <w:r w:rsidR="00956C60" w:rsidRPr="00956C60">
        <w:rPr>
          <w:rFonts w:eastAsia="Calibri" w:cstheme="minorHAnsi"/>
          <w:color w:val="44546A" w:themeColor="text2"/>
          <w:sz w:val="20"/>
          <w:szCs w:val="20"/>
          <w:lang w:val="sr-Cyrl-RS" w:eastAsia="ja-JP"/>
        </w:rPr>
        <w:t>ˮ</w:t>
      </w:r>
      <w:r w:rsidRPr="00A37BCE">
        <w:rPr>
          <w:rFonts w:eastAsia="Calibri" w:cstheme="minorHAnsi"/>
          <w:color w:val="44546A" w:themeColor="text2"/>
          <w:sz w:val="20"/>
          <w:szCs w:val="20"/>
          <w:lang w:val="sr-Cyrl-RS" w:eastAsia="ja-JP"/>
        </w:rPr>
        <w:t xml:space="preserve"> из УАЕ, за 105 милиона евра. За металуршки комплекс РТБ Бор је изабран стратешки партнер – кинески „Циђин мајнинг</w:t>
      </w:r>
      <w:r w:rsidRPr="00A37BCE">
        <w:rPr>
          <w:rFonts w:eastAsia="MS PGothic" w:cstheme="minorHAnsi"/>
          <w:bCs/>
          <w:color w:val="44546A" w:themeColor="text2"/>
          <w:sz w:val="20"/>
          <w:szCs w:val="20"/>
          <w:lang w:val="sr-Cyrl-RS" w:eastAsia="ja-JP"/>
        </w:rPr>
        <w:t xml:space="preserve"> </w:t>
      </w:r>
      <w:r w:rsidRPr="00A37BCE">
        <w:rPr>
          <w:rFonts w:eastAsia="MS PGothic" w:cstheme="minorHAnsi"/>
          <w:bCs/>
          <w:color w:val="44546A" w:themeColor="text2"/>
          <w:sz w:val="20"/>
          <w:szCs w:val="20"/>
          <w:lang w:val="sr-Cyrl-RS" w:eastAsia="ja-JP"/>
        </w:rPr>
        <w:lastRenderedPageBreak/>
        <w:t>груп</w:t>
      </w:r>
      <w:r w:rsidR="00956C60" w:rsidRPr="00956C60">
        <w:rPr>
          <w:rFonts w:eastAsia="MS PGothic" w:cstheme="minorHAnsi"/>
          <w:bCs/>
          <w:color w:val="44546A" w:themeColor="text2"/>
          <w:sz w:val="20"/>
          <w:szCs w:val="20"/>
          <w:lang w:val="sr-Cyrl-RS" w:eastAsia="ja-JP"/>
        </w:rPr>
        <w:t>ˮ</w:t>
      </w:r>
      <w:r w:rsidRPr="00A37BCE">
        <w:rPr>
          <w:rFonts w:eastAsia="MS PGothic" w:cstheme="minorHAnsi"/>
          <w:bCs/>
          <w:color w:val="44546A" w:themeColor="text2"/>
          <w:sz w:val="20"/>
          <w:szCs w:val="20"/>
          <w:lang w:val="sr-Cyrl-RS" w:eastAsia="ja-JP"/>
        </w:rPr>
        <w:t xml:space="preserve"> који је понудио милијарду и 260 милиона </w:t>
      </w:r>
      <w:r w:rsidRPr="00A37BCE">
        <w:rPr>
          <w:rFonts w:eastAsia="Calibri" w:cstheme="minorHAnsi"/>
          <w:color w:val="44546A" w:themeColor="text2"/>
          <w:sz w:val="20"/>
          <w:szCs w:val="20"/>
          <w:lang w:val="sr-Cyrl-RS" w:eastAsia="ja-JP"/>
        </w:rPr>
        <w:t>долара, плус 200 милиона долара за покривање текућих дугова РТБ, уз обавезу да сачува постојећи број радника. Уз подршку Светске Банке развија се акциони план за ЈП ПЕУ „Ресавица</w:t>
      </w:r>
      <w:r w:rsidR="00956C60" w:rsidRPr="00A37BCE">
        <w:rPr>
          <w:rFonts w:cstheme="minorHAnsi"/>
          <w:bCs/>
          <w:color w:val="44546A" w:themeColor="text2"/>
          <w:sz w:val="20"/>
          <w:szCs w:val="72"/>
          <w:lang w:val="sr-Cyrl-RS"/>
        </w:rPr>
        <w:t>ˮ</w:t>
      </w:r>
      <w:r w:rsidRPr="00A37BCE">
        <w:rPr>
          <w:rFonts w:eastAsia="Calibri" w:cstheme="minorHAnsi"/>
          <w:color w:val="44546A" w:themeColor="text2"/>
          <w:sz w:val="20"/>
          <w:szCs w:val="20"/>
          <w:lang w:val="sr-Cyrl-RS" w:eastAsia="ja-JP"/>
        </w:rPr>
        <w:t>, који обухвата проналажење решења за затварање економски неодрживих рудника и плана рационализације, што ће смањити субвенције које се исплаћују из буџета. ХИП Петрохемија се налази пред тендерским поступком за приватизацију. ХИП Азотара се, након неуспелих покушаја да се пронађе стратешки партнер, налази пред стечајним поступком, док ће за МСК Кикинда бити расписан трећи тендер за приватизацију.</w:t>
      </w:r>
    </w:p>
    <w:p w14:paraId="60B93F1B" w14:textId="64F866DC"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За одређени број компанија у државном власништву се траже стратешки партнери или други модели приватизације, односно спровођење унапред припремљених планова реорганизације (УППР), док је за „Аеродром Никола Тесла</w:t>
      </w:r>
      <w:r w:rsidR="00956C60" w:rsidRPr="00A37BCE">
        <w:rPr>
          <w:rFonts w:cstheme="minorHAnsi"/>
          <w:bCs/>
          <w:color w:val="44546A" w:themeColor="text2"/>
          <w:sz w:val="20"/>
          <w:szCs w:val="72"/>
          <w:lang w:val="sr-Cyrl-RS"/>
        </w:rPr>
        <w:t>ˮ</w:t>
      </w:r>
      <w:r w:rsidRPr="00A37BCE">
        <w:rPr>
          <w:rFonts w:eastAsia="Calibri" w:cstheme="minorHAnsi"/>
          <w:color w:val="44546A" w:themeColor="text2"/>
          <w:sz w:val="20"/>
          <w:szCs w:val="20"/>
          <w:lang w:val="sr-Cyrl-RS" w:eastAsia="ja-JP"/>
        </w:rPr>
        <w:t>, потписан уговор о концесији са француском компанијом „Vinci Airports</w:t>
      </w:r>
      <w:r w:rsidR="00956C60" w:rsidRPr="00A37BCE">
        <w:rPr>
          <w:rFonts w:cstheme="minorHAnsi"/>
          <w:bCs/>
          <w:color w:val="44546A" w:themeColor="text2"/>
          <w:sz w:val="20"/>
          <w:szCs w:val="72"/>
          <w:lang w:val="sr-Cyrl-RS"/>
        </w:rPr>
        <w:t>ˮ</w:t>
      </w:r>
      <w:r w:rsidRPr="00A37BCE">
        <w:rPr>
          <w:rFonts w:eastAsia="Calibri" w:cstheme="minorHAnsi"/>
          <w:color w:val="44546A" w:themeColor="text2"/>
          <w:sz w:val="20"/>
          <w:szCs w:val="20"/>
          <w:lang w:val="sr-Cyrl-RS" w:eastAsia="ja-JP"/>
        </w:rPr>
        <w:t>, у трајању од 25 година, којим се концесионар обавезује да плати 501 милион евра, инвестира 732 милиона евра и пл</w:t>
      </w:r>
      <w:r w:rsidR="00D82D2A">
        <w:rPr>
          <w:rFonts w:eastAsia="Calibri" w:cstheme="minorHAnsi"/>
          <w:color w:val="44546A" w:themeColor="text2"/>
          <w:sz w:val="20"/>
          <w:szCs w:val="20"/>
          <w:lang w:val="sr-Cyrl-RS" w:eastAsia="ja-JP"/>
        </w:rPr>
        <w:t>аћа варијабилну годишњу таксу.</w:t>
      </w:r>
    </w:p>
    <w:p w14:paraId="3DB6E738" w14:textId="5253E27D" w:rsidR="00BA4876" w:rsidRPr="00A37BCE" w:rsidRDefault="00BA4876" w:rsidP="00E73771">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Побољшање управљања јавним финансијама је нужно не само као подршка мерама фискалне консолидације и структурним реформама, већ као процес који подиже квалитет државне управе и осигурава амбијент који је привлачно и пожељно тло за инвеститоре. Реформске активности у оквиру различитих подсистема управљања јавним финансијама (УЈФ) обухваћене су Програмом реформе управљања јавним финансијама 20</w:t>
      </w:r>
      <w:r w:rsidR="00B3546C">
        <w:rPr>
          <w:rFonts w:eastAsia="Calibri" w:cstheme="minorHAnsi"/>
          <w:color w:val="44546A" w:themeColor="text2"/>
          <w:sz w:val="20"/>
          <w:szCs w:val="20"/>
          <w:lang w:val="sr-Cyrl-RS" w:eastAsia="ja-JP"/>
        </w:rPr>
        <w:t>16–2020. годин</w:t>
      </w:r>
      <w:r w:rsidR="00BC4B2A">
        <w:rPr>
          <w:rFonts w:eastAsia="Calibri" w:cstheme="minorHAnsi"/>
          <w:color w:val="44546A" w:themeColor="text2"/>
          <w:sz w:val="20"/>
          <w:szCs w:val="20"/>
          <w:lang w:val="sr-Cyrl-RS" w:eastAsia="ja-JP"/>
        </w:rPr>
        <w:t>е</w:t>
      </w:r>
      <w:r w:rsidR="00B3546C">
        <w:rPr>
          <w:rFonts w:eastAsia="Calibri" w:cstheme="minorHAnsi"/>
          <w:color w:val="44546A" w:themeColor="text2"/>
          <w:sz w:val="20"/>
          <w:szCs w:val="20"/>
          <w:lang w:val="sr-Cyrl-RS" w:eastAsia="ja-JP"/>
        </w:rPr>
        <w:t xml:space="preserve"> (Програм РУЈФ).</w:t>
      </w:r>
    </w:p>
    <w:p w14:paraId="2CD12537" w14:textId="69C8D987" w:rsidR="00BA4876" w:rsidRPr="00A37BCE" w:rsidRDefault="00BA4876" w:rsidP="00E73771">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Информациони систем извршења буџета – ИСИБ – је део система управљања јавним финансијама који обухвата процесе и поступке који се спроводе електронском комуникацијом са Управом за трезор у саставу Министарства финансија. Развој овог система ће омогућити праћење свих индиректних корисника централног нивоа власти. У систем су укључени директни корисници јавних средстава, правосудни органи, а од ове године и индиректни корисници Министарства култур</w:t>
      </w:r>
      <w:r w:rsidR="00E4396B">
        <w:rPr>
          <w:rFonts w:eastAsia="Calibri" w:cstheme="minorHAnsi"/>
          <w:color w:val="44546A" w:themeColor="text2"/>
          <w:sz w:val="20"/>
          <w:szCs w:val="20"/>
          <w:lang w:val="sr-Cyrl-RS" w:eastAsia="ja-JP"/>
        </w:rPr>
        <w:t>е</w:t>
      </w:r>
      <w:r w:rsidRPr="00A37BCE">
        <w:rPr>
          <w:rFonts w:eastAsia="Calibri" w:cstheme="minorHAnsi"/>
          <w:color w:val="44546A" w:themeColor="text2"/>
          <w:sz w:val="20"/>
          <w:szCs w:val="20"/>
          <w:lang w:val="sr-Cyrl-RS" w:eastAsia="ja-JP"/>
        </w:rPr>
        <w:t xml:space="preserve"> и информисањ</w:t>
      </w:r>
      <w:r w:rsidR="00E4396B">
        <w:rPr>
          <w:rFonts w:eastAsia="Calibri" w:cstheme="minorHAnsi"/>
          <w:color w:val="44546A" w:themeColor="text2"/>
          <w:sz w:val="20"/>
          <w:szCs w:val="20"/>
          <w:lang w:val="sr-Cyrl-RS" w:eastAsia="ja-JP"/>
        </w:rPr>
        <w:t>а</w:t>
      </w:r>
      <w:r w:rsidRPr="00A37BCE">
        <w:rPr>
          <w:rFonts w:eastAsia="Calibri" w:cstheme="minorHAnsi"/>
          <w:color w:val="44546A" w:themeColor="text2"/>
          <w:sz w:val="20"/>
          <w:szCs w:val="20"/>
          <w:lang w:val="sr-Cyrl-RS" w:eastAsia="ja-JP"/>
        </w:rPr>
        <w:t xml:space="preserve"> и Управе за извршење кривичних </w:t>
      </w:r>
      <w:r w:rsidRPr="00A37BCE">
        <w:rPr>
          <w:rFonts w:eastAsia="Calibri" w:cstheme="minorHAnsi"/>
          <w:color w:val="44546A" w:themeColor="text2"/>
          <w:sz w:val="20"/>
          <w:szCs w:val="20"/>
          <w:lang w:val="sr-Cyrl-RS" w:eastAsia="ja-JP"/>
        </w:rPr>
        <w:lastRenderedPageBreak/>
        <w:t>санкција, који нису били део претходног система (ФМИС). У наредној години се очекује укључење институција социјалне заштите тако да ће, након тога, ван система бити још само индиректни корисници Министарства просвете, науке и технолошког развоја. Финансијски планови фондова социјалног осигурања ће и даље садржати податке о својим индиректним корисницима.</w:t>
      </w:r>
    </w:p>
    <w:p w14:paraId="6E8D6899" w14:textId="74666380" w:rsidR="00BA4876" w:rsidRPr="00A37BCE" w:rsidRDefault="00BA4876" w:rsidP="00E73771">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Област управљања јавним финансијама којој је озбиљно посвећена пажња и на чијем се унапређењу ради је управљање јавним инвестицијама. Јачањем оквира управљања јавним инвестиција интензивирају се нови инфраструктурни пројекти и подиже квалитет постојеће инфраструктуре. Капитални пројекти, односно пројектни кредити су постали саставни део буџета. У априлу 2018. године усвојен је Закон о планском систему Републике Србије, којим је успостављен национални оквир за планирање и којим су дефинисани План развоја и Инвестициони план. Како би се унапредио оквир управљања јавним инвестицијама, у складу са препорукама техничке помоћи ММФ, а на основу Уредбе о садржини, начину припреме и оцене, као и праћењу спровођења и извештавању о реализацији капиталних пројеката, биће усвојен правилник у којем ће се налазити краћи прикази студија изводљивости за велике и стратешке инфраструктурне пројекте, биће основана Комисија за капиталне инвестиције и бити измењена поменута Уредба, како би у планирање била укључени и пројекти које финансира ИПА и који се финансирају на основу билатералних споразума Републике Србије и других држава.</w:t>
      </w:r>
    </w:p>
    <w:p w14:paraId="41F2A992" w14:textId="1ECD00DC" w:rsidR="00BA4876" w:rsidRPr="00A37BCE" w:rsidRDefault="00BA4876" w:rsidP="00E73771">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Јавно-приватна партнерства (</w:t>
      </w:r>
      <w:r w:rsidRPr="00956C60">
        <w:rPr>
          <w:rFonts w:eastAsia="Calibri" w:cstheme="minorHAnsi"/>
          <w:i/>
          <w:color w:val="44546A" w:themeColor="text2"/>
          <w:sz w:val="20"/>
          <w:szCs w:val="20"/>
          <w:lang w:val="sr-Cyrl-RS" w:eastAsia="ja-JP"/>
        </w:rPr>
        <w:t>Public-Private Partnerships</w:t>
      </w:r>
      <w:r w:rsidRPr="00A37BCE">
        <w:rPr>
          <w:rFonts w:eastAsia="Calibri" w:cstheme="minorHAnsi"/>
          <w:color w:val="44546A" w:themeColor="text2"/>
          <w:sz w:val="20"/>
          <w:szCs w:val="20"/>
          <w:lang w:val="sr-Cyrl-RS" w:eastAsia="ja-JP"/>
        </w:rPr>
        <w:t xml:space="preserve"> </w:t>
      </w:r>
      <w:r w:rsidR="009D3C98" w:rsidRPr="009D3C98">
        <w:rPr>
          <w:rFonts w:eastAsia="Calibri" w:cstheme="minorHAnsi"/>
          <w:color w:val="44546A" w:themeColor="text2"/>
          <w:sz w:val="20"/>
          <w:szCs w:val="20"/>
          <w:lang w:val="sr-Cyrl-RS" w:eastAsia="ja-JP"/>
        </w:rPr>
        <w:t>–</w:t>
      </w:r>
      <w:r w:rsidRPr="00A37BCE">
        <w:rPr>
          <w:rFonts w:eastAsia="Calibri" w:cstheme="minorHAnsi"/>
          <w:color w:val="44546A" w:themeColor="text2"/>
          <w:sz w:val="20"/>
          <w:szCs w:val="20"/>
          <w:lang w:val="sr-Cyrl-RS" w:eastAsia="ja-JP"/>
        </w:rPr>
        <w:t xml:space="preserve"> PPP), као специфичан вид сарадње државе и приватног сектора захтевају посебну пажњу и опрез, стога ће Министарство финансија убудуће вршити процену свих предлога с гледишта анализе трошкова и користи и поделе ризика. Законом о изменама </w:t>
      </w:r>
      <w:r w:rsidR="00E4396B" w:rsidRPr="00A37BCE">
        <w:rPr>
          <w:rFonts w:eastAsia="Calibri" w:cstheme="minorHAnsi"/>
          <w:color w:val="44546A" w:themeColor="text2"/>
          <w:sz w:val="20"/>
          <w:szCs w:val="20"/>
          <w:lang w:val="sr-Cyrl-RS" w:eastAsia="ja-JP"/>
        </w:rPr>
        <w:t xml:space="preserve">Закона </w:t>
      </w:r>
      <w:r w:rsidRPr="00A37BCE">
        <w:rPr>
          <w:rFonts w:eastAsia="Calibri" w:cstheme="minorHAnsi"/>
          <w:color w:val="44546A" w:themeColor="text2"/>
          <w:sz w:val="20"/>
          <w:szCs w:val="20"/>
          <w:lang w:val="sr-Cyrl-RS" w:eastAsia="ja-JP"/>
        </w:rPr>
        <w:t xml:space="preserve">о јавно-приватном партнерству и концесијама уведено је да је за ЈПП вредности од преко 50 милиона евра, пре него што Влада узме предлог у разматрање, </w:t>
      </w:r>
      <w:r w:rsidRPr="00A37BCE">
        <w:rPr>
          <w:rFonts w:eastAsia="Calibri" w:cstheme="minorHAnsi"/>
          <w:color w:val="44546A" w:themeColor="text2"/>
          <w:sz w:val="20"/>
          <w:szCs w:val="20"/>
          <w:lang w:val="sr-Cyrl-RS" w:eastAsia="ja-JP"/>
        </w:rPr>
        <w:lastRenderedPageBreak/>
        <w:t>потребна сагласност Министарства финансија. До краја године биће усвојене додатне измене и допуне закона у циљу ограничавања укупне фискалне изложености и обезбеђивања конкурентности тендерског поступка.</w:t>
      </w:r>
    </w:p>
    <w:p w14:paraId="156026C6" w14:textId="77777777" w:rsidR="00BA4876" w:rsidRPr="00A37BCE" w:rsidRDefault="00BA4876" w:rsidP="00E73771">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 xml:space="preserve">Акциони план трансформације Пореске управе за период 2018–2023. године усвојен у децембру 2017. године дефинише стратешке смернице и временске рокове у којим ће бити спроведене активности потребне за стварање модерне пореске управе, која ће, уз коришћење савремених електронских процеса пружити бољу и свеобухватнију услугу пореским обвезницима и бољу контролу и наплату прихода, односно поспешити борбу против сиве економије, заједно са реформом и модернизацијом инспекцијског надзора. Акционим планом је дефинисано организационо раздвајање основних активности од оних које се сматрају споредним, с тим да се основне активности обављају у мањем броју организационих јединица него што је то био случај до сада, односно да се изврши консолидација основних активности. Уз помоћ спољних консултаната који су ангажовани да анализирају пословне процесе и ресурсе које они захтевају, биће развијена адекватна организациона структура и менаџмент. Стручни консултанти ће такође помоћи у управљању пројектима и дизајну адекватне структуре запослених. У другој фази имплементације реформе ће бити усмерене на информационе системе, односно на њихов развој </w:t>
      </w:r>
      <w:r w:rsidRPr="00A37BCE">
        <w:rPr>
          <w:rFonts w:eastAsia="Calibri" w:cstheme="minorHAnsi"/>
          <w:color w:val="44546A" w:themeColor="text2"/>
          <w:sz w:val="20"/>
          <w:szCs w:val="20"/>
          <w:lang w:val="sr-Cyrl-RS" w:eastAsia="ja-JP"/>
        </w:rPr>
        <w:lastRenderedPageBreak/>
        <w:t>и модернизацију. Посебна пажња ће се посветити смањењу просечног времена за повраћај ПДВ, уз примену начела опрезности, како би се могућности превара свеле на минимум. Време потребно за повраћај ПДВ биће значајно смањено након унапређења софтвера за управљање ПДВ.</w:t>
      </w:r>
    </w:p>
    <w:p w14:paraId="24BC4084" w14:textId="77777777" w:rsidR="00BA4876" w:rsidRPr="00A37BCE" w:rsidRDefault="00BA4876" w:rsidP="00E73771">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Побољшање квалитета и транспарентности националне статистике се врши кроз унапређење свеобухватне, правовремене и аутоматске размене података између надлежних институција. У априлу 2018. године објављена је листа институција које чине сектор опште државе, као и остале секторе, у складу са Европским системом рачуна (ESA) 2010 и GFSM 2014, на основу чега ће РЗС (у сарадњи са Министарством финансија и НБС) регуларно достављати податке у Проширени општи систем дисеминације података (e-GDDS). У оквиру међународног пројекта унапређења система националних рачуна и обрачуна бруто домаћег производа, РЗС усвојио је препоруке и позитивна искуства европских статистика који се односе на обрачуне најважнијих макроекономских агрегата.</w:t>
      </w:r>
    </w:p>
    <w:p w14:paraId="6503BF79" w14:textId="77777777" w:rsidR="00BA4876" w:rsidRPr="00A37BCE" w:rsidRDefault="00BA4876" w:rsidP="00BA4876">
      <w:pPr>
        <w:spacing w:line="276" w:lineRule="auto"/>
        <w:jc w:val="both"/>
        <w:rPr>
          <w:rFonts w:cstheme="minorHAnsi"/>
          <w:b/>
          <w:bCs/>
          <w:color w:val="2F5496" w:themeColor="accent1" w:themeShade="BF"/>
          <w:szCs w:val="20"/>
          <w:lang w:val="sr-Cyrl-RS"/>
        </w:rPr>
      </w:pPr>
      <w:r w:rsidRPr="00A37BCE">
        <w:rPr>
          <w:rFonts w:cstheme="minorHAnsi"/>
          <w:b/>
          <w:bCs/>
          <w:color w:val="2F5496" w:themeColor="accent1" w:themeShade="BF"/>
          <w:szCs w:val="20"/>
          <w:lang w:val="sr-Cyrl-RS"/>
        </w:rPr>
        <w:t>Поређење са претходним програмом</w:t>
      </w:r>
    </w:p>
    <w:p w14:paraId="5BD575A6" w14:textId="77777777" w:rsidR="00BA4876" w:rsidRPr="00A37BCE" w:rsidRDefault="00BA4876" w:rsidP="00BA4876">
      <w:pPr>
        <w:spacing w:line="276" w:lineRule="auto"/>
        <w:jc w:val="both"/>
        <w:rPr>
          <w:rFonts w:cstheme="minorHAnsi"/>
          <w:bCs/>
          <w:color w:val="44546A" w:themeColor="text2"/>
          <w:sz w:val="20"/>
          <w:szCs w:val="20"/>
          <w:lang w:val="sr-Cyrl-RS"/>
        </w:rPr>
        <w:sectPr w:rsidR="00BA4876" w:rsidRPr="00A37BCE" w:rsidSect="00BA4876">
          <w:type w:val="continuous"/>
          <w:pgSz w:w="12240" w:h="15840"/>
          <w:pgMar w:top="1440" w:right="1440" w:bottom="1440" w:left="1440" w:header="720" w:footer="720" w:gutter="0"/>
          <w:cols w:num="2" w:space="720"/>
          <w:docGrid w:linePitch="360"/>
          <w15:footnoteColumns w:val="1"/>
        </w:sectPr>
      </w:pPr>
      <w:r w:rsidRPr="00A37BCE">
        <w:rPr>
          <w:rFonts w:cstheme="minorHAnsi"/>
          <w:bCs/>
          <w:color w:val="44546A" w:themeColor="text2"/>
          <w:sz w:val="20"/>
          <w:szCs w:val="20"/>
          <w:lang w:val="sr-Cyrl-RS"/>
        </w:rPr>
        <w:t>Средњорочни фискални оквир није значајно промењен у односу на претходни документ</w:t>
      </w:r>
      <w:r w:rsidRPr="00A37BCE">
        <w:rPr>
          <w:rFonts w:cstheme="minorHAnsi"/>
          <w:bCs/>
          <w:color w:val="44546A" w:themeColor="text2"/>
          <w:sz w:val="20"/>
          <w:szCs w:val="20"/>
          <w:vertAlign w:val="superscript"/>
          <w:lang w:val="sr-Cyrl-RS"/>
        </w:rPr>
        <w:footnoteReference w:id="7"/>
      </w:r>
      <w:r w:rsidRPr="00A37BCE">
        <w:rPr>
          <w:rFonts w:cstheme="minorHAnsi"/>
          <w:bCs/>
          <w:color w:val="44546A" w:themeColor="text2"/>
          <w:sz w:val="20"/>
          <w:szCs w:val="20"/>
          <w:lang w:val="sr-Cyrl-RS"/>
        </w:rPr>
        <w:t xml:space="preserve">. Средњорочни циљ је остао годишњи дефицит на нивоу од 0,5% БДП као одрживи дефицит који омогућава смањење нивоа учешћа јавног дуга у БДП. </w:t>
      </w:r>
    </w:p>
    <w:p w14:paraId="270F4257" w14:textId="74BED165" w:rsidR="00BA4876" w:rsidRPr="00A37BCE" w:rsidRDefault="00BA4876" w:rsidP="00BA4876">
      <w:pPr>
        <w:keepNext/>
        <w:spacing w:after="200" w:line="276" w:lineRule="auto"/>
        <w:jc w:val="center"/>
        <w:rPr>
          <w:rFonts w:eastAsia="MS PGothic" w:cstheme="minorHAnsi"/>
          <w:b/>
          <w:color w:val="002060"/>
          <w:sz w:val="20"/>
          <w:szCs w:val="20"/>
          <w:lang w:val="sr-Cyrl-RS" w:eastAsia="ja-JP"/>
        </w:rPr>
      </w:pPr>
      <w:r w:rsidRPr="00A37BCE">
        <w:rPr>
          <w:rFonts w:eastAsia="MS PGothic" w:cstheme="minorHAnsi"/>
          <w:b/>
          <w:color w:val="002060"/>
          <w:sz w:val="20"/>
          <w:szCs w:val="20"/>
          <w:lang w:val="sr-Cyrl-RS" w:eastAsia="ja-JP"/>
        </w:rPr>
        <w:lastRenderedPageBreak/>
        <w:t>Табела 1</w:t>
      </w:r>
      <w:r w:rsidR="005B01D9" w:rsidRPr="00A37BCE">
        <w:rPr>
          <w:rFonts w:eastAsia="MS PGothic" w:cstheme="minorHAnsi"/>
          <w:b/>
          <w:color w:val="002060"/>
          <w:sz w:val="20"/>
          <w:szCs w:val="20"/>
          <w:lang w:val="sr-Cyrl-RS" w:eastAsia="ja-JP"/>
        </w:rPr>
        <w:t>1</w:t>
      </w:r>
      <w:r w:rsidRPr="00A37BCE">
        <w:rPr>
          <w:rFonts w:eastAsia="MS PGothic" w:cstheme="minorHAnsi"/>
          <w:b/>
          <w:color w:val="002060"/>
          <w:sz w:val="20"/>
          <w:szCs w:val="20"/>
          <w:lang w:val="sr-Cyrl-RS" w:eastAsia="ja-JP"/>
        </w:rPr>
        <w:t xml:space="preserve">. Поређење фискалних показатеља два програма, у % </w:t>
      </w:r>
      <w:r w:rsidRPr="001A06AE">
        <w:rPr>
          <w:rFonts w:eastAsia="MS PGothic" w:cstheme="minorHAnsi"/>
          <w:b/>
          <w:color w:val="002060"/>
          <w:sz w:val="20"/>
          <w:szCs w:val="20"/>
          <w:lang w:val="sr-Cyrl-RS" w:eastAsia="ja-JP"/>
        </w:rPr>
        <w:t>БДП</w:t>
      </w:r>
    </w:p>
    <w:tbl>
      <w:tblPr>
        <w:tblStyle w:val="ListTable6Colorful-Accent6"/>
        <w:tblW w:w="5000" w:type="pct"/>
        <w:tblLook w:val="04A0" w:firstRow="1" w:lastRow="0" w:firstColumn="1" w:lastColumn="0" w:noHBand="0" w:noVBand="1"/>
      </w:tblPr>
      <w:tblGrid>
        <w:gridCol w:w="2741"/>
        <w:gridCol w:w="1324"/>
        <w:gridCol w:w="1323"/>
        <w:gridCol w:w="1324"/>
        <w:gridCol w:w="1324"/>
        <w:gridCol w:w="1324"/>
      </w:tblGrid>
      <w:tr w:rsidR="00BA4876" w:rsidRPr="00A37BCE" w14:paraId="66D14B22" w14:textId="77777777" w:rsidTr="00BA4876">
        <w:trPr>
          <w:cnfStyle w:val="100000000000" w:firstRow="1" w:lastRow="0" w:firstColumn="0" w:lastColumn="0" w:oddVBand="0" w:evenVBand="0" w:oddHBand="0"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387" w:type="pct"/>
            <w:tcBorders>
              <w:top w:val="single" w:sz="4" w:space="0" w:color="002060"/>
              <w:bottom w:val="single" w:sz="4" w:space="0" w:color="FFFFFF" w:themeColor="background1"/>
            </w:tcBorders>
            <w:shd w:val="clear" w:color="auto" w:fill="FFFFFF" w:themeFill="background1"/>
            <w:noWrap/>
            <w:hideMark/>
          </w:tcPr>
          <w:p w14:paraId="0F70BFB4" w14:textId="77777777" w:rsidR="00BA4876" w:rsidRPr="00A37BCE" w:rsidRDefault="00BA4876" w:rsidP="00BA4876">
            <w:pPr>
              <w:keepNext/>
              <w:widowControl w:val="0"/>
              <w:shd w:val="clear" w:color="auto" w:fill="FFFFFF" w:themeFill="background1"/>
              <w:spacing w:line="276" w:lineRule="auto"/>
              <w:jc w:val="both"/>
              <w:rPr>
                <w:rFonts w:eastAsia="Times New Roman" w:cstheme="minorHAnsi"/>
                <w:b w:val="0"/>
                <w:color w:val="002060"/>
                <w:sz w:val="18"/>
                <w:szCs w:val="18"/>
                <w:lang w:val="sr-Cyrl-RS"/>
              </w:rPr>
            </w:pPr>
          </w:p>
        </w:tc>
        <w:tc>
          <w:tcPr>
            <w:tcW w:w="723" w:type="pct"/>
            <w:tcBorders>
              <w:top w:val="single" w:sz="4" w:space="0" w:color="002060"/>
              <w:bottom w:val="single" w:sz="4" w:space="0" w:color="002060"/>
            </w:tcBorders>
            <w:shd w:val="clear" w:color="auto" w:fill="FFFFFF" w:themeFill="background1"/>
            <w:noWrap/>
            <w:hideMark/>
          </w:tcPr>
          <w:p w14:paraId="7377036D" w14:textId="77777777" w:rsidR="00BA4876" w:rsidRPr="00A37BCE" w:rsidRDefault="00BA4876" w:rsidP="00BA4876">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2017</w:t>
            </w:r>
          </w:p>
        </w:tc>
        <w:tc>
          <w:tcPr>
            <w:tcW w:w="722" w:type="pct"/>
            <w:tcBorders>
              <w:top w:val="single" w:sz="4" w:space="0" w:color="002060"/>
              <w:bottom w:val="single" w:sz="4" w:space="0" w:color="002060"/>
            </w:tcBorders>
            <w:shd w:val="clear" w:color="auto" w:fill="FFFFFF" w:themeFill="background1"/>
            <w:noWrap/>
            <w:hideMark/>
          </w:tcPr>
          <w:p w14:paraId="37CB5ECA" w14:textId="77777777" w:rsidR="00BA4876" w:rsidRPr="00A37BCE" w:rsidRDefault="00BA4876" w:rsidP="00BA4876">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2018</w:t>
            </w:r>
          </w:p>
        </w:tc>
        <w:tc>
          <w:tcPr>
            <w:tcW w:w="723" w:type="pct"/>
            <w:tcBorders>
              <w:top w:val="single" w:sz="4" w:space="0" w:color="002060"/>
              <w:bottom w:val="single" w:sz="4" w:space="0" w:color="002060"/>
            </w:tcBorders>
            <w:shd w:val="clear" w:color="auto" w:fill="FFFFFF" w:themeFill="background1"/>
            <w:noWrap/>
            <w:hideMark/>
          </w:tcPr>
          <w:p w14:paraId="10003E55" w14:textId="77777777" w:rsidR="00BA4876" w:rsidRPr="00A37BCE" w:rsidRDefault="00BA4876" w:rsidP="00BA4876">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2019</w:t>
            </w:r>
          </w:p>
        </w:tc>
        <w:tc>
          <w:tcPr>
            <w:tcW w:w="722" w:type="pct"/>
            <w:tcBorders>
              <w:top w:val="single" w:sz="4" w:space="0" w:color="002060"/>
              <w:bottom w:val="single" w:sz="4" w:space="0" w:color="002060"/>
            </w:tcBorders>
            <w:shd w:val="clear" w:color="auto" w:fill="FFFFFF" w:themeFill="background1"/>
            <w:noWrap/>
            <w:hideMark/>
          </w:tcPr>
          <w:p w14:paraId="7463F946" w14:textId="77777777" w:rsidR="00BA4876" w:rsidRPr="00A37BCE" w:rsidRDefault="00BA4876" w:rsidP="00BA4876">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2020</w:t>
            </w:r>
          </w:p>
        </w:tc>
        <w:tc>
          <w:tcPr>
            <w:tcW w:w="722" w:type="pct"/>
            <w:tcBorders>
              <w:top w:val="single" w:sz="4" w:space="0" w:color="002060"/>
              <w:bottom w:val="single" w:sz="4" w:space="0" w:color="002060"/>
            </w:tcBorders>
            <w:shd w:val="clear" w:color="auto" w:fill="FFFFFF" w:themeFill="background1"/>
            <w:noWrap/>
            <w:hideMark/>
          </w:tcPr>
          <w:p w14:paraId="3A5EEDB0" w14:textId="77777777" w:rsidR="00BA4876" w:rsidRPr="00A37BCE" w:rsidRDefault="00BA4876" w:rsidP="00BA4876">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2021</w:t>
            </w:r>
          </w:p>
        </w:tc>
      </w:tr>
      <w:tr w:rsidR="00BA4876" w:rsidRPr="00A37BCE" w14:paraId="3BE87A93" w14:textId="77777777" w:rsidTr="00BA4876">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387" w:type="pct"/>
            <w:tcBorders>
              <w:top w:val="single" w:sz="4" w:space="0" w:color="FFFFFF" w:themeColor="background1"/>
            </w:tcBorders>
            <w:shd w:val="clear" w:color="auto" w:fill="FFFFFF" w:themeFill="background1"/>
            <w:noWrap/>
            <w:hideMark/>
          </w:tcPr>
          <w:p w14:paraId="063C3B29" w14:textId="1F98CCFB" w:rsidR="00BA4876" w:rsidRPr="009D3C98" w:rsidRDefault="009D3C98" w:rsidP="00BA4876">
            <w:pPr>
              <w:keepNext/>
              <w:widowControl w:val="0"/>
              <w:shd w:val="clear" w:color="auto" w:fill="FFFFFF" w:themeFill="background1"/>
              <w:spacing w:line="276" w:lineRule="auto"/>
              <w:jc w:val="both"/>
              <w:rPr>
                <w:rFonts w:eastAsia="Times New Roman" w:cstheme="minorHAnsi"/>
                <w:b w:val="0"/>
                <w:color w:val="002060"/>
                <w:sz w:val="18"/>
                <w:szCs w:val="18"/>
                <w:lang w:val="en-GB"/>
              </w:rPr>
            </w:pPr>
            <w:r>
              <w:rPr>
                <w:rFonts w:eastAsia="Times New Roman" w:cstheme="minorHAnsi"/>
                <w:b w:val="0"/>
                <w:color w:val="002060"/>
                <w:sz w:val="18"/>
                <w:szCs w:val="18"/>
                <w:lang w:val="sr-Cyrl-RS"/>
              </w:rPr>
              <w:t>Фискална стратегија 2018</w:t>
            </w:r>
            <w:r w:rsidRPr="009D3C98">
              <w:rPr>
                <w:rFonts w:eastAsia="Times New Roman" w:cstheme="minorHAnsi"/>
                <w:b w:val="0"/>
                <w:color w:val="002060"/>
                <w:sz w:val="18"/>
                <w:szCs w:val="18"/>
                <w:lang w:val="sr-Cyrl-RS"/>
              </w:rPr>
              <w:t>–</w:t>
            </w:r>
            <w:r w:rsidR="00BA4876" w:rsidRPr="00A37BCE">
              <w:rPr>
                <w:rFonts w:eastAsia="Times New Roman" w:cstheme="minorHAnsi"/>
                <w:b w:val="0"/>
                <w:color w:val="002060"/>
                <w:sz w:val="18"/>
                <w:szCs w:val="18"/>
                <w:lang w:val="sr-Cyrl-RS"/>
              </w:rPr>
              <w:t>2020</w:t>
            </w:r>
            <w:r>
              <w:rPr>
                <w:rFonts w:eastAsia="Times New Roman" w:cstheme="minorHAnsi"/>
                <w:b w:val="0"/>
                <w:color w:val="002060"/>
                <w:sz w:val="18"/>
                <w:szCs w:val="18"/>
                <w:lang w:val="en-GB"/>
              </w:rPr>
              <w:t>.</w:t>
            </w:r>
            <w:r w:rsidR="001A06AE">
              <w:rPr>
                <w:rStyle w:val="FootnoteReference"/>
                <w:rFonts w:eastAsia="Times New Roman" w:cstheme="minorHAnsi"/>
                <w:b w:val="0"/>
                <w:color w:val="002060"/>
                <w:sz w:val="18"/>
                <w:szCs w:val="18"/>
                <w:lang w:val="en-GB"/>
              </w:rPr>
              <w:footnoteReference w:id="8"/>
            </w:r>
          </w:p>
        </w:tc>
        <w:tc>
          <w:tcPr>
            <w:tcW w:w="723" w:type="pct"/>
            <w:tcBorders>
              <w:top w:val="single" w:sz="4" w:space="0" w:color="002060"/>
            </w:tcBorders>
            <w:shd w:val="clear" w:color="auto" w:fill="FFFFFF" w:themeFill="background1"/>
            <w:noWrap/>
            <w:hideMark/>
          </w:tcPr>
          <w:p w14:paraId="4FB64546"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722" w:type="pct"/>
            <w:tcBorders>
              <w:top w:val="single" w:sz="4" w:space="0" w:color="002060"/>
            </w:tcBorders>
            <w:shd w:val="clear" w:color="auto" w:fill="FFFFFF" w:themeFill="background1"/>
            <w:noWrap/>
            <w:hideMark/>
          </w:tcPr>
          <w:p w14:paraId="1E8C5CCF"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723" w:type="pct"/>
            <w:tcBorders>
              <w:top w:val="single" w:sz="4" w:space="0" w:color="002060"/>
            </w:tcBorders>
            <w:shd w:val="clear" w:color="auto" w:fill="FFFFFF" w:themeFill="background1"/>
            <w:noWrap/>
            <w:hideMark/>
          </w:tcPr>
          <w:p w14:paraId="09D12487"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722" w:type="pct"/>
            <w:tcBorders>
              <w:top w:val="single" w:sz="4" w:space="0" w:color="002060"/>
            </w:tcBorders>
            <w:shd w:val="clear" w:color="auto" w:fill="FFFFFF" w:themeFill="background1"/>
            <w:noWrap/>
            <w:hideMark/>
          </w:tcPr>
          <w:p w14:paraId="377312C7"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722" w:type="pct"/>
            <w:tcBorders>
              <w:top w:val="single" w:sz="4" w:space="0" w:color="002060"/>
            </w:tcBorders>
            <w:shd w:val="clear" w:color="auto" w:fill="FFFFFF" w:themeFill="background1"/>
            <w:noWrap/>
            <w:hideMark/>
          </w:tcPr>
          <w:p w14:paraId="54A43DEC"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r>
      <w:tr w:rsidR="00BA4876" w:rsidRPr="00A37BCE" w14:paraId="0FFF5315" w14:textId="77777777" w:rsidTr="00BA4876">
        <w:trPr>
          <w:trHeight w:val="241"/>
        </w:trPr>
        <w:tc>
          <w:tcPr>
            <w:cnfStyle w:val="001000000000" w:firstRow="0" w:lastRow="0" w:firstColumn="1" w:lastColumn="0" w:oddVBand="0" w:evenVBand="0" w:oddHBand="0" w:evenHBand="0" w:firstRowFirstColumn="0" w:firstRowLastColumn="0" w:lastRowFirstColumn="0" w:lastRowLastColumn="0"/>
            <w:tcW w:w="1387" w:type="pct"/>
            <w:shd w:val="clear" w:color="auto" w:fill="FFFFFF" w:themeFill="background1"/>
            <w:noWrap/>
            <w:hideMark/>
          </w:tcPr>
          <w:p w14:paraId="60B32C32" w14:textId="77777777" w:rsidR="00BA4876" w:rsidRPr="00A37BCE" w:rsidRDefault="00BA4876" w:rsidP="00BA4876">
            <w:pPr>
              <w:keepNext/>
              <w:widowControl w:val="0"/>
              <w:shd w:val="clear" w:color="auto" w:fill="FFFFFF" w:themeFill="background1"/>
              <w:spacing w:line="276" w:lineRule="auto"/>
              <w:jc w:val="both"/>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Приходи</w:t>
            </w:r>
          </w:p>
        </w:tc>
        <w:tc>
          <w:tcPr>
            <w:tcW w:w="723" w:type="pct"/>
            <w:shd w:val="clear" w:color="auto" w:fill="FFFFFF" w:themeFill="background1"/>
            <w:noWrap/>
            <w:hideMark/>
          </w:tcPr>
          <w:p w14:paraId="54B36F5A"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41,3</w:t>
            </w:r>
          </w:p>
        </w:tc>
        <w:tc>
          <w:tcPr>
            <w:tcW w:w="722" w:type="pct"/>
            <w:shd w:val="clear" w:color="auto" w:fill="FFFFFF" w:themeFill="background1"/>
            <w:noWrap/>
            <w:hideMark/>
          </w:tcPr>
          <w:p w14:paraId="02C3ACD6"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39,7</w:t>
            </w:r>
          </w:p>
        </w:tc>
        <w:tc>
          <w:tcPr>
            <w:tcW w:w="723" w:type="pct"/>
            <w:shd w:val="clear" w:color="auto" w:fill="FFFFFF" w:themeFill="background1"/>
            <w:noWrap/>
            <w:hideMark/>
          </w:tcPr>
          <w:p w14:paraId="27CA38C1"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39,0</w:t>
            </w:r>
          </w:p>
        </w:tc>
        <w:tc>
          <w:tcPr>
            <w:tcW w:w="722" w:type="pct"/>
            <w:shd w:val="clear" w:color="auto" w:fill="FFFFFF" w:themeFill="background1"/>
            <w:noWrap/>
            <w:hideMark/>
          </w:tcPr>
          <w:p w14:paraId="13F001A3"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38,2</w:t>
            </w:r>
          </w:p>
        </w:tc>
        <w:tc>
          <w:tcPr>
            <w:tcW w:w="722" w:type="pct"/>
            <w:shd w:val="clear" w:color="auto" w:fill="FFFFFF" w:themeFill="background1"/>
            <w:noWrap/>
            <w:hideMark/>
          </w:tcPr>
          <w:p w14:paraId="797B7333" w14:textId="4DDDFF8A" w:rsidR="00BA4876" w:rsidRPr="00A37BCE" w:rsidRDefault="00EA4DDC"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EA4DDC">
              <w:rPr>
                <w:rFonts w:eastAsia="Times New Roman" w:cstheme="minorHAnsi"/>
                <w:color w:val="002060"/>
                <w:sz w:val="18"/>
                <w:szCs w:val="18"/>
                <w:lang w:val="sr-Cyrl-RS"/>
              </w:rPr>
              <w:t>–</w:t>
            </w:r>
          </w:p>
        </w:tc>
      </w:tr>
      <w:tr w:rsidR="00BA4876" w:rsidRPr="00A37BCE" w14:paraId="4BA6FD81" w14:textId="77777777" w:rsidTr="00BA4876">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387" w:type="pct"/>
            <w:shd w:val="clear" w:color="auto" w:fill="FFFFFF" w:themeFill="background1"/>
            <w:noWrap/>
            <w:hideMark/>
          </w:tcPr>
          <w:p w14:paraId="5123014E" w14:textId="77777777" w:rsidR="00BA4876" w:rsidRPr="00A37BCE" w:rsidRDefault="00BA4876" w:rsidP="00BA4876">
            <w:pPr>
              <w:keepNext/>
              <w:widowControl w:val="0"/>
              <w:shd w:val="clear" w:color="auto" w:fill="FFFFFF" w:themeFill="background1"/>
              <w:spacing w:line="276" w:lineRule="auto"/>
              <w:jc w:val="both"/>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Расходи</w:t>
            </w:r>
          </w:p>
        </w:tc>
        <w:tc>
          <w:tcPr>
            <w:tcW w:w="723" w:type="pct"/>
            <w:shd w:val="clear" w:color="auto" w:fill="FFFFFF" w:themeFill="background1"/>
            <w:noWrap/>
            <w:hideMark/>
          </w:tcPr>
          <w:p w14:paraId="46F5DB69"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40,6</w:t>
            </w:r>
          </w:p>
        </w:tc>
        <w:tc>
          <w:tcPr>
            <w:tcW w:w="722" w:type="pct"/>
            <w:shd w:val="clear" w:color="auto" w:fill="FFFFFF" w:themeFill="background1"/>
            <w:noWrap/>
            <w:hideMark/>
          </w:tcPr>
          <w:p w14:paraId="60EF2F52"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40,3</w:t>
            </w:r>
          </w:p>
        </w:tc>
        <w:tc>
          <w:tcPr>
            <w:tcW w:w="723" w:type="pct"/>
            <w:shd w:val="clear" w:color="auto" w:fill="FFFFFF" w:themeFill="background1"/>
            <w:noWrap/>
            <w:hideMark/>
          </w:tcPr>
          <w:p w14:paraId="52F7575F"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39,5</w:t>
            </w:r>
          </w:p>
        </w:tc>
        <w:tc>
          <w:tcPr>
            <w:tcW w:w="722" w:type="pct"/>
            <w:shd w:val="clear" w:color="auto" w:fill="FFFFFF" w:themeFill="background1"/>
            <w:noWrap/>
            <w:hideMark/>
          </w:tcPr>
          <w:p w14:paraId="75DFB7A4"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38,7</w:t>
            </w:r>
          </w:p>
        </w:tc>
        <w:tc>
          <w:tcPr>
            <w:tcW w:w="722" w:type="pct"/>
            <w:shd w:val="clear" w:color="auto" w:fill="FFFFFF" w:themeFill="background1"/>
            <w:noWrap/>
            <w:hideMark/>
          </w:tcPr>
          <w:p w14:paraId="22951082" w14:textId="5398B24F" w:rsidR="00BA4876" w:rsidRPr="00A37BCE" w:rsidRDefault="00EA4DDC"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EA4DDC">
              <w:rPr>
                <w:rFonts w:eastAsia="Times New Roman" w:cstheme="minorHAnsi"/>
                <w:color w:val="002060"/>
                <w:sz w:val="18"/>
                <w:szCs w:val="18"/>
                <w:lang w:val="sr-Cyrl-RS"/>
              </w:rPr>
              <w:t>–</w:t>
            </w:r>
          </w:p>
        </w:tc>
      </w:tr>
      <w:tr w:rsidR="00BA4876" w:rsidRPr="00A37BCE" w14:paraId="0288394C" w14:textId="77777777" w:rsidTr="00BA4876">
        <w:trPr>
          <w:trHeight w:val="241"/>
        </w:trPr>
        <w:tc>
          <w:tcPr>
            <w:cnfStyle w:val="001000000000" w:firstRow="0" w:lastRow="0" w:firstColumn="1" w:lastColumn="0" w:oddVBand="0" w:evenVBand="0" w:oddHBand="0" w:evenHBand="0" w:firstRowFirstColumn="0" w:firstRowLastColumn="0" w:lastRowFirstColumn="0" w:lastRowLastColumn="0"/>
            <w:tcW w:w="1387" w:type="pct"/>
            <w:shd w:val="clear" w:color="auto" w:fill="FFFFFF" w:themeFill="background1"/>
            <w:noWrap/>
            <w:hideMark/>
          </w:tcPr>
          <w:p w14:paraId="60581321" w14:textId="77777777" w:rsidR="00BA4876" w:rsidRPr="00A37BCE" w:rsidRDefault="00BA4876" w:rsidP="00BA4876">
            <w:pPr>
              <w:keepNext/>
              <w:widowControl w:val="0"/>
              <w:shd w:val="clear" w:color="auto" w:fill="FFFFFF" w:themeFill="background1"/>
              <w:spacing w:line="276" w:lineRule="auto"/>
              <w:jc w:val="both"/>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Резултат</w:t>
            </w:r>
          </w:p>
        </w:tc>
        <w:tc>
          <w:tcPr>
            <w:tcW w:w="723" w:type="pct"/>
            <w:shd w:val="clear" w:color="auto" w:fill="FFFFFF" w:themeFill="background1"/>
            <w:noWrap/>
            <w:hideMark/>
          </w:tcPr>
          <w:p w14:paraId="2DE2CDF4"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0,7</w:t>
            </w:r>
          </w:p>
        </w:tc>
        <w:tc>
          <w:tcPr>
            <w:tcW w:w="722" w:type="pct"/>
            <w:shd w:val="clear" w:color="auto" w:fill="FFFFFF" w:themeFill="background1"/>
            <w:noWrap/>
            <w:hideMark/>
          </w:tcPr>
          <w:p w14:paraId="7103D1DE"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-0,6</w:t>
            </w:r>
          </w:p>
        </w:tc>
        <w:tc>
          <w:tcPr>
            <w:tcW w:w="723" w:type="pct"/>
            <w:shd w:val="clear" w:color="auto" w:fill="FFFFFF" w:themeFill="background1"/>
            <w:noWrap/>
            <w:hideMark/>
          </w:tcPr>
          <w:p w14:paraId="3A9735BF"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-0,5</w:t>
            </w:r>
          </w:p>
        </w:tc>
        <w:tc>
          <w:tcPr>
            <w:tcW w:w="722" w:type="pct"/>
            <w:shd w:val="clear" w:color="auto" w:fill="FFFFFF" w:themeFill="background1"/>
            <w:noWrap/>
            <w:hideMark/>
          </w:tcPr>
          <w:p w14:paraId="55F5C337"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-0,5</w:t>
            </w:r>
          </w:p>
        </w:tc>
        <w:tc>
          <w:tcPr>
            <w:tcW w:w="722" w:type="pct"/>
            <w:shd w:val="clear" w:color="auto" w:fill="FFFFFF" w:themeFill="background1"/>
            <w:noWrap/>
            <w:hideMark/>
          </w:tcPr>
          <w:p w14:paraId="504F0539" w14:textId="51DCBE2F" w:rsidR="00BA4876" w:rsidRPr="00A37BCE" w:rsidRDefault="00EA4DDC"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EA4DDC">
              <w:rPr>
                <w:rFonts w:eastAsia="Times New Roman" w:cstheme="minorHAnsi"/>
                <w:color w:val="002060"/>
                <w:sz w:val="18"/>
                <w:szCs w:val="18"/>
                <w:lang w:val="sr-Cyrl-RS"/>
              </w:rPr>
              <w:t>–</w:t>
            </w:r>
          </w:p>
        </w:tc>
      </w:tr>
      <w:tr w:rsidR="00BA4876" w:rsidRPr="00A37BCE" w14:paraId="6594D253" w14:textId="77777777" w:rsidTr="00BA4876">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387" w:type="pct"/>
            <w:shd w:val="clear" w:color="auto" w:fill="FFFFFF" w:themeFill="background1"/>
            <w:noWrap/>
            <w:hideMark/>
          </w:tcPr>
          <w:p w14:paraId="3F0AC711" w14:textId="7F3E794E" w:rsidR="00BA4876" w:rsidRPr="009D3C98" w:rsidRDefault="00BA4876" w:rsidP="00BA4876">
            <w:pPr>
              <w:keepNext/>
              <w:widowControl w:val="0"/>
              <w:shd w:val="clear" w:color="auto" w:fill="FFFFFF" w:themeFill="background1"/>
              <w:spacing w:line="276" w:lineRule="auto"/>
              <w:jc w:val="both"/>
              <w:rPr>
                <w:rFonts w:eastAsia="Times New Roman" w:cstheme="minorHAnsi"/>
                <w:b w:val="0"/>
                <w:color w:val="002060"/>
                <w:sz w:val="18"/>
                <w:szCs w:val="18"/>
                <w:lang w:val="en-GB"/>
              </w:rPr>
            </w:pPr>
            <w:r w:rsidRPr="00A37BCE">
              <w:rPr>
                <w:rFonts w:eastAsia="Times New Roman" w:cstheme="minorHAnsi"/>
                <w:b w:val="0"/>
                <w:color w:val="002060"/>
                <w:sz w:val="18"/>
                <w:szCs w:val="18"/>
                <w:lang w:val="sr-Cyrl-RS"/>
              </w:rPr>
              <w:t>Фискална стратегија 2019</w:t>
            </w:r>
            <w:r w:rsidR="009D3C98" w:rsidRPr="009D3C98">
              <w:rPr>
                <w:rFonts w:eastAsia="Times New Roman" w:cstheme="minorHAnsi"/>
                <w:b w:val="0"/>
                <w:color w:val="002060"/>
                <w:sz w:val="18"/>
                <w:szCs w:val="18"/>
                <w:lang w:val="sr-Cyrl-RS"/>
              </w:rPr>
              <w:t>–</w:t>
            </w:r>
            <w:r w:rsidRPr="00A37BCE">
              <w:rPr>
                <w:rFonts w:eastAsia="Times New Roman" w:cstheme="minorHAnsi"/>
                <w:b w:val="0"/>
                <w:color w:val="002060"/>
                <w:sz w:val="18"/>
                <w:szCs w:val="18"/>
                <w:lang w:val="sr-Cyrl-RS"/>
              </w:rPr>
              <w:t>2021</w:t>
            </w:r>
            <w:r w:rsidR="009D3C98">
              <w:rPr>
                <w:rFonts w:eastAsia="Times New Roman" w:cstheme="minorHAnsi"/>
                <w:b w:val="0"/>
                <w:color w:val="002060"/>
                <w:sz w:val="18"/>
                <w:szCs w:val="18"/>
                <w:lang w:val="en-GB"/>
              </w:rPr>
              <w:t>.</w:t>
            </w:r>
          </w:p>
        </w:tc>
        <w:tc>
          <w:tcPr>
            <w:tcW w:w="723" w:type="pct"/>
            <w:shd w:val="clear" w:color="auto" w:fill="FFFFFF" w:themeFill="background1"/>
            <w:noWrap/>
            <w:hideMark/>
          </w:tcPr>
          <w:p w14:paraId="1B83A255"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722" w:type="pct"/>
            <w:shd w:val="clear" w:color="auto" w:fill="FFFFFF" w:themeFill="background1"/>
            <w:noWrap/>
            <w:hideMark/>
          </w:tcPr>
          <w:p w14:paraId="23F7687A"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723" w:type="pct"/>
            <w:shd w:val="clear" w:color="auto" w:fill="FFFFFF" w:themeFill="background1"/>
            <w:noWrap/>
            <w:hideMark/>
          </w:tcPr>
          <w:p w14:paraId="656FE2BD"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722" w:type="pct"/>
            <w:shd w:val="clear" w:color="auto" w:fill="FFFFFF" w:themeFill="background1"/>
            <w:noWrap/>
            <w:hideMark/>
          </w:tcPr>
          <w:p w14:paraId="105A655F"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722" w:type="pct"/>
            <w:shd w:val="clear" w:color="auto" w:fill="FFFFFF" w:themeFill="background1"/>
            <w:noWrap/>
            <w:hideMark/>
          </w:tcPr>
          <w:p w14:paraId="76EFB8E3"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r>
      <w:tr w:rsidR="00BA4876" w:rsidRPr="00A37BCE" w14:paraId="5C609533" w14:textId="77777777" w:rsidTr="00BA4876">
        <w:trPr>
          <w:trHeight w:val="241"/>
        </w:trPr>
        <w:tc>
          <w:tcPr>
            <w:cnfStyle w:val="001000000000" w:firstRow="0" w:lastRow="0" w:firstColumn="1" w:lastColumn="0" w:oddVBand="0" w:evenVBand="0" w:oddHBand="0" w:evenHBand="0" w:firstRowFirstColumn="0" w:firstRowLastColumn="0" w:lastRowFirstColumn="0" w:lastRowLastColumn="0"/>
            <w:tcW w:w="1387" w:type="pct"/>
            <w:shd w:val="clear" w:color="auto" w:fill="FFFFFF" w:themeFill="background1"/>
            <w:noWrap/>
            <w:hideMark/>
          </w:tcPr>
          <w:p w14:paraId="1955AFB8" w14:textId="77777777" w:rsidR="00BA4876" w:rsidRPr="00A37BCE" w:rsidRDefault="00BA4876" w:rsidP="00BA4876">
            <w:pPr>
              <w:keepNext/>
              <w:widowControl w:val="0"/>
              <w:shd w:val="clear" w:color="auto" w:fill="FFFFFF" w:themeFill="background1"/>
              <w:spacing w:line="276" w:lineRule="auto"/>
              <w:jc w:val="both"/>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Приходи</w:t>
            </w:r>
          </w:p>
        </w:tc>
        <w:tc>
          <w:tcPr>
            <w:tcW w:w="723" w:type="pct"/>
            <w:shd w:val="clear" w:color="auto" w:fill="FFFFFF" w:themeFill="background1"/>
            <w:noWrap/>
            <w:hideMark/>
          </w:tcPr>
          <w:p w14:paraId="0742D919"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41,5</w:t>
            </w:r>
          </w:p>
        </w:tc>
        <w:tc>
          <w:tcPr>
            <w:tcW w:w="722" w:type="pct"/>
            <w:shd w:val="clear" w:color="auto" w:fill="FFFFFF" w:themeFill="background1"/>
            <w:noWrap/>
            <w:hideMark/>
          </w:tcPr>
          <w:p w14:paraId="2A8F50DA"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41,1</w:t>
            </w:r>
          </w:p>
        </w:tc>
        <w:tc>
          <w:tcPr>
            <w:tcW w:w="723" w:type="pct"/>
            <w:shd w:val="clear" w:color="auto" w:fill="FFFFFF" w:themeFill="background1"/>
            <w:noWrap/>
            <w:hideMark/>
          </w:tcPr>
          <w:p w14:paraId="571D7A95"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39,9</w:t>
            </w:r>
          </w:p>
        </w:tc>
        <w:tc>
          <w:tcPr>
            <w:tcW w:w="722" w:type="pct"/>
            <w:shd w:val="clear" w:color="auto" w:fill="FFFFFF" w:themeFill="background1"/>
            <w:noWrap/>
            <w:hideMark/>
          </w:tcPr>
          <w:p w14:paraId="20F49998"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39,2</w:t>
            </w:r>
          </w:p>
        </w:tc>
        <w:tc>
          <w:tcPr>
            <w:tcW w:w="722" w:type="pct"/>
            <w:shd w:val="clear" w:color="auto" w:fill="FFFFFF" w:themeFill="background1"/>
            <w:noWrap/>
            <w:hideMark/>
          </w:tcPr>
          <w:p w14:paraId="62B53289"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38,7</w:t>
            </w:r>
          </w:p>
        </w:tc>
      </w:tr>
      <w:tr w:rsidR="00BA4876" w:rsidRPr="00A37BCE" w14:paraId="0403625F" w14:textId="77777777" w:rsidTr="00BA4876">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387" w:type="pct"/>
            <w:shd w:val="clear" w:color="auto" w:fill="FFFFFF" w:themeFill="background1"/>
            <w:noWrap/>
            <w:hideMark/>
          </w:tcPr>
          <w:p w14:paraId="0048A0CB" w14:textId="77777777" w:rsidR="00BA4876" w:rsidRPr="00A37BCE" w:rsidRDefault="00BA4876" w:rsidP="00BA4876">
            <w:pPr>
              <w:keepNext/>
              <w:widowControl w:val="0"/>
              <w:shd w:val="clear" w:color="auto" w:fill="FFFFFF" w:themeFill="background1"/>
              <w:spacing w:line="276" w:lineRule="auto"/>
              <w:jc w:val="both"/>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Расходи</w:t>
            </w:r>
          </w:p>
        </w:tc>
        <w:tc>
          <w:tcPr>
            <w:tcW w:w="723" w:type="pct"/>
            <w:shd w:val="clear" w:color="auto" w:fill="FFFFFF" w:themeFill="background1"/>
            <w:noWrap/>
            <w:hideMark/>
          </w:tcPr>
          <w:p w14:paraId="7D4D485C"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40,4</w:t>
            </w:r>
          </w:p>
        </w:tc>
        <w:tc>
          <w:tcPr>
            <w:tcW w:w="722" w:type="pct"/>
            <w:shd w:val="clear" w:color="auto" w:fill="FFFFFF" w:themeFill="background1"/>
            <w:noWrap/>
            <w:hideMark/>
          </w:tcPr>
          <w:p w14:paraId="18DDEF9B"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40,6</w:t>
            </w:r>
          </w:p>
        </w:tc>
        <w:tc>
          <w:tcPr>
            <w:tcW w:w="723" w:type="pct"/>
            <w:shd w:val="clear" w:color="auto" w:fill="FFFFFF" w:themeFill="background1"/>
            <w:noWrap/>
            <w:hideMark/>
          </w:tcPr>
          <w:p w14:paraId="153DCAAE"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40,4</w:t>
            </w:r>
          </w:p>
        </w:tc>
        <w:tc>
          <w:tcPr>
            <w:tcW w:w="722" w:type="pct"/>
            <w:shd w:val="clear" w:color="auto" w:fill="FFFFFF" w:themeFill="background1"/>
            <w:noWrap/>
            <w:hideMark/>
          </w:tcPr>
          <w:p w14:paraId="7E951F9E"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39,7</w:t>
            </w:r>
          </w:p>
        </w:tc>
        <w:tc>
          <w:tcPr>
            <w:tcW w:w="722" w:type="pct"/>
            <w:shd w:val="clear" w:color="auto" w:fill="FFFFFF" w:themeFill="background1"/>
            <w:noWrap/>
            <w:hideMark/>
          </w:tcPr>
          <w:p w14:paraId="39EAE942"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39,2</w:t>
            </w:r>
          </w:p>
        </w:tc>
      </w:tr>
      <w:tr w:rsidR="00BA4876" w:rsidRPr="00A37BCE" w14:paraId="58D7BA03" w14:textId="77777777" w:rsidTr="00BA4876">
        <w:trPr>
          <w:trHeight w:val="241"/>
        </w:trPr>
        <w:tc>
          <w:tcPr>
            <w:cnfStyle w:val="001000000000" w:firstRow="0" w:lastRow="0" w:firstColumn="1" w:lastColumn="0" w:oddVBand="0" w:evenVBand="0" w:oddHBand="0" w:evenHBand="0" w:firstRowFirstColumn="0" w:firstRowLastColumn="0" w:lastRowFirstColumn="0" w:lastRowLastColumn="0"/>
            <w:tcW w:w="1387" w:type="pct"/>
            <w:shd w:val="clear" w:color="auto" w:fill="FFFFFF" w:themeFill="background1"/>
            <w:noWrap/>
            <w:hideMark/>
          </w:tcPr>
          <w:p w14:paraId="10E17E60" w14:textId="77777777" w:rsidR="00BA4876" w:rsidRPr="00A37BCE" w:rsidRDefault="00BA4876" w:rsidP="00BA4876">
            <w:pPr>
              <w:keepNext/>
              <w:widowControl w:val="0"/>
              <w:shd w:val="clear" w:color="auto" w:fill="FFFFFF" w:themeFill="background1"/>
              <w:spacing w:line="276" w:lineRule="auto"/>
              <w:jc w:val="both"/>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Резултат</w:t>
            </w:r>
          </w:p>
        </w:tc>
        <w:tc>
          <w:tcPr>
            <w:tcW w:w="723" w:type="pct"/>
            <w:shd w:val="clear" w:color="auto" w:fill="FFFFFF" w:themeFill="background1"/>
            <w:noWrap/>
            <w:hideMark/>
          </w:tcPr>
          <w:p w14:paraId="35B9F4A1"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1,1</w:t>
            </w:r>
          </w:p>
        </w:tc>
        <w:tc>
          <w:tcPr>
            <w:tcW w:w="722" w:type="pct"/>
            <w:shd w:val="clear" w:color="auto" w:fill="FFFFFF" w:themeFill="background1"/>
            <w:noWrap/>
            <w:hideMark/>
          </w:tcPr>
          <w:p w14:paraId="39EA9077"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0,6</w:t>
            </w:r>
          </w:p>
        </w:tc>
        <w:tc>
          <w:tcPr>
            <w:tcW w:w="723" w:type="pct"/>
            <w:shd w:val="clear" w:color="auto" w:fill="FFFFFF" w:themeFill="background1"/>
            <w:noWrap/>
            <w:hideMark/>
          </w:tcPr>
          <w:p w14:paraId="76B5061C"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-0,5</w:t>
            </w:r>
          </w:p>
        </w:tc>
        <w:tc>
          <w:tcPr>
            <w:tcW w:w="722" w:type="pct"/>
            <w:shd w:val="clear" w:color="auto" w:fill="FFFFFF" w:themeFill="background1"/>
            <w:noWrap/>
            <w:hideMark/>
          </w:tcPr>
          <w:p w14:paraId="19B85B0F"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-0,5</w:t>
            </w:r>
          </w:p>
        </w:tc>
        <w:tc>
          <w:tcPr>
            <w:tcW w:w="722" w:type="pct"/>
            <w:shd w:val="clear" w:color="auto" w:fill="FFFFFF" w:themeFill="background1"/>
            <w:noWrap/>
            <w:hideMark/>
          </w:tcPr>
          <w:p w14:paraId="5089FDBA"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-0,5</w:t>
            </w:r>
          </w:p>
        </w:tc>
      </w:tr>
      <w:tr w:rsidR="00BA4876" w:rsidRPr="00A37BCE" w14:paraId="108B8DAC" w14:textId="77777777" w:rsidTr="00BA4876">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387" w:type="pct"/>
            <w:shd w:val="clear" w:color="auto" w:fill="FFFFFF" w:themeFill="background1"/>
            <w:noWrap/>
            <w:hideMark/>
          </w:tcPr>
          <w:p w14:paraId="6707DF14" w14:textId="77777777" w:rsidR="00BA4876" w:rsidRPr="00A37BCE" w:rsidRDefault="00BA4876" w:rsidP="00BA4876">
            <w:pPr>
              <w:keepNext/>
              <w:widowControl w:val="0"/>
              <w:shd w:val="clear" w:color="auto" w:fill="FFFFFF" w:themeFill="background1"/>
              <w:spacing w:line="276" w:lineRule="auto"/>
              <w:jc w:val="both"/>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Разлика</w:t>
            </w:r>
          </w:p>
        </w:tc>
        <w:tc>
          <w:tcPr>
            <w:tcW w:w="723" w:type="pct"/>
            <w:shd w:val="clear" w:color="auto" w:fill="FFFFFF" w:themeFill="background1"/>
            <w:noWrap/>
            <w:hideMark/>
          </w:tcPr>
          <w:p w14:paraId="3405E1E0"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722" w:type="pct"/>
            <w:shd w:val="clear" w:color="auto" w:fill="FFFFFF" w:themeFill="background1"/>
            <w:noWrap/>
            <w:hideMark/>
          </w:tcPr>
          <w:p w14:paraId="60B71F85"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723" w:type="pct"/>
            <w:shd w:val="clear" w:color="auto" w:fill="FFFFFF" w:themeFill="background1"/>
            <w:noWrap/>
            <w:hideMark/>
          </w:tcPr>
          <w:p w14:paraId="6C4126A7"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722" w:type="pct"/>
            <w:shd w:val="clear" w:color="auto" w:fill="FFFFFF" w:themeFill="background1"/>
            <w:noWrap/>
            <w:hideMark/>
          </w:tcPr>
          <w:p w14:paraId="1A74BFBE"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722" w:type="pct"/>
            <w:shd w:val="clear" w:color="auto" w:fill="FFFFFF" w:themeFill="background1"/>
            <w:noWrap/>
            <w:hideMark/>
          </w:tcPr>
          <w:p w14:paraId="0BECA53B"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r>
      <w:tr w:rsidR="00BA4876" w:rsidRPr="00A37BCE" w14:paraId="03A1554C" w14:textId="77777777" w:rsidTr="00BA4876">
        <w:trPr>
          <w:trHeight w:val="241"/>
        </w:trPr>
        <w:tc>
          <w:tcPr>
            <w:cnfStyle w:val="001000000000" w:firstRow="0" w:lastRow="0" w:firstColumn="1" w:lastColumn="0" w:oddVBand="0" w:evenVBand="0" w:oddHBand="0" w:evenHBand="0" w:firstRowFirstColumn="0" w:firstRowLastColumn="0" w:lastRowFirstColumn="0" w:lastRowLastColumn="0"/>
            <w:tcW w:w="1387" w:type="pct"/>
            <w:shd w:val="clear" w:color="auto" w:fill="FFFFFF" w:themeFill="background1"/>
            <w:noWrap/>
            <w:hideMark/>
          </w:tcPr>
          <w:p w14:paraId="54C6ACAA" w14:textId="77777777" w:rsidR="00BA4876" w:rsidRPr="00A37BCE" w:rsidRDefault="00BA4876" w:rsidP="00BA4876">
            <w:pPr>
              <w:keepNext/>
              <w:widowControl w:val="0"/>
              <w:shd w:val="clear" w:color="auto" w:fill="FFFFFF" w:themeFill="background1"/>
              <w:spacing w:line="276" w:lineRule="auto"/>
              <w:jc w:val="both"/>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Приходи</w:t>
            </w:r>
          </w:p>
        </w:tc>
        <w:tc>
          <w:tcPr>
            <w:tcW w:w="723" w:type="pct"/>
            <w:shd w:val="clear" w:color="auto" w:fill="FFFFFF" w:themeFill="background1"/>
            <w:noWrap/>
            <w:hideMark/>
          </w:tcPr>
          <w:p w14:paraId="64DAE3E7"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bCs/>
                <w:color w:val="002060"/>
                <w:sz w:val="18"/>
                <w:szCs w:val="18"/>
                <w:lang w:val="sr-Cyrl-RS"/>
              </w:rPr>
              <w:t>0,2</w:t>
            </w:r>
          </w:p>
        </w:tc>
        <w:tc>
          <w:tcPr>
            <w:tcW w:w="722" w:type="pct"/>
            <w:shd w:val="clear" w:color="auto" w:fill="FFFFFF" w:themeFill="background1"/>
            <w:noWrap/>
            <w:hideMark/>
          </w:tcPr>
          <w:p w14:paraId="3C65EF35"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bCs/>
                <w:color w:val="002060"/>
                <w:sz w:val="18"/>
                <w:szCs w:val="18"/>
                <w:lang w:val="sr-Cyrl-RS"/>
              </w:rPr>
              <w:t>1,5</w:t>
            </w:r>
          </w:p>
        </w:tc>
        <w:tc>
          <w:tcPr>
            <w:tcW w:w="723" w:type="pct"/>
            <w:shd w:val="clear" w:color="auto" w:fill="FFFFFF" w:themeFill="background1"/>
            <w:noWrap/>
            <w:hideMark/>
          </w:tcPr>
          <w:p w14:paraId="2D969960"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bCs/>
                <w:color w:val="002060"/>
                <w:sz w:val="18"/>
                <w:szCs w:val="18"/>
                <w:lang w:val="sr-Cyrl-RS"/>
              </w:rPr>
              <w:t>0,9</w:t>
            </w:r>
          </w:p>
        </w:tc>
        <w:tc>
          <w:tcPr>
            <w:tcW w:w="722" w:type="pct"/>
            <w:shd w:val="clear" w:color="auto" w:fill="FFFFFF" w:themeFill="background1"/>
            <w:noWrap/>
            <w:hideMark/>
          </w:tcPr>
          <w:p w14:paraId="0586B88B"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bCs/>
                <w:color w:val="002060"/>
                <w:sz w:val="18"/>
                <w:szCs w:val="18"/>
                <w:lang w:val="sr-Cyrl-RS"/>
              </w:rPr>
              <w:t>1,0</w:t>
            </w:r>
          </w:p>
        </w:tc>
        <w:tc>
          <w:tcPr>
            <w:tcW w:w="722" w:type="pct"/>
            <w:shd w:val="clear" w:color="auto" w:fill="FFFFFF" w:themeFill="background1"/>
            <w:noWrap/>
            <w:hideMark/>
          </w:tcPr>
          <w:p w14:paraId="1C62569C" w14:textId="0F0B1FFE" w:rsidR="00BA4876" w:rsidRPr="00A37BCE" w:rsidRDefault="00EA4DDC"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EA4DDC">
              <w:rPr>
                <w:rFonts w:eastAsia="Times New Roman" w:cstheme="minorHAnsi"/>
                <w:bCs/>
                <w:color w:val="002060"/>
                <w:sz w:val="18"/>
                <w:szCs w:val="18"/>
                <w:lang w:val="sr-Cyrl-RS"/>
              </w:rPr>
              <w:t>–</w:t>
            </w:r>
          </w:p>
        </w:tc>
      </w:tr>
      <w:tr w:rsidR="00BA4876" w:rsidRPr="00A37BCE" w14:paraId="56614D0E" w14:textId="77777777" w:rsidTr="00BA4876">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387" w:type="pct"/>
            <w:tcBorders>
              <w:bottom w:val="nil"/>
            </w:tcBorders>
            <w:shd w:val="clear" w:color="auto" w:fill="FFFFFF" w:themeFill="background1"/>
            <w:noWrap/>
            <w:hideMark/>
          </w:tcPr>
          <w:p w14:paraId="5F52080B" w14:textId="77777777" w:rsidR="00BA4876" w:rsidRPr="00A37BCE" w:rsidRDefault="00BA4876" w:rsidP="00BA4876">
            <w:pPr>
              <w:keepNext/>
              <w:widowControl w:val="0"/>
              <w:shd w:val="clear" w:color="auto" w:fill="FFFFFF" w:themeFill="background1"/>
              <w:spacing w:line="276" w:lineRule="auto"/>
              <w:jc w:val="both"/>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Расходи</w:t>
            </w:r>
          </w:p>
        </w:tc>
        <w:tc>
          <w:tcPr>
            <w:tcW w:w="723" w:type="pct"/>
            <w:tcBorders>
              <w:bottom w:val="nil"/>
            </w:tcBorders>
            <w:shd w:val="clear" w:color="auto" w:fill="FFFFFF" w:themeFill="background1"/>
            <w:noWrap/>
            <w:hideMark/>
          </w:tcPr>
          <w:p w14:paraId="690B7A1E"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bCs/>
                <w:color w:val="002060"/>
                <w:sz w:val="18"/>
                <w:szCs w:val="18"/>
                <w:lang w:val="sr-Cyrl-RS"/>
              </w:rPr>
              <w:t>-0,2</w:t>
            </w:r>
          </w:p>
        </w:tc>
        <w:tc>
          <w:tcPr>
            <w:tcW w:w="722" w:type="pct"/>
            <w:tcBorders>
              <w:bottom w:val="nil"/>
            </w:tcBorders>
            <w:shd w:val="clear" w:color="auto" w:fill="FFFFFF" w:themeFill="background1"/>
            <w:noWrap/>
            <w:hideMark/>
          </w:tcPr>
          <w:p w14:paraId="7858AEDB"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bCs/>
                <w:color w:val="002060"/>
                <w:sz w:val="18"/>
                <w:szCs w:val="18"/>
                <w:lang w:val="sr-Cyrl-RS"/>
              </w:rPr>
              <w:t>0,3</w:t>
            </w:r>
          </w:p>
        </w:tc>
        <w:tc>
          <w:tcPr>
            <w:tcW w:w="723" w:type="pct"/>
            <w:tcBorders>
              <w:bottom w:val="nil"/>
            </w:tcBorders>
            <w:shd w:val="clear" w:color="auto" w:fill="FFFFFF" w:themeFill="background1"/>
            <w:noWrap/>
            <w:hideMark/>
          </w:tcPr>
          <w:p w14:paraId="7D38FF37"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bCs/>
                <w:color w:val="002060"/>
                <w:sz w:val="18"/>
                <w:szCs w:val="18"/>
                <w:lang w:val="sr-Cyrl-RS"/>
              </w:rPr>
              <w:t>0,9</w:t>
            </w:r>
          </w:p>
        </w:tc>
        <w:tc>
          <w:tcPr>
            <w:tcW w:w="722" w:type="pct"/>
            <w:tcBorders>
              <w:bottom w:val="nil"/>
            </w:tcBorders>
            <w:shd w:val="clear" w:color="auto" w:fill="FFFFFF" w:themeFill="background1"/>
            <w:noWrap/>
            <w:hideMark/>
          </w:tcPr>
          <w:p w14:paraId="0EA3E455" w14:textId="77777777" w:rsidR="00BA4876" w:rsidRPr="00A37BCE" w:rsidRDefault="00BA4876"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bCs/>
                <w:color w:val="002060"/>
                <w:sz w:val="18"/>
                <w:szCs w:val="18"/>
                <w:lang w:val="sr-Cyrl-RS"/>
              </w:rPr>
              <w:t>1,0</w:t>
            </w:r>
          </w:p>
        </w:tc>
        <w:tc>
          <w:tcPr>
            <w:tcW w:w="722" w:type="pct"/>
            <w:tcBorders>
              <w:bottom w:val="nil"/>
            </w:tcBorders>
            <w:shd w:val="clear" w:color="auto" w:fill="FFFFFF" w:themeFill="background1"/>
            <w:noWrap/>
            <w:hideMark/>
          </w:tcPr>
          <w:p w14:paraId="407B5464" w14:textId="5DB0425F" w:rsidR="00BA4876" w:rsidRPr="00A37BCE" w:rsidRDefault="00EA4DDC" w:rsidP="00BA4876">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EA4DDC">
              <w:rPr>
                <w:rFonts w:eastAsia="Times New Roman" w:cstheme="minorHAnsi"/>
                <w:bCs/>
                <w:color w:val="002060"/>
                <w:sz w:val="18"/>
                <w:szCs w:val="18"/>
                <w:lang w:val="sr-Cyrl-RS"/>
              </w:rPr>
              <w:t>–</w:t>
            </w:r>
          </w:p>
        </w:tc>
      </w:tr>
      <w:tr w:rsidR="00BA4876" w:rsidRPr="00A37BCE" w14:paraId="30CA5121" w14:textId="77777777" w:rsidTr="00BA4876">
        <w:trPr>
          <w:trHeight w:val="241"/>
        </w:trPr>
        <w:tc>
          <w:tcPr>
            <w:cnfStyle w:val="001000000000" w:firstRow="0" w:lastRow="0" w:firstColumn="1" w:lastColumn="0" w:oddVBand="0" w:evenVBand="0" w:oddHBand="0" w:evenHBand="0" w:firstRowFirstColumn="0" w:firstRowLastColumn="0" w:lastRowFirstColumn="0" w:lastRowLastColumn="0"/>
            <w:tcW w:w="1387" w:type="pct"/>
            <w:tcBorders>
              <w:top w:val="nil"/>
              <w:bottom w:val="single" w:sz="4" w:space="0" w:color="002060"/>
            </w:tcBorders>
            <w:shd w:val="clear" w:color="auto" w:fill="FFFFFF" w:themeFill="background1"/>
            <w:noWrap/>
            <w:hideMark/>
          </w:tcPr>
          <w:p w14:paraId="6DD5EBEC" w14:textId="77777777" w:rsidR="00BA4876" w:rsidRPr="00A37BCE" w:rsidRDefault="00BA4876" w:rsidP="00BA4876">
            <w:pPr>
              <w:keepNext/>
              <w:widowControl w:val="0"/>
              <w:shd w:val="clear" w:color="auto" w:fill="FFFFFF" w:themeFill="background1"/>
              <w:spacing w:line="276" w:lineRule="auto"/>
              <w:jc w:val="both"/>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Резултат</w:t>
            </w:r>
          </w:p>
        </w:tc>
        <w:tc>
          <w:tcPr>
            <w:tcW w:w="723" w:type="pct"/>
            <w:tcBorders>
              <w:top w:val="nil"/>
              <w:bottom w:val="single" w:sz="4" w:space="0" w:color="002060"/>
            </w:tcBorders>
            <w:shd w:val="clear" w:color="auto" w:fill="FFFFFF" w:themeFill="background1"/>
            <w:noWrap/>
            <w:hideMark/>
          </w:tcPr>
          <w:p w14:paraId="42C8B4C5"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bCs/>
                <w:color w:val="002060"/>
                <w:sz w:val="18"/>
                <w:szCs w:val="18"/>
                <w:lang w:val="sr-Cyrl-RS"/>
              </w:rPr>
              <w:t>0,4</w:t>
            </w:r>
          </w:p>
        </w:tc>
        <w:tc>
          <w:tcPr>
            <w:tcW w:w="722" w:type="pct"/>
            <w:tcBorders>
              <w:top w:val="nil"/>
              <w:bottom w:val="single" w:sz="4" w:space="0" w:color="002060"/>
            </w:tcBorders>
            <w:shd w:val="clear" w:color="auto" w:fill="FFFFFF" w:themeFill="background1"/>
            <w:noWrap/>
            <w:hideMark/>
          </w:tcPr>
          <w:p w14:paraId="28CBC31C"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bCs/>
                <w:color w:val="002060"/>
                <w:sz w:val="18"/>
                <w:szCs w:val="18"/>
                <w:lang w:val="sr-Cyrl-RS"/>
              </w:rPr>
              <w:t>1,2</w:t>
            </w:r>
          </w:p>
        </w:tc>
        <w:tc>
          <w:tcPr>
            <w:tcW w:w="723" w:type="pct"/>
            <w:tcBorders>
              <w:top w:val="nil"/>
              <w:bottom w:val="single" w:sz="4" w:space="0" w:color="002060"/>
            </w:tcBorders>
            <w:shd w:val="clear" w:color="auto" w:fill="FFFFFF" w:themeFill="background1"/>
            <w:noWrap/>
            <w:hideMark/>
          </w:tcPr>
          <w:p w14:paraId="2C08BEF9"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bCs/>
                <w:color w:val="002060"/>
                <w:sz w:val="18"/>
                <w:szCs w:val="18"/>
                <w:lang w:val="sr-Cyrl-RS"/>
              </w:rPr>
              <w:t>0,0</w:t>
            </w:r>
          </w:p>
        </w:tc>
        <w:tc>
          <w:tcPr>
            <w:tcW w:w="722" w:type="pct"/>
            <w:tcBorders>
              <w:top w:val="nil"/>
              <w:bottom w:val="single" w:sz="4" w:space="0" w:color="002060"/>
            </w:tcBorders>
            <w:shd w:val="clear" w:color="auto" w:fill="FFFFFF" w:themeFill="background1"/>
            <w:noWrap/>
            <w:hideMark/>
          </w:tcPr>
          <w:p w14:paraId="669319F7" w14:textId="77777777" w:rsidR="00BA4876" w:rsidRPr="00A37BCE" w:rsidRDefault="00BA4876"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bCs/>
                <w:color w:val="002060"/>
                <w:sz w:val="18"/>
                <w:szCs w:val="18"/>
                <w:lang w:val="sr-Cyrl-RS"/>
              </w:rPr>
              <w:t>0,0</w:t>
            </w:r>
          </w:p>
        </w:tc>
        <w:tc>
          <w:tcPr>
            <w:tcW w:w="722" w:type="pct"/>
            <w:tcBorders>
              <w:top w:val="nil"/>
              <w:bottom w:val="single" w:sz="4" w:space="0" w:color="002060"/>
            </w:tcBorders>
            <w:shd w:val="clear" w:color="auto" w:fill="FFFFFF" w:themeFill="background1"/>
            <w:noWrap/>
            <w:hideMark/>
          </w:tcPr>
          <w:p w14:paraId="34580BD2" w14:textId="40B282D2" w:rsidR="00BA4876" w:rsidRPr="00A37BCE" w:rsidRDefault="00EA4DDC" w:rsidP="00BA4876">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EA4DDC">
              <w:rPr>
                <w:rFonts w:eastAsia="Times New Roman" w:cstheme="minorHAnsi"/>
                <w:bCs/>
                <w:color w:val="002060"/>
                <w:sz w:val="18"/>
                <w:szCs w:val="18"/>
                <w:lang w:val="sr-Cyrl-RS"/>
              </w:rPr>
              <w:t>–</w:t>
            </w:r>
          </w:p>
        </w:tc>
      </w:tr>
    </w:tbl>
    <w:p w14:paraId="5C9730A9" w14:textId="77777777" w:rsidR="00BA4876" w:rsidRPr="00A37BCE" w:rsidRDefault="00BA4876" w:rsidP="00BA4876">
      <w:pPr>
        <w:spacing w:after="120" w:line="276" w:lineRule="auto"/>
        <w:jc w:val="both"/>
        <w:rPr>
          <w:rFonts w:cstheme="minorHAnsi"/>
          <w:color w:val="44546A" w:themeColor="text2"/>
          <w:sz w:val="16"/>
          <w:szCs w:val="20"/>
          <w:lang w:val="sr-Cyrl-RS"/>
        </w:rPr>
      </w:pPr>
      <w:r w:rsidRPr="00A37BCE">
        <w:rPr>
          <w:rFonts w:eastAsia="Calibri" w:cstheme="minorHAnsi"/>
          <w:bCs/>
          <w:color w:val="44546A" w:themeColor="text2"/>
          <w:sz w:val="16"/>
          <w:szCs w:val="20"/>
          <w:lang w:val="sr-Cyrl-RS" w:eastAsia="ja-JP"/>
        </w:rPr>
        <w:t xml:space="preserve">Извор: </w:t>
      </w:r>
      <w:r w:rsidRPr="00A37BCE">
        <w:rPr>
          <w:rFonts w:cstheme="minorHAnsi"/>
          <w:color w:val="44546A" w:themeColor="text2"/>
          <w:sz w:val="16"/>
          <w:szCs w:val="20"/>
          <w:lang w:val="sr-Cyrl-RS"/>
        </w:rPr>
        <w:t>Министарство финансија</w:t>
      </w:r>
    </w:p>
    <w:p w14:paraId="2F329CC9" w14:textId="77777777" w:rsidR="00BA4876" w:rsidRPr="00A37BCE" w:rsidRDefault="00BA4876" w:rsidP="00BA4876">
      <w:pPr>
        <w:spacing w:line="276" w:lineRule="auto"/>
        <w:ind w:firstLine="720"/>
        <w:jc w:val="both"/>
        <w:rPr>
          <w:rFonts w:cstheme="minorHAnsi"/>
          <w:bCs/>
          <w:color w:val="44546A" w:themeColor="text2"/>
          <w:sz w:val="20"/>
          <w:szCs w:val="20"/>
          <w:lang w:val="sr-Cyrl-RS"/>
        </w:rPr>
        <w:sectPr w:rsidR="00BA4876" w:rsidRPr="00A37BCE" w:rsidSect="00BA4876">
          <w:type w:val="continuous"/>
          <w:pgSz w:w="12240" w:h="15840"/>
          <w:pgMar w:top="1440" w:right="1440" w:bottom="1440" w:left="1440" w:header="720" w:footer="720" w:gutter="0"/>
          <w:cols w:space="720"/>
          <w:docGrid w:linePitch="360"/>
        </w:sectPr>
      </w:pPr>
    </w:p>
    <w:p w14:paraId="43B5993F" w14:textId="77777777" w:rsidR="00BA4876" w:rsidRPr="00A37BCE" w:rsidRDefault="00BA4876" w:rsidP="00BA4876">
      <w:pPr>
        <w:spacing w:line="276" w:lineRule="auto"/>
        <w:jc w:val="both"/>
        <w:rPr>
          <w:rFonts w:cstheme="minorHAnsi"/>
          <w:bCs/>
          <w:color w:val="44546A" w:themeColor="text2"/>
          <w:sz w:val="20"/>
          <w:szCs w:val="20"/>
          <w:lang w:val="sr-Cyrl-RS"/>
        </w:rPr>
      </w:pPr>
      <w:r w:rsidRPr="00A37BCE">
        <w:rPr>
          <w:rFonts w:cstheme="minorHAnsi"/>
          <w:bCs/>
          <w:color w:val="44546A" w:themeColor="text2"/>
          <w:sz w:val="20"/>
          <w:szCs w:val="20"/>
          <w:lang w:val="sr-Cyrl-RS"/>
        </w:rPr>
        <w:lastRenderedPageBreak/>
        <w:t>Привредни раст у 2018. години биће значајно изнад оног који је очекиван Фискалном стратегијом за 2018. годину са пројекцијама за 2019. и 2020. годину. Убрзана привредна активност одразила се на приходној страни буџета, пре свега као резултат раста запослености и веће потрошње. Поред тога, подизању нивоа наплаћених прихода допринос дају и повећана профитабилности привреде али и наставак активности на сузбијању сиве економије. Како је дошло до структурног (трајног) повећања јавних прихода, пројекција за наредни трогодишњи период је подигнута.</w:t>
      </w:r>
    </w:p>
    <w:p w14:paraId="28C4D1A4" w14:textId="77777777" w:rsidR="00BA4876" w:rsidRPr="00A37BCE" w:rsidRDefault="00BA4876" w:rsidP="00BA4876">
      <w:pPr>
        <w:spacing w:line="276" w:lineRule="auto"/>
        <w:jc w:val="both"/>
        <w:rPr>
          <w:rFonts w:cstheme="minorHAnsi"/>
          <w:bCs/>
          <w:color w:val="44546A" w:themeColor="text2"/>
          <w:sz w:val="20"/>
          <w:szCs w:val="20"/>
          <w:lang w:val="sr-Cyrl-RS"/>
        </w:rPr>
      </w:pPr>
      <w:r w:rsidRPr="00A37BCE">
        <w:rPr>
          <w:rFonts w:cstheme="minorHAnsi"/>
          <w:bCs/>
          <w:color w:val="44546A" w:themeColor="text2"/>
          <w:sz w:val="20"/>
          <w:szCs w:val="20"/>
          <w:lang w:val="sr-Cyrl-RS"/>
        </w:rPr>
        <w:lastRenderedPageBreak/>
        <w:t>На расходној страни у 2018. години извршење расхода ће бити нешто веће од планираног и то углавном као последица снажног раста капиталних инвестиција. У наредном периоду очекује се наставак успостављене динамике реализације јавних пројеката, те ће фискални простор настао бољом наплатом пореских прихода у највећој мери бити искоришћен за додатно повећање капиталних улагања.</w:t>
      </w:r>
    </w:p>
    <w:p w14:paraId="21AB4C8F" w14:textId="77777777" w:rsidR="00BA4876" w:rsidRPr="00A37BCE" w:rsidRDefault="00BA4876" w:rsidP="00BA4876">
      <w:pPr>
        <w:spacing w:line="276" w:lineRule="auto"/>
        <w:jc w:val="both"/>
        <w:rPr>
          <w:rFonts w:cstheme="minorHAnsi"/>
          <w:bCs/>
          <w:color w:val="44546A" w:themeColor="text2"/>
          <w:sz w:val="20"/>
          <w:szCs w:val="20"/>
          <w:lang w:val="sr-Cyrl-RS"/>
        </w:rPr>
        <w:sectPr w:rsidR="00BA4876" w:rsidRPr="00A37BCE" w:rsidSect="00BA4876">
          <w:type w:val="continuous"/>
          <w:pgSz w:w="12240" w:h="15840"/>
          <w:pgMar w:top="1440" w:right="1440" w:bottom="1440" w:left="1440" w:header="720" w:footer="720" w:gutter="0"/>
          <w:cols w:num="2" w:space="720"/>
          <w:docGrid w:linePitch="360"/>
        </w:sectPr>
      </w:pPr>
      <w:r w:rsidRPr="00A37BCE">
        <w:rPr>
          <w:rFonts w:cstheme="minorHAnsi"/>
          <w:bCs/>
          <w:color w:val="44546A" w:themeColor="text2"/>
          <w:sz w:val="20"/>
          <w:szCs w:val="20"/>
          <w:lang w:val="sr-Cyrl-RS"/>
        </w:rPr>
        <w:t>Динамика привредног раста која је очекивана претходном Фискалном стратегијом задржана је у овом средњорочном оквиру.</w:t>
      </w:r>
    </w:p>
    <w:p w14:paraId="2312041D" w14:textId="77777777" w:rsidR="00BA4876" w:rsidRPr="00A236FE" w:rsidRDefault="00BA4876" w:rsidP="00A236FE">
      <w:pPr>
        <w:pStyle w:val="Heading2"/>
        <w:jc w:val="center"/>
        <w:rPr>
          <w:rFonts w:asciiTheme="minorHAnsi" w:eastAsia="Calibri" w:hAnsiTheme="minorHAnsi" w:cstheme="minorHAnsi"/>
          <w:b/>
          <w:color w:val="44546A" w:themeColor="text2"/>
          <w:sz w:val="24"/>
          <w:lang w:val="sr-Cyrl-RS"/>
        </w:rPr>
        <w:sectPr w:rsidR="00BA4876" w:rsidRPr="00A236FE" w:rsidSect="00BA4876">
          <w:type w:val="continuous"/>
          <w:pgSz w:w="12240" w:h="15840"/>
          <w:pgMar w:top="1440" w:right="1440" w:bottom="1440" w:left="1440" w:header="720" w:footer="720" w:gutter="0"/>
          <w:cols w:space="720"/>
          <w:docGrid w:linePitch="360"/>
        </w:sectPr>
      </w:pPr>
      <w:bookmarkStart w:id="14" w:name="_Toc530042001"/>
      <w:r w:rsidRPr="00A236FE">
        <w:rPr>
          <w:rFonts w:asciiTheme="minorHAnsi" w:eastAsia="Calibri" w:hAnsiTheme="minorHAnsi" w:cstheme="minorHAnsi"/>
          <w:b/>
          <w:sz w:val="24"/>
          <w:lang w:val="sr-Cyrl-RS"/>
        </w:rPr>
        <w:lastRenderedPageBreak/>
        <w:t>5. Фискални ризици</w:t>
      </w:r>
      <w:bookmarkEnd w:id="14"/>
    </w:p>
    <w:p w14:paraId="0534A22F" w14:textId="7C93CE4D"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lastRenderedPageBreak/>
        <w:t>У</w:t>
      </w:r>
      <w:r w:rsidRPr="00A37BCE">
        <w:rPr>
          <w:rFonts w:eastAsia="MS PGothic" w:cstheme="minorHAnsi"/>
          <w:b/>
          <w:color w:val="2F5496" w:themeColor="accent1" w:themeShade="BF"/>
          <w:sz w:val="20"/>
          <w:lang w:val="sr-Cyrl-RS" w:eastAsia="ja-JP"/>
        </w:rPr>
        <w:t xml:space="preserve"> </w:t>
      </w:r>
      <w:r w:rsidRPr="00A37BCE">
        <w:rPr>
          <w:rFonts w:eastAsia="Calibri" w:cstheme="minorHAnsi"/>
          <w:color w:val="44546A" w:themeColor="text2"/>
          <w:sz w:val="20"/>
          <w:szCs w:val="20"/>
          <w:lang w:val="sr-Cyrl-RS" w:eastAsia="ja-JP"/>
        </w:rPr>
        <w:t xml:space="preserve">претходној деценији Република Србија суочила се са реализацијом бројних ризика који су озбиљно угрозили њену фискалну позицију. Финансијска криза и рецесија погоршале су стање јавних финансија, узрокујући високе дефиците и убрзан раст јавног дуга. Глобална финансијска криза, као спољни фактор, активирала је и унутрашње ризике, те су отплате по основу гарантованих кредита, извршења судских одлука, решавања питања државних финансијских институција и преузимање обавеза јавних предузећа у јавни дуг, додатно погоршали фискалну позицију. Република Србија се у 2014. години суочила и са катастрофалним последицама </w:t>
      </w:r>
      <w:r w:rsidRPr="00A37BCE">
        <w:rPr>
          <w:rFonts w:eastAsia="Calibri" w:cstheme="minorHAnsi"/>
          <w:color w:val="44546A" w:themeColor="text2"/>
          <w:sz w:val="20"/>
          <w:szCs w:val="20"/>
          <w:lang w:val="sr-Cyrl-RS" w:eastAsia="ja-JP"/>
        </w:rPr>
        <w:lastRenderedPageBreak/>
        <w:t>поплава. Укупна штета (са губицима) процењена је на више од 1,7 млрд евра</w:t>
      </w:r>
      <w:r w:rsidRPr="002E1612">
        <w:rPr>
          <w:rFonts w:eastAsia="Calibri" w:cstheme="minorHAnsi"/>
          <w:color w:val="44546A" w:themeColor="text2"/>
          <w:sz w:val="20"/>
          <w:szCs w:val="20"/>
          <w:vertAlign w:val="superscript"/>
          <w:lang w:val="sr-Cyrl-RS" w:eastAsia="ja-JP"/>
        </w:rPr>
        <w:footnoteReference w:id="9"/>
      </w:r>
      <w:r w:rsidR="002E1612">
        <w:rPr>
          <w:rFonts w:eastAsia="Calibri" w:cstheme="minorHAnsi"/>
          <w:color w:val="44546A" w:themeColor="text2"/>
          <w:sz w:val="20"/>
          <w:szCs w:val="20"/>
          <w:lang w:val="sr-Cyrl-RS" w:eastAsia="ja-JP"/>
        </w:rPr>
        <w:t>.</w:t>
      </w:r>
    </w:p>
    <w:p w14:paraId="4F3E89CA" w14:textId="150FAC88"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Као средњорочни циљ фискалне политике Влада је дефинисала низак и одржив дефицит од 0,5%</w:t>
      </w:r>
      <w:r w:rsidR="00F9683A" w:rsidRPr="00A37BCE">
        <w:rPr>
          <w:rFonts w:eastAsia="Calibri" w:cstheme="minorHAnsi"/>
          <w:color w:val="44546A" w:themeColor="text2"/>
          <w:sz w:val="20"/>
          <w:szCs w:val="20"/>
          <w:lang w:val="sr-Cyrl-RS" w:eastAsia="ja-JP"/>
        </w:rPr>
        <w:t xml:space="preserve"> </w:t>
      </w:r>
      <w:r w:rsidRPr="00A37BCE">
        <w:rPr>
          <w:rFonts w:eastAsia="Calibri" w:cstheme="minorHAnsi"/>
          <w:color w:val="44546A" w:themeColor="text2"/>
          <w:sz w:val="20"/>
          <w:szCs w:val="20"/>
          <w:lang w:val="sr-Cyrl-RS" w:eastAsia="ja-JP"/>
        </w:rPr>
        <w:t>БДП, који обезбеђује даље смањење јавног дуга. Како је у претходном трогодишњем периоду успешно спроведен програм фискалне консолидације, обезбеђена стабилност јавних финансија и смањено учешће јавног дуга, као циљ фискалне политике у наредном периоду дефинисано је одржање фискалне стабилности</w:t>
      </w:r>
      <w:r w:rsidRPr="00A37BCE">
        <w:rPr>
          <w:rFonts w:eastAsia="MS PGothic" w:cstheme="minorHAnsi"/>
          <w:color w:val="44546A" w:themeColor="text2"/>
          <w:sz w:val="20"/>
          <w:lang w:val="sr-Cyrl-RS" w:eastAsia="ja-JP"/>
        </w:rPr>
        <w:t xml:space="preserve">, уз спровођење мера које би пружиле подршку привредном расту. Посебна пажња мора се </w:t>
      </w:r>
      <w:r w:rsidRPr="00A37BCE">
        <w:rPr>
          <w:rFonts w:eastAsia="MS PGothic" w:cstheme="minorHAnsi"/>
          <w:color w:val="44546A" w:themeColor="text2"/>
          <w:sz w:val="20"/>
          <w:lang w:val="sr-Cyrl-RS" w:eastAsia="ja-JP"/>
        </w:rPr>
        <w:lastRenderedPageBreak/>
        <w:t xml:space="preserve">посветити управљању фискалним ризицима чија реализација може угрозити остварење постављеног средњорочног циља фискалне </w:t>
      </w:r>
      <w:r w:rsidRPr="00A37BCE">
        <w:rPr>
          <w:rFonts w:eastAsia="Calibri" w:cstheme="minorHAnsi"/>
          <w:color w:val="44546A" w:themeColor="text2"/>
          <w:sz w:val="20"/>
          <w:szCs w:val="20"/>
          <w:lang w:val="sr-Cyrl-RS" w:eastAsia="ja-JP"/>
        </w:rPr>
        <w:t>политике.</w:t>
      </w:r>
    </w:p>
    <w:p w14:paraId="2D38E460" w14:textId="77777777"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Фискални ризици представљају изложеност јавних финансија одређеним околностима које могу проузроковати одступања од пројектованог фискалног оквира. До одступања може доћи у приходима, расходима, фискалном резултату, као и у имовини и обавезама државе, у односу на оно што је планирано и очекивано. На спољашње ризике, попут природних катастрофа или глобалних финансијских криза, Влада не може да утиче, али могуће је дефинисати излазне стратегије које би ублажиле њихово дејство (очување стабилности у добрим временима како би у условима рецесије или кризе фискална политика имала простора за адекватан одговор, осигурање у случају природних катастрофа и сл.). Унутрашњи ризици, односно њихова материјализација последица су активности у јавном сектору, те се на вероватноћу њихове реализације може утицати одлукама и политикама Владе.</w:t>
      </w:r>
    </w:p>
    <w:p w14:paraId="7A9DF01E" w14:textId="094F3BDE"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 xml:space="preserve">Идентификација највећих фискалних ризика који могу утицати на државне финансије у средњем року полазна је тачка у бољем управљању фискалним ризицима. О одређеним фискалним ризицима постоје детаљни подаци и лако се може идентификовати да ли ће и са коликом вероватноћом утицати на фискалне агрегате у средњем року. За друге, пак, не постоје довољно детаљни подаци, али и само њихово идентификовање подиже свест о могућности да у наредном периоду доведу до одступања </w:t>
      </w:r>
      <w:r w:rsidR="00966211">
        <w:rPr>
          <w:rFonts w:eastAsia="Calibri" w:cstheme="minorHAnsi"/>
          <w:color w:val="44546A" w:themeColor="text2"/>
          <w:sz w:val="20"/>
          <w:szCs w:val="20"/>
          <w:lang w:val="sr-Cyrl-RS" w:eastAsia="ja-JP"/>
        </w:rPr>
        <w:t>од планираног фискалног оквира.</w:t>
      </w:r>
    </w:p>
    <w:p w14:paraId="1811A669" w14:textId="77777777"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 xml:space="preserve">Министарство финансија има водећу улогу у управљању фискалним ризицима. Као кључна институција за средњорочно макроекономско и фискално планирање, формулацију и управљање буџетом, Министарство финансија мора имати и водећу улогу у успостављању институционалне и законске структуре, те изградњи капацитета неопходних за управљање фискалним ризицима. Основана је организациона јединица за </w:t>
      </w:r>
      <w:r w:rsidRPr="00A37BCE">
        <w:rPr>
          <w:rFonts w:eastAsia="Calibri" w:cstheme="minorHAnsi"/>
          <w:color w:val="44546A" w:themeColor="text2"/>
          <w:sz w:val="20"/>
          <w:szCs w:val="20"/>
          <w:lang w:val="sr-Cyrl-RS" w:eastAsia="ja-JP"/>
        </w:rPr>
        <w:lastRenderedPageBreak/>
        <w:t>управљање фискалним ризицима у Министарству финансија која ће радити на јачању законске регулативе и методолошког оквира, изградњи капацитета, те развијању техничких алата и модела неопходних за праћење и процену фискалних ризика. Коначно, резултат ових активности биће идентификација и процена ризика и предлагање излазних стратегија, као помоћ Влади у очувању стабилности јавних финансија што је кључни циљ фискалне политике и један од основних предуслова за динамичнији привредни раст.</w:t>
      </w:r>
    </w:p>
    <w:p w14:paraId="7829D931" w14:textId="77777777" w:rsidR="00BA4876" w:rsidRPr="00A37BCE" w:rsidRDefault="00BA4876" w:rsidP="00BA4876">
      <w:pPr>
        <w:spacing w:after="120" w:line="276" w:lineRule="auto"/>
        <w:jc w:val="center"/>
        <w:rPr>
          <w:rFonts w:cstheme="minorHAnsi"/>
          <w:b/>
          <w:bCs/>
          <w:color w:val="2F5496" w:themeColor="accent1" w:themeShade="BF"/>
          <w:szCs w:val="20"/>
          <w:lang w:val="sr-Cyrl-RS"/>
        </w:rPr>
      </w:pPr>
      <w:r w:rsidRPr="00A37BCE">
        <w:rPr>
          <w:rFonts w:cstheme="minorHAnsi"/>
          <w:b/>
          <w:bCs/>
          <w:color w:val="2F5496" w:themeColor="accent1" w:themeShade="BF"/>
          <w:szCs w:val="20"/>
          <w:lang w:val="sr-Cyrl-RS"/>
        </w:rPr>
        <w:t>Макроекономске претпоставке и осетљивост фискалних агрегата</w:t>
      </w:r>
    </w:p>
    <w:p w14:paraId="787E1ED7" w14:textId="6B9A586E"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Одступања макроекономских претпоставки од основног сценарија могу довести до одступања фискалних а</w:t>
      </w:r>
      <w:r w:rsidR="00A70F3C">
        <w:rPr>
          <w:rFonts w:eastAsia="Calibri" w:cstheme="minorHAnsi"/>
          <w:color w:val="44546A" w:themeColor="text2"/>
          <w:sz w:val="20"/>
          <w:szCs w:val="20"/>
          <w:lang w:val="sr-Cyrl-RS" w:eastAsia="ja-JP"/>
        </w:rPr>
        <w:t>грегата од пројектованог нивоа.</w:t>
      </w:r>
    </w:p>
    <w:p w14:paraId="197209A1" w14:textId="20022FC9"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 xml:space="preserve">Негативни сценарио који у наредном периоду подразумева пад привредне активности или мањи раст, довео би до значајног смањења прилива капитала и смањења спољнотрговинске размене. У том случају дошло би до мањих прихода, и последично већег дефицита, уколико се не би ишло на додатно прилагођавање на расходној страни. У складу са оценама осетљивости фискалног баланса, свака промена реалног раста за 1 </w:t>
      </w:r>
      <w:r w:rsidR="004B175D">
        <w:rPr>
          <w:rFonts w:eastAsia="Calibri" w:cstheme="minorHAnsi"/>
          <w:color w:val="44546A" w:themeColor="text2"/>
          <w:sz w:val="20"/>
          <w:szCs w:val="20"/>
          <w:lang w:val="sr-Cyrl-RS" w:eastAsia="ja-JP"/>
        </w:rPr>
        <w:t>п. п.</w:t>
      </w:r>
      <w:r w:rsidRPr="00A37BCE">
        <w:rPr>
          <w:rFonts w:eastAsia="Calibri" w:cstheme="minorHAnsi"/>
          <w:color w:val="44546A" w:themeColor="text2"/>
          <w:sz w:val="20"/>
          <w:szCs w:val="20"/>
          <w:lang w:val="sr-Cyrl-RS" w:eastAsia="ja-JP"/>
        </w:rPr>
        <w:t xml:space="preserve"> БДП доводи до промене фискалног резултата од око 0,36% БДП. У случају да се у наредном трогодишњем периоду остваре ниже стопе реалног раста БДП (по 1 </w:t>
      </w:r>
      <w:r w:rsidR="004B175D">
        <w:rPr>
          <w:rFonts w:eastAsia="Calibri" w:cstheme="minorHAnsi"/>
          <w:color w:val="44546A" w:themeColor="text2"/>
          <w:sz w:val="20"/>
          <w:szCs w:val="20"/>
          <w:lang w:val="sr-Cyrl-RS" w:eastAsia="ja-JP"/>
        </w:rPr>
        <w:t>п. п.</w:t>
      </w:r>
      <w:r w:rsidRPr="00A37BCE">
        <w:rPr>
          <w:rFonts w:eastAsia="Calibri" w:cstheme="minorHAnsi"/>
          <w:color w:val="44546A" w:themeColor="text2"/>
          <w:sz w:val="20"/>
          <w:szCs w:val="20"/>
          <w:lang w:val="sr-Cyrl-RS" w:eastAsia="ja-JP"/>
        </w:rPr>
        <w:t xml:space="preserve"> мање просечно годишње) од планираних, кумулативно повећање фискалног дефицита би</w:t>
      </w:r>
      <w:r w:rsidR="00966211">
        <w:rPr>
          <w:rFonts w:eastAsia="Calibri" w:cstheme="minorHAnsi"/>
          <w:color w:val="44546A" w:themeColor="text2"/>
          <w:sz w:val="20"/>
          <w:szCs w:val="20"/>
          <w:lang w:val="sr-Cyrl-RS" w:eastAsia="ja-JP"/>
        </w:rPr>
        <w:t xml:space="preserve"> износило преко 50 млрд динара.</w:t>
      </w:r>
    </w:p>
    <w:p w14:paraId="46E83224" w14:textId="155AAC29"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Инфлација је основна детерминанта опште макроекономске стабилности. Услед модификације фискалних правила о индексацији плата и пензија, у наредном периоду инфлација ће у мањој мери опредељивати кретање укупног нивоа расхода, него што је то био случај</w:t>
      </w:r>
      <w:r w:rsidRPr="00A37BCE">
        <w:rPr>
          <w:rFonts w:eastAsia="Calibri" w:cstheme="minorHAnsi"/>
          <w:color w:val="44546A" w:themeColor="text2"/>
          <w:sz w:val="20"/>
          <w:lang w:val="sr-Cyrl-RS" w:eastAsia="ja-JP"/>
        </w:rPr>
        <w:t xml:space="preserve"> у ранијем периоду. Што се тиче приходне стране утицај инфлације на индиректне порезе може бити краткорочно повољан, али услед неминовног </w:t>
      </w:r>
      <w:r w:rsidRPr="00A37BCE">
        <w:rPr>
          <w:rFonts w:eastAsia="Calibri" w:cstheme="minorHAnsi"/>
          <w:color w:val="44546A" w:themeColor="text2"/>
          <w:sz w:val="20"/>
          <w:szCs w:val="20"/>
          <w:lang w:val="sr-Cyrl-RS" w:eastAsia="ja-JP"/>
        </w:rPr>
        <w:t xml:space="preserve">прилагођавања реалног нивоа потрошње тај ефекат се губи уколико је ниво дохотка ограничен. </w:t>
      </w:r>
      <w:r w:rsidRPr="00A37BCE">
        <w:rPr>
          <w:rFonts w:eastAsia="Calibri" w:cstheme="minorHAnsi"/>
          <w:color w:val="44546A" w:themeColor="text2"/>
          <w:sz w:val="20"/>
          <w:szCs w:val="20"/>
          <w:lang w:val="sr-Cyrl-RS" w:eastAsia="ja-JP"/>
        </w:rPr>
        <w:lastRenderedPageBreak/>
        <w:t xml:space="preserve">Сличан краткорочни ефекат има и девизни курс. Поједине приходне ставке се усклађују годишње са инфлацијом (углавном непорески приходи и висина појединих акцизних стопа), па са те стране постоји одређени ризик, али услед ниских пројектованих вредности инфлације он није висок. Инфлација са друге стране може индиректно да утиче на висину дефицита и јавног дуга. У случају да се креће значајно изнад таргетираних вредности, током процеса усклађивања релевантних каматних стопа, може доћи до повећања каматних стопа на јавни дуг. Са друге стране индекс потрошачких цена великим делом утиче на кретање укупног дефлатора БДП, самим тим и на висину номиналног БДП, као имениоца учешћа дефицита и јавног </w:t>
      </w:r>
      <w:r w:rsidR="00D82D2A">
        <w:rPr>
          <w:rFonts w:eastAsia="Calibri" w:cstheme="minorHAnsi"/>
          <w:color w:val="44546A" w:themeColor="text2"/>
          <w:sz w:val="20"/>
          <w:szCs w:val="20"/>
          <w:lang w:val="sr-Cyrl-RS" w:eastAsia="ja-JP"/>
        </w:rPr>
        <w:t>дуга у бруто домаћем производу.</w:t>
      </w:r>
    </w:p>
    <w:p w14:paraId="54D861F3" w14:textId="77777777"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На издатке за камате, осим висине и структуре јавног дуга утичу и фактори као што су девизни курс и каматне стопе на међународном и домаћем тржишту. С обзиром на непредвидивост кретања појединих варијабли, могуће је повећање потребних средстава за камате у наредном периоду. Каматна политика коју воде одређене међународне институције (ФЕД, ЕЦБ итд.) може утицати на општи ниво каматних стопа на међународном тржишту, што за Републику Србију као малу отворену економију представља додатни фискални ризик.</w:t>
      </w:r>
    </w:p>
    <w:p w14:paraId="0C327D13" w14:textId="77777777" w:rsidR="00BA4876" w:rsidRPr="00A70F3C" w:rsidRDefault="00BA4876" w:rsidP="00BA4876">
      <w:pPr>
        <w:spacing w:after="120" w:line="276" w:lineRule="auto"/>
        <w:jc w:val="center"/>
        <w:rPr>
          <w:rFonts w:cstheme="minorHAnsi"/>
          <w:b/>
          <w:bCs/>
          <w:color w:val="2F5496" w:themeColor="accent1" w:themeShade="BF"/>
          <w:szCs w:val="20"/>
          <w:lang w:val="sr-Cyrl-RS"/>
        </w:rPr>
      </w:pPr>
      <w:r w:rsidRPr="00A37BCE">
        <w:rPr>
          <w:rFonts w:cstheme="minorHAnsi"/>
          <w:b/>
          <w:bCs/>
          <w:color w:val="2F5496" w:themeColor="accent1" w:themeShade="BF"/>
          <w:szCs w:val="20"/>
          <w:lang w:val="sr-Cyrl-RS"/>
        </w:rPr>
        <w:t>Државне гаранције</w:t>
      </w:r>
    </w:p>
    <w:p w14:paraId="07F4F48F" w14:textId="26D542A6"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 xml:space="preserve">Гаранције издате од стране државе утичу на висину јавног дуга, али и на висину дефицита, уколико отплату по кредиту уместо првобитног дужника преузме држава. Издате гаранције су </w:t>
      </w:r>
      <w:r w:rsidRPr="00A37BCE">
        <w:rPr>
          <w:rFonts w:eastAsia="Calibri" w:cstheme="minorHAnsi"/>
          <w:color w:val="44546A" w:themeColor="text2"/>
          <w:sz w:val="20"/>
          <w:szCs w:val="20"/>
          <w:lang w:val="sr-Cyrl-RS" w:eastAsia="ja-JP"/>
        </w:rPr>
        <w:lastRenderedPageBreak/>
        <w:t>према дефиницији одређеној Законом о јавном дугу</w:t>
      </w:r>
      <w:r w:rsidRPr="000B282B">
        <w:rPr>
          <w:rFonts w:eastAsia="Calibri" w:cstheme="minorHAnsi"/>
          <w:color w:val="44546A" w:themeColor="text2"/>
          <w:sz w:val="20"/>
          <w:szCs w:val="20"/>
          <w:vertAlign w:val="superscript"/>
          <w:lang w:val="sr-Cyrl-RS" w:eastAsia="ja-JP"/>
        </w:rPr>
        <w:footnoteReference w:id="10"/>
      </w:r>
      <w:r w:rsidRPr="00A37BCE">
        <w:rPr>
          <w:rFonts w:eastAsia="Calibri" w:cstheme="minorHAnsi"/>
          <w:color w:val="44546A" w:themeColor="text2"/>
          <w:sz w:val="20"/>
          <w:szCs w:val="20"/>
          <w:lang w:val="sr-Cyrl-RS" w:eastAsia="ja-JP"/>
        </w:rPr>
        <w:t xml:space="preserve"> део индиректних обавеза и у укупном износу се укључују у јавни дуг</w:t>
      </w:r>
      <w:r w:rsidRPr="000B282B">
        <w:rPr>
          <w:rFonts w:eastAsia="Calibri" w:cstheme="minorHAnsi"/>
          <w:color w:val="44546A" w:themeColor="text2"/>
          <w:sz w:val="20"/>
          <w:szCs w:val="20"/>
          <w:vertAlign w:val="superscript"/>
          <w:lang w:val="sr-Cyrl-RS" w:eastAsia="ja-JP"/>
        </w:rPr>
        <w:footnoteReference w:id="11"/>
      </w:r>
      <w:r w:rsidRPr="00A37BCE">
        <w:rPr>
          <w:rFonts w:eastAsia="Calibri" w:cstheme="minorHAnsi"/>
          <w:color w:val="44546A" w:themeColor="text2"/>
          <w:sz w:val="20"/>
          <w:szCs w:val="20"/>
          <w:lang w:val="sr-Cyrl-RS" w:eastAsia="ja-JP"/>
        </w:rPr>
        <w:t xml:space="preserve">. Ограничења постављена на издавање нових гаранција дала су резултате те се учешће индиректних обавеза у укупном јавном дугу смањује. Индиректне обавезе (издате гаранције од стране Републике Србије) су учествовале са 7,6% у укупном јавном дугу, према националној методологији, на крају 2017. године. Учешће ових обавеза у јавном дугу опада и у </w:t>
      </w:r>
      <w:r w:rsidR="0047251C" w:rsidRPr="00A37BCE">
        <w:rPr>
          <w:rFonts w:eastAsia="Calibri" w:cstheme="minorHAnsi"/>
          <w:color w:val="44546A" w:themeColor="text2"/>
          <w:sz w:val="20"/>
          <w:szCs w:val="20"/>
          <w:lang w:val="sr-Cyrl-RS" w:eastAsia="ja-JP"/>
        </w:rPr>
        <w:t>текућој</w:t>
      </w:r>
      <w:r w:rsidRPr="00A37BCE">
        <w:rPr>
          <w:rFonts w:eastAsia="Calibri" w:cstheme="minorHAnsi"/>
          <w:color w:val="44546A" w:themeColor="text2"/>
          <w:sz w:val="20"/>
          <w:szCs w:val="20"/>
          <w:lang w:val="sr-Cyrl-RS" w:eastAsia="ja-JP"/>
        </w:rPr>
        <w:t xml:space="preserve"> години, те на крају септембра 2018. године оне чине 6,5% укупног јавног дуга. Највеће учешће ових обавеза у јавном дугу, нешто изнад 14% у просеку забележено је између 2009. и 2013. године.</w:t>
      </w:r>
    </w:p>
    <w:p w14:paraId="5B56BD55" w14:textId="77777777" w:rsidR="00BA4876" w:rsidRPr="00A37BCE" w:rsidRDefault="00BA4876" w:rsidP="00BA4876">
      <w:pPr>
        <w:spacing w:after="120" w:line="276" w:lineRule="auto"/>
        <w:jc w:val="center"/>
        <w:rPr>
          <w:rFonts w:cstheme="minorHAnsi"/>
          <w:b/>
          <w:color w:val="2F5496" w:themeColor="accent1" w:themeShade="BF"/>
          <w:sz w:val="20"/>
          <w:lang w:val="sr-Cyrl-RS"/>
        </w:rPr>
      </w:pPr>
      <w:r w:rsidRPr="00A37BCE">
        <w:rPr>
          <w:rFonts w:cstheme="minorHAnsi"/>
          <w:b/>
          <w:color w:val="2F5496" w:themeColor="accent1" w:themeShade="BF"/>
          <w:sz w:val="20"/>
          <w:lang w:val="sr-Cyrl-RS"/>
        </w:rPr>
        <w:t>Учешће индиректног дуга у укупном јавном дугу Републике Србије, у %</w:t>
      </w:r>
      <w:r w:rsidRPr="00A37BCE">
        <w:rPr>
          <w:rFonts w:cstheme="minorHAnsi"/>
          <w:b/>
          <w:noProof/>
          <w:color w:val="2F5496" w:themeColor="accent1" w:themeShade="BF"/>
          <w:sz w:val="20"/>
        </w:rPr>
        <w:drawing>
          <wp:inline distT="0" distB="0" distL="0" distR="0" wp14:anchorId="108A1561" wp14:editId="1C62D686">
            <wp:extent cx="2743200" cy="1651635"/>
            <wp:effectExtent l="0" t="0" r="0" b="571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ndirektni dug.PNG"/>
                    <pic:cNvPicPr/>
                  </pic:nvPicPr>
                  <pic:blipFill>
                    <a:blip r:embed="rId67">
                      <a:extLst>
                        <a:ext uri="{28A0092B-C50C-407E-A947-70E740481C1C}">
                          <a14:useLocalDpi xmlns:a14="http://schemas.microsoft.com/office/drawing/2010/main" val="0"/>
                        </a:ext>
                      </a:extLst>
                    </a:blip>
                    <a:stretch>
                      <a:fillRect/>
                    </a:stretch>
                  </pic:blipFill>
                  <pic:spPr>
                    <a:xfrm>
                      <a:off x="0" y="0"/>
                      <a:ext cx="2743200" cy="1651635"/>
                    </a:xfrm>
                    <a:prstGeom prst="rect">
                      <a:avLst/>
                    </a:prstGeom>
                  </pic:spPr>
                </pic:pic>
              </a:graphicData>
            </a:graphic>
          </wp:inline>
        </w:drawing>
      </w:r>
    </w:p>
    <w:p w14:paraId="29AA463D" w14:textId="77777777" w:rsidR="00BA4876" w:rsidRPr="00A37BCE" w:rsidRDefault="00BA4876" w:rsidP="00BA4876">
      <w:pPr>
        <w:spacing w:after="120" w:line="276" w:lineRule="auto"/>
        <w:jc w:val="both"/>
        <w:rPr>
          <w:rFonts w:eastAsia="Calibri" w:cstheme="minorHAnsi"/>
          <w:color w:val="44546A" w:themeColor="text2"/>
          <w:sz w:val="20"/>
          <w:szCs w:val="20"/>
          <w:lang w:val="sr-Cyrl-RS" w:eastAsia="ja-JP"/>
        </w:rPr>
        <w:sectPr w:rsidR="00BA4876" w:rsidRPr="00A37BCE" w:rsidSect="00BA4876">
          <w:type w:val="continuous"/>
          <w:pgSz w:w="12240" w:h="15840"/>
          <w:pgMar w:top="1440" w:right="1440" w:bottom="1440" w:left="1440" w:header="720" w:footer="720" w:gutter="0"/>
          <w:cols w:num="2" w:space="720"/>
          <w:docGrid w:linePitch="360"/>
          <w15:footnoteColumns w:val="1"/>
        </w:sectPr>
      </w:pPr>
      <w:r w:rsidRPr="00A37BCE">
        <w:rPr>
          <w:rFonts w:eastAsia="Calibri" w:cstheme="minorHAnsi"/>
          <w:color w:val="44546A" w:themeColor="text2"/>
          <w:sz w:val="20"/>
          <w:szCs w:val="20"/>
          <w:lang w:val="sr-Cyrl-RS" w:eastAsia="ja-JP"/>
        </w:rPr>
        <w:t>На крају 2017. године стање дуга по основу издатих гаранција износило је 1,8 млрд евра, односно 4,6% БДП. Стање дуга по овом основу смањено је за око 380 милиона евра у односу на крај 2016. године. До септембра текуће године стање дуга по гаранцијама смањено је за додатних 200 милиона евра.</w:t>
      </w:r>
    </w:p>
    <w:p w14:paraId="1BC7B9FD" w14:textId="77777777" w:rsidR="003D2901" w:rsidRPr="00A37BCE" w:rsidRDefault="003D2901">
      <w:pPr>
        <w:rPr>
          <w:rFonts w:eastAsia="Times New Roman" w:cstheme="minorHAnsi"/>
          <w:b/>
          <w:bCs/>
          <w:color w:val="002060"/>
          <w:sz w:val="20"/>
          <w:lang w:val="sr-Cyrl-RS" w:eastAsia="ja-JP"/>
        </w:rPr>
      </w:pPr>
      <w:r w:rsidRPr="00A37BCE">
        <w:rPr>
          <w:rFonts w:eastAsia="Times New Roman" w:cstheme="minorHAnsi"/>
          <w:b/>
          <w:bCs/>
          <w:color w:val="002060"/>
          <w:sz w:val="20"/>
          <w:lang w:val="sr-Cyrl-RS" w:eastAsia="ja-JP"/>
        </w:rPr>
        <w:lastRenderedPageBreak/>
        <w:br w:type="page"/>
      </w:r>
    </w:p>
    <w:p w14:paraId="04555C45" w14:textId="77357B93" w:rsidR="00BA4876" w:rsidRPr="00A37BCE" w:rsidRDefault="005B01D9" w:rsidP="00BA4876">
      <w:pPr>
        <w:spacing w:line="276" w:lineRule="auto"/>
        <w:contextualSpacing/>
        <w:jc w:val="center"/>
        <w:rPr>
          <w:rFonts w:eastAsia="Times New Roman" w:cstheme="minorHAnsi"/>
          <w:b/>
          <w:bCs/>
          <w:color w:val="002060"/>
          <w:sz w:val="20"/>
          <w:lang w:val="sr-Cyrl-RS" w:eastAsia="ja-JP"/>
        </w:rPr>
      </w:pPr>
      <w:r w:rsidRPr="00A37BCE">
        <w:rPr>
          <w:rFonts w:eastAsia="Times New Roman" w:cstheme="minorHAnsi"/>
          <w:b/>
          <w:bCs/>
          <w:color w:val="002060"/>
          <w:sz w:val="20"/>
          <w:lang w:val="sr-Cyrl-RS" w:eastAsia="ja-JP"/>
        </w:rPr>
        <w:lastRenderedPageBreak/>
        <w:t>Табела 12</w:t>
      </w:r>
      <w:r w:rsidR="00BA4876" w:rsidRPr="00A37BCE">
        <w:rPr>
          <w:rFonts w:eastAsia="Times New Roman" w:cstheme="minorHAnsi"/>
          <w:b/>
          <w:bCs/>
          <w:color w:val="002060"/>
          <w:sz w:val="20"/>
          <w:lang w:val="sr-Cyrl-RS" w:eastAsia="ja-JP"/>
        </w:rPr>
        <w:t xml:space="preserve">. Стање дуга по основу издатих гаранција у мил. </w:t>
      </w:r>
      <w:r w:rsidR="00956C60">
        <w:rPr>
          <w:rFonts w:eastAsia="Times New Roman" w:cstheme="minorHAnsi"/>
          <w:b/>
          <w:bCs/>
          <w:color w:val="002060"/>
          <w:sz w:val="20"/>
          <w:lang w:val="sr-Cyrl-RS" w:eastAsia="ja-JP"/>
        </w:rPr>
        <w:t>е</w:t>
      </w:r>
      <w:r w:rsidR="00BA4876" w:rsidRPr="00A37BCE">
        <w:rPr>
          <w:rFonts w:eastAsia="Times New Roman" w:cstheme="minorHAnsi"/>
          <w:b/>
          <w:bCs/>
          <w:color w:val="002060"/>
          <w:sz w:val="20"/>
          <w:lang w:val="sr-Cyrl-RS" w:eastAsia="ja-JP"/>
        </w:rPr>
        <w:t>вра</w:t>
      </w:r>
    </w:p>
    <w:tbl>
      <w:tblPr>
        <w:tblStyle w:val="LightShading-Accent336"/>
        <w:tblW w:w="5000" w:type="pct"/>
        <w:jc w:val="center"/>
        <w:tblLook w:val="04A0" w:firstRow="1" w:lastRow="0" w:firstColumn="1" w:lastColumn="0" w:noHBand="0" w:noVBand="1"/>
      </w:tblPr>
      <w:tblGrid>
        <w:gridCol w:w="7449"/>
        <w:gridCol w:w="1911"/>
      </w:tblGrid>
      <w:tr w:rsidR="00BA4876" w:rsidRPr="00A37BCE" w14:paraId="779E8D04" w14:textId="77777777" w:rsidTr="001F5D30">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3979" w:type="pct"/>
            <w:tcBorders>
              <w:top w:val="single" w:sz="4" w:space="0" w:color="002060"/>
              <w:bottom w:val="single" w:sz="4" w:space="0" w:color="002060"/>
            </w:tcBorders>
            <w:shd w:val="clear" w:color="auto" w:fill="auto"/>
            <w:noWrap/>
            <w:hideMark/>
          </w:tcPr>
          <w:p w14:paraId="59C168D4" w14:textId="77777777" w:rsidR="00BA4876" w:rsidRPr="00A37BCE" w:rsidRDefault="00BA4876" w:rsidP="00BA4876">
            <w:pPr>
              <w:spacing w:line="276" w:lineRule="auto"/>
              <w:jc w:val="both"/>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Корисник</w:t>
            </w:r>
          </w:p>
        </w:tc>
        <w:tc>
          <w:tcPr>
            <w:tcW w:w="1021" w:type="pct"/>
            <w:tcBorders>
              <w:top w:val="single" w:sz="4" w:space="0" w:color="002060"/>
              <w:bottom w:val="single" w:sz="4" w:space="0" w:color="002060"/>
            </w:tcBorders>
            <w:shd w:val="clear" w:color="auto" w:fill="auto"/>
            <w:hideMark/>
          </w:tcPr>
          <w:p w14:paraId="6BDF7BD5" w14:textId="77777777" w:rsidR="00BA4876" w:rsidRPr="00A37BCE" w:rsidRDefault="00BA4876" w:rsidP="00BA4876">
            <w:pPr>
              <w:spacing w:line="276" w:lineRule="auto"/>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30.09.2018.</w:t>
            </w:r>
          </w:p>
        </w:tc>
      </w:tr>
      <w:tr w:rsidR="00BA4876" w:rsidRPr="00A37BCE" w14:paraId="1540A754" w14:textId="77777777" w:rsidTr="001F5D30">
        <w:trPr>
          <w:cnfStyle w:val="000000100000" w:firstRow="0" w:lastRow="0" w:firstColumn="0" w:lastColumn="0" w:oddVBand="0" w:evenVBand="0" w:oddHBand="1" w:evenHBand="0" w:firstRowFirstColumn="0" w:firstRowLastColumn="0" w:lastRowFirstColumn="0" w:lastRowLastColumn="0"/>
          <w:trHeight w:val="4445"/>
          <w:jc w:val="center"/>
        </w:trPr>
        <w:tc>
          <w:tcPr>
            <w:cnfStyle w:val="001000000000" w:firstRow="0" w:lastRow="0" w:firstColumn="1" w:lastColumn="0" w:oddVBand="0" w:evenVBand="0" w:oddHBand="0" w:evenHBand="0" w:firstRowFirstColumn="0" w:firstRowLastColumn="0" w:lastRowFirstColumn="0" w:lastRowLastColumn="0"/>
            <w:tcW w:w="3979" w:type="pct"/>
            <w:tcBorders>
              <w:top w:val="single" w:sz="4" w:space="0" w:color="002060"/>
              <w:bottom w:val="single" w:sz="4" w:space="0" w:color="002060"/>
            </w:tcBorders>
            <w:shd w:val="clear" w:color="auto" w:fill="auto"/>
            <w:noWrap/>
            <w:hideMark/>
          </w:tcPr>
          <w:p w14:paraId="1894CF5C" w14:textId="77777777" w:rsidR="00BA4876" w:rsidRPr="00A37BCE" w:rsidRDefault="00BA4876" w:rsidP="00BA4876">
            <w:pPr>
              <w:spacing w:line="276" w:lineRule="auto"/>
              <w:jc w:val="both"/>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 xml:space="preserve">ЈП Србијагас </w:t>
            </w:r>
          </w:p>
          <w:p w14:paraId="1FE3CE78" w14:textId="77777777" w:rsidR="00BA4876" w:rsidRPr="00A37BCE" w:rsidRDefault="00BA4876" w:rsidP="00BA4876">
            <w:pPr>
              <w:spacing w:line="276" w:lineRule="auto"/>
              <w:jc w:val="both"/>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ЈП Путеви Србије</w:t>
            </w:r>
          </w:p>
          <w:p w14:paraId="0174A777" w14:textId="77777777" w:rsidR="00BA4876" w:rsidRPr="00A37BCE" w:rsidRDefault="00BA4876" w:rsidP="00BA4876">
            <w:pPr>
              <w:spacing w:line="276" w:lineRule="auto"/>
              <w:jc w:val="both"/>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АД Железнице Србије</w:t>
            </w:r>
          </w:p>
          <w:p w14:paraId="734939D9" w14:textId="77777777" w:rsidR="00BA4876" w:rsidRPr="00A37BCE" w:rsidRDefault="00BA4876" w:rsidP="00BA4876">
            <w:pPr>
              <w:spacing w:line="276" w:lineRule="auto"/>
              <w:jc w:val="both"/>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АД Инфраструктура Железнице Србије</w:t>
            </w:r>
          </w:p>
          <w:p w14:paraId="5B3D2DD2" w14:textId="77777777" w:rsidR="00BA4876" w:rsidRPr="00A37BCE" w:rsidRDefault="00BA4876" w:rsidP="00BA4876">
            <w:pPr>
              <w:spacing w:line="276" w:lineRule="auto"/>
              <w:jc w:val="both"/>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АД Србија Карго</w:t>
            </w:r>
          </w:p>
          <w:p w14:paraId="5513BD8F" w14:textId="77777777" w:rsidR="00BA4876" w:rsidRPr="00A37BCE" w:rsidRDefault="00BA4876" w:rsidP="00BA4876">
            <w:pPr>
              <w:spacing w:line="276" w:lineRule="auto"/>
              <w:jc w:val="both"/>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АД Србија Воз</w:t>
            </w:r>
          </w:p>
          <w:p w14:paraId="715C02D8" w14:textId="77777777" w:rsidR="00BA4876" w:rsidRPr="00A37BCE" w:rsidRDefault="00BA4876" w:rsidP="00BA4876">
            <w:pPr>
              <w:spacing w:line="276" w:lineRule="auto"/>
              <w:jc w:val="both"/>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Air Serbia a.d. Beograd</w:t>
            </w:r>
          </w:p>
          <w:p w14:paraId="71E607E2" w14:textId="7FC9F4FB" w:rsidR="00BA4876" w:rsidRPr="00A37BCE" w:rsidRDefault="00BA4876" w:rsidP="00BA4876">
            <w:pPr>
              <w:spacing w:line="276" w:lineRule="auto"/>
              <w:jc w:val="both"/>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Галеника а.</w:t>
            </w:r>
            <w:r w:rsidR="00956BB3">
              <w:rPr>
                <w:rFonts w:asciiTheme="minorHAnsi" w:eastAsia="Times New Roman" w:hAnsiTheme="minorHAnsi" w:cstheme="minorHAnsi"/>
                <w:b w:val="0"/>
                <w:color w:val="002060"/>
                <w:sz w:val="18"/>
                <w:lang w:val="sr-Cyrl-RS"/>
              </w:rPr>
              <w:t xml:space="preserve"> </w:t>
            </w:r>
            <w:r w:rsidRPr="00A37BCE">
              <w:rPr>
                <w:rFonts w:asciiTheme="minorHAnsi" w:eastAsia="Times New Roman" w:hAnsiTheme="minorHAnsi" w:cstheme="minorHAnsi"/>
                <w:b w:val="0"/>
                <w:color w:val="002060"/>
                <w:sz w:val="18"/>
                <w:lang w:val="sr-Cyrl-RS"/>
              </w:rPr>
              <w:t>д.</w:t>
            </w:r>
          </w:p>
          <w:p w14:paraId="20C96D34" w14:textId="6F154F3A" w:rsidR="00BA4876" w:rsidRPr="00A37BCE" w:rsidRDefault="005E209A" w:rsidP="00BA4876">
            <w:pPr>
              <w:spacing w:line="276" w:lineRule="auto"/>
              <w:jc w:val="both"/>
              <w:rPr>
                <w:rFonts w:asciiTheme="minorHAnsi" w:eastAsia="Times New Roman" w:hAnsiTheme="minorHAnsi" w:cstheme="minorHAnsi"/>
                <w:b w:val="0"/>
                <w:color w:val="002060"/>
                <w:sz w:val="18"/>
                <w:lang w:val="sr-Cyrl-RS"/>
              </w:rPr>
            </w:pPr>
            <w:r>
              <w:rPr>
                <w:rFonts w:asciiTheme="minorHAnsi" w:eastAsia="Times New Roman" w:hAnsiTheme="minorHAnsi" w:cstheme="minorHAnsi"/>
                <w:b w:val="0"/>
                <w:color w:val="002060"/>
                <w:sz w:val="18"/>
                <w:lang w:val="sr-Cyrl-RS"/>
              </w:rPr>
              <w:t>АД</w:t>
            </w:r>
            <w:r w:rsidR="00BA4876" w:rsidRPr="00A37BCE">
              <w:rPr>
                <w:rFonts w:asciiTheme="minorHAnsi" w:eastAsia="Times New Roman" w:hAnsiTheme="minorHAnsi" w:cstheme="minorHAnsi"/>
                <w:b w:val="0"/>
                <w:color w:val="002060"/>
                <w:sz w:val="18"/>
                <w:lang w:val="sr-Cyrl-RS"/>
              </w:rPr>
              <w:t xml:space="preserve"> Електромрежа Србије</w:t>
            </w:r>
          </w:p>
          <w:p w14:paraId="6A6F205B" w14:textId="77777777" w:rsidR="00BA4876" w:rsidRPr="00A37BCE" w:rsidRDefault="00BA4876" w:rsidP="00BA4876">
            <w:pPr>
              <w:spacing w:line="276" w:lineRule="auto"/>
              <w:jc w:val="both"/>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ЈП Електропривреда Србије</w:t>
            </w:r>
          </w:p>
          <w:p w14:paraId="4439334D" w14:textId="77777777" w:rsidR="00BA4876" w:rsidRPr="00A37BCE" w:rsidRDefault="00BA4876" w:rsidP="00BA4876">
            <w:pPr>
              <w:spacing w:line="276" w:lineRule="auto"/>
              <w:jc w:val="both"/>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РТБ Бор</w:t>
            </w:r>
          </w:p>
          <w:p w14:paraId="6171EE8E" w14:textId="77777777" w:rsidR="00BA4876" w:rsidRPr="00A37BCE" w:rsidRDefault="00BA4876" w:rsidP="00BA4876">
            <w:pPr>
              <w:spacing w:line="276" w:lineRule="auto"/>
              <w:jc w:val="both"/>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Агенција за контролу летења Србије и Црне Горе</w:t>
            </w:r>
          </w:p>
          <w:p w14:paraId="6AD9B8C4" w14:textId="22171A0B" w:rsidR="00BA4876" w:rsidRPr="00A37BCE" w:rsidRDefault="00BA4876" w:rsidP="00BA4876">
            <w:pPr>
              <w:spacing w:line="276" w:lineRule="auto"/>
              <w:jc w:val="both"/>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 xml:space="preserve">ЈП Југоимпорт </w:t>
            </w:r>
            <w:r w:rsidR="00117933" w:rsidRPr="00117933">
              <w:rPr>
                <w:rFonts w:asciiTheme="minorHAnsi" w:eastAsia="Times New Roman" w:hAnsiTheme="minorHAnsi" w:cstheme="minorHAnsi"/>
                <w:b w:val="0"/>
                <w:color w:val="002060"/>
                <w:sz w:val="18"/>
                <w:lang w:val="sr-Cyrl-RS"/>
              </w:rPr>
              <w:t>–</w:t>
            </w:r>
            <w:r w:rsidRPr="00A37BCE">
              <w:rPr>
                <w:rFonts w:asciiTheme="minorHAnsi" w:eastAsia="Times New Roman" w:hAnsiTheme="minorHAnsi" w:cstheme="minorHAnsi"/>
                <w:b w:val="0"/>
                <w:color w:val="002060"/>
                <w:sz w:val="18"/>
                <w:lang w:val="sr-Cyrl-RS"/>
              </w:rPr>
              <w:t xml:space="preserve"> СДПР</w:t>
            </w:r>
          </w:p>
          <w:p w14:paraId="3D9228B8" w14:textId="5B7BBF01" w:rsidR="00BA4876" w:rsidRPr="00A37BCE" w:rsidRDefault="00BA4876" w:rsidP="00BA4876">
            <w:pPr>
              <w:spacing w:line="276" w:lineRule="auto"/>
              <w:jc w:val="both"/>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ФИАТ д</w:t>
            </w:r>
            <w:r w:rsidR="00956BB3">
              <w:rPr>
                <w:rFonts w:asciiTheme="minorHAnsi" w:eastAsia="Times New Roman" w:hAnsiTheme="minorHAnsi" w:cstheme="minorHAnsi"/>
                <w:b w:val="0"/>
                <w:color w:val="002060"/>
                <w:sz w:val="18"/>
                <w:lang w:val="sr-Cyrl-RS"/>
              </w:rPr>
              <w:t>. о. о.</w:t>
            </w:r>
          </w:p>
          <w:p w14:paraId="2B30FBE1" w14:textId="77777777" w:rsidR="00BA4876" w:rsidRPr="00A37BCE" w:rsidRDefault="00BA4876" w:rsidP="00BA4876">
            <w:pPr>
              <w:spacing w:line="276" w:lineRule="auto"/>
              <w:jc w:val="both"/>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Аеродром "Никола Тесла"</w:t>
            </w:r>
          </w:p>
          <w:p w14:paraId="113BA2D5" w14:textId="2E7DCBE4" w:rsidR="00BA4876" w:rsidRPr="00A37BCE" w:rsidRDefault="00BA4876" w:rsidP="00BA4876">
            <w:pPr>
              <w:spacing w:line="276" w:lineRule="auto"/>
              <w:jc w:val="both"/>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ЈАТ Техника д.</w:t>
            </w:r>
            <w:r w:rsidR="00956BB3">
              <w:rPr>
                <w:rFonts w:asciiTheme="minorHAnsi" w:eastAsia="Times New Roman" w:hAnsiTheme="minorHAnsi" w:cstheme="minorHAnsi"/>
                <w:b w:val="0"/>
                <w:color w:val="002060"/>
                <w:sz w:val="18"/>
                <w:lang w:val="sr-Cyrl-RS"/>
              </w:rPr>
              <w:t xml:space="preserve"> </w:t>
            </w:r>
            <w:r w:rsidRPr="00A37BCE">
              <w:rPr>
                <w:rFonts w:asciiTheme="minorHAnsi" w:eastAsia="Times New Roman" w:hAnsiTheme="minorHAnsi" w:cstheme="minorHAnsi"/>
                <w:b w:val="0"/>
                <w:color w:val="002060"/>
                <w:sz w:val="18"/>
                <w:lang w:val="sr-Cyrl-RS"/>
              </w:rPr>
              <w:t>о.</w:t>
            </w:r>
            <w:r w:rsidR="00956BB3">
              <w:rPr>
                <w:rFonts w:asciiTheme="minorHAnsi" w:eastAsia="Times New Roman" w:hAnsiTheme="minorHAnsi" w:cstheme="minorHAnsi"/>
                <w:b w:val="0"/>
                <w:color w:val="002060"/>
                <w:sz w:val="18"/>
                <w:lang w:val="sr-Cyrl-RS"/>
              </w:rPr>
              <w:t xml:space="preserve"> </w:t>
            </w:r>
            <w:r w:rsidRPr="00A37BCE">
              <w:rPr>
                <w:rFonts w:asciiTheme="minorHAnsi" w:eastAsia="Times New Roman" w:hAnsiTheme="minorHAnsi" w:cstheme="minorHAnsi"/>
                <w:b w:val="0"/>
                <w:color w:val="002060"/>
                <w:sz w:val="18"/>
                <w:lang w:val="sr-Cyrl-RS"/>
              </w:rPr>
              <w:t>о.</w:t>
            </w:r>
          </w:p>
          <w:p w14:paraId="37E292C8" w14:textId="77777777" w:rsidR="00BA4876" w:rsidRPr="00A37BCE" w:rsidRDefault="00BA4876" w:rsidP="00BA4876">
            <w:pPr>
              <w:spacing w:line="276" w:lineRule="auto"/>
              <w:jc w:val="both"/>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 xml:space="preserve">ЈП Емисиона техника и везе </w:t>
            </w:r>
          </w:p>
          <w:p w14:paraId="0A25CE7D" w14:textId="77777777" w:rsidR="00BA4876" w:rsidRPr="00A37BCE" w:rsidRDefault="00BA4876" w:rsidP="00BA4876">
            <w:pPr>
              <w:spacing w:line="276" w:lineRule="auto"/>
              <w:jc w:val="both"/>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 xml:space="preserve">Јединице локалне власти (градови и општине) </w:t>
            </w:r>
          </w:p>
          <w:p w14:paraId="676F3DFE" w14:textId="5082870E" w:rsidR="00BA4876" w:rsidRPr="00A37BCE" w:rsidRDefault="00BA4876" w:rsidP="00BA4876">
            <w:pPr>
              <w:spacing w:line="276" w:lineRule="auto"/>
              <w:jc w:val="both"/>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УКУПНО</w:t>
            </w:r>
          </w:p>
        </w:tc>
        <w:tc>
          <w:tcPr>
            <w:tcW w:w="1021" w:type="pct"/>
            <w:tcBorders>
              <w:top w:val="single" w:sz="4" w:space="0" w:color="002060"/>
              <w:bottom w:val="single" w:sz="4" w:space="0" w:color="002060"/>
            </w:tcBorders>
            <w:shd w:val="clear" w:color="auto" w:fill="auto"/>
            <w:noWrap/>
          </w:tcPr>
          <w:p w14:paraId="31AA1609"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lang w:val="sr-Cyrl-RS"/>
              </w:rPr>
            </w:pPr>
            <w:r w:rsidRPr="00A37BCE">
              <w:rPr>
                <w:rFonts w:asciiTheme="minorHAnsi" w:eastAsia="Times New Roman" w:hAnsiTheme="minorHAnsi" w:cstheme="minorHAnsi"/>
                <w:bCs/>
                <w:color w:val="002060"/>
                <w:sz w:val="18"/>
                <w:lang w:val="sr-Cyrl-RS"/>
              </w:rPr>
              <w:t>105,7</w:t>
            </w:r>
          </w:p>
          <w:p w14:paraId="651C2C29"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lang w:val="sr-Cyrl-RS"/>
              </w:rPr>
            </w:pPr>
            <w:r w:rsidRPr="00A37BCE">
              <w:rPr>
                <w:rFonts w:asciiTheme="minorHAnsi" w:eastAsia="Times New Roman" w:hAnsiTheme="minorHAnsi" w:cstheme="minorHAnsi"/>
                <w:bCs/>
                <w:color w:val="002060"/>
                <w:sz w:val="18"/>
                <w:lang w:val="sr-Cyrl-RS"/>
              </w:rPr>
              <w:t>339,1</w:t>
            </w:r>
          </w:p>
          <w:p w14:paraId="04D71962"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lang w:val="sr-Cyrl-RS"/>
              </w:rPr>
            </w:pPr>
            <w:r w:rsidRPr="00A37BCE">
              <w:rPr>
                <w:rFonts w:asciiTheme="minorHAnsi" w:eastAsia="Times New Roman" w:hAnsiTheme="minorHAnsi" w:cstheme="minorHAnsi"/>
                <w:bCs/>
                <w:color w:val="002060"/>
                <w:sz w:val="18"/>
                <w:lang w:val="sr-Cyrl-RS"/>
              </w:rPr>
              <w:t>223,1</w:t>
            </w:r>
          </w:p>
          <w:p w14:paraId="4AF57B13"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lang w:val="sr-Cyrl-RS"/>
              </w:rPr>
            </w:pPr>
            <w:r w:rsidRPr="00A37BCE">
              <w:rPr>
                <w:rFonts w:asciiTheme="minorHAnsi" w:eastAsia="Times New Roman" w:hAnsiTheme="minorHAnsi" w:cstheme="minorHAnsi"/>
                <w:bCs/>
                <w:color w:val="002060"/>
                <w:sz w:val="18"/>
                <w:lang w:val="sr-Cyrl-RS"/>
              </w:rPr>
              <w:t>41,8</w:t>
            </w:r>
          </w:p>
          <w:p w14:paraId="467F63C4"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lang w:val="sr-Cyrl-RS"/>
              </w:rPr>
            </w:pPr>
            <w:r w:rsidRPr="00A37BCE">
              <w:rPr>
                <w:rFonts w:asciiTheme="minorHAnsi" w:eastAsia="Times New Roman" w:hAnsiTheme="minorHAnsi" w:cstheme="minorHAnsi"/>
                <w:bCs/>
                <w:color w:val="002060"/>
                <w:sz w:val="18"/>
                <w:lang w:val="sr-Cyrl-RS"/>
              </w:rPr>
              <w:t>9,6</w:t>
            </w:r>
          </w:p>
          <w:p w14:paraId="20232435"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lang w:val="sr-Cyrl-RS"/>
              </w:rPr>
            </w:pPr>
            <w:r w:rsidRPr="00A37BCE">
              <w:rPr>
                <w:rFonts w:asciiTheme="minorHAnsi" w:eastAsia="Times New Roman" w:hAnsiTheme="minorHAnsi" w:cstheme="minorHAnsi"/>
                <w:bCs/>
                <w:color w:val="002060"/>
                <w:sz w:val="18"/>
                <w:lang w:val="sr-Cyrl-RS"/>
              </w:rPr>
              <w:t>1,2</w:t>
            </w:r>
          </w:p>
          <w:p w14:paraId="7F30BC19"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lang w:val="sr-Cyrl-RS"/>
              </w:rPr>
            </w:pPr>
            <w:r w:rsidRPr="00A37BCE">
              <w:rPr>
                <w:rFonts w:asciiTheme="minorHAnsi" w:eastAsia="Times New Roman" w:hAnsiTheme="minorHAnsi" w:cstheme="minorHAnsi"/>
                <w:bCs/>
                <w:color w:val="002060"/>
                <w:sz w:val="18"/>
                <w:lang w:val="sr-Cyrl-RS"/>
              </w:rPr>
              <w:t>6,7</w:t>
            </w:r>
          </w:p>
          <w:p w14:paraId="0BAD09CA"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lang w:val="sr-Cyrl-RS"/>
              </w:rPr>
            </w:pPr>
            <w:r w:rsidRPr="00A37BCE">
              <w:rPr>
                <w:rFonts w:asciiTheme="minorHAnsi" w:eastAsia="Times New Roman" w:hAnsiTheme="minorHAnsi" w:cstheme="minorHAnsi"/>
                <w:bCs/>
                <w:color w:val="002060"/>
                <w:sz w:val="18"/>
                <w:lang w:val="sr-Cyrl-RS"/>
              </w:rPr>
              <w:t>6,8</w:t>
            </w:r>
          </w:p>
          <w:p w14:paraId="085D43DB"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lang w:val="sr-Cyrl-RS"/>
              </w:rPr>
            </w:pPr>
            <w:r w:rsidRPr="00A37BCE">
              <w:rPr>
                <w:rFonts w:asciiTheme="minorHAnsi" w:eastAsia="Times New Roman" w:hAnsiTheme="minorHAnsi" w:cstheme="minorHAnsi"/>
                <w:bCs/>
                <w:color w:val="002060"/>
                <w:sz w:val="18"/>
                <w:lang w:val="sr-Cyrl-RS"/>
              </w:rPr>
              <w:t>37,3</w:t>
            </w:r>
          </w:p>
          <w:p w14:paraId="7D00E83F"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lang w:val="sr-Cyrl-RS"/>
              </w:rPr>
            </w:pPr>
            <w:r w:rsidRPr="00A37BCE">
              <w:rPr>
                <w:rFonts w:asciiTheme="minorHAnsi" w:eastAsia="Times New Roman" w:hAnsiTheme="minorHAnsi" w:cstheme="minorHAnsi"/>
                <w:bCs/>
                <w:color w:val="002060"/>
                <w:sz w:val="18"/>
                <w:lang w:val="sr-Cyrl-RS"/>
              </w:rPr>
              <w:t>403,0</w:t>
            </w:r>
          </w:p>
          <w:p w14:paraId="26DAA1DD"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lang w:val="sr-Cyrl-RS"/>
              </w:rPr>
            </w:pPr>
            <w:r w:rsidRPr="00A37BCE">
              <w:rPr>
                <w:rFonts w:asciiTheme="minorHAnsi" w:eastAsia="Times New Roman" w:hAnsiTheme="minorHAnsi" w:cstheme="minorHAnsi"/>
                <w:bCs/>
                <w:color w:val="002060"/>
                <w:sz w:val="18"/>
                <w:lang w:val="sr-Cyrl-RS"/>
              </w:rPr>
              <w:t>65,9</w:t>
            </w:r>
          </w:p>
          <w:p w14:paraId="2C806132"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lang w:val="sr-Cyrl-RS"/>
              </w:rPr>
            </w:pPr>
            <w:r w:rsidRPr="00A37BCE">
              <w:rPr>
                <w:rFonts w:asciiTheme="minorHAnsi" w:eastAsia="Times New Roman" w:hAnsiTheme="minorHAnsi" w:cstheme="minorHAnsi"/>
                <w:bCs/>
                <w:color w:val="002060"/>
                <w:sz w:val="18"/>
                <w:lang w:val="sr-Cyrl-RS"/>
              </w:rPr>
              <w:t>8,1</w:t>
            </w:r>
          </w:p>
          <w:p w14:paraId="541D80B2"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lang w:val="sr-Cyrl-RS"/>
              </w:rPr>
            </w:pPr>
            <w:r w:rsidRPr="00A37BCE">
              <w:rPr>
                <w:rFonts w:asciiTheme="minorHAnsi" w:eastAsia="Times New Roman" w:hAnsiTheme="minorHAnsi" w:cstheme="minorHAnsi"/>
                <w:bCs/>
                <w:color w:val="002060"/>
                <w:sz w:val="18"/>
                <w:lang w:val="sr-Cyrl-RS"/>
              </w:rPr>
              <w:t>15,2</w:t>
            </w:r>
          </w:p>
          <w:p w14:paraId="0ADF1C16"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lang w:val="sr-Cyrl-RS"/>
              </w:rPr>
            </w:pPr>
            <w:r w:rsidRPr="00A37BCE">
              <w:rPr>
                <w:rFonts w:asciiTheme="minorHAnsi" w:eastAsia="Times New Roman" w:hAnsiTheme="minorHAnsi" w:cstheme="minorHAnsi"/>
                <w:bCs/>
                <w:color w:val="002060"/>
                <w:sz w:val="18"/>
                <w:lang w:val="sr-Cyrl-RS"/>
              </w:rPr>
              <w:t>49,2</w:t>
            </w:r>
          </w:p>
          <w:p w14:paraId="2C452F4A"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lang w:val="sr-Cyrl-RS"/>
              </w:rPr>
            </w:pPr>
            <w:r w:rsidRPr="00A37BCE">
              <w:rPr>
                <w:rFonts w:asciiTheme="minorHAnsi" w:eastAsia="Times New Roman" w:hAnsiTheme="minorHAnsi" w:cstheme="minorHAnsi"/>
                <w:bCs/>
                <w:color w:val="002060"/>
                <w:sz w:val="18"/>
                <w:lang w:val="sr-Cyrl-RS"/>
              </w:rPr>
              <w:t>5,2</w:t>
            </w:r>
          </w:p>
          <w:p w14:paraId="753405AB"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lang w:val="sr-Cyrl-RS"/>
              </w:rPr>
            </w:pPr>
            <w:r w:rsidRPr="00A37BCE">
              <w:rPr>
                <w:rFonts w:asciiTheme="minorHAnsi" w:eastAsia="Times New Roman" w:hAnsiTheme="minorHAnsi" w:cstheme="minorHAnsi"/>
                <w:bCs/>
                <w:color w:val="002060"/>
                <w:sz w:val="18"/>
                <w:lang w:val="sr-Cyrl-RS"/>
              </w:rPr>
              <w:t>3,7</w:t>
            </w:r>
          </w:p>
          <w:p w14:paraId="67CA5E84"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lang w:val="sr-Cyrl-RS"/>
              </w:rPr>
            </w:pPr>
            <w:r w:rsidRPr="00A37BCE">
              <w:rPr>
                <w:rFonts w:asciiTheme="minorHAnsi" w:eastAsia="Times New Roman" w:hAnsiTheme="minorHAnsi" w:cstheme="minorHAnsi"/>
                <w:bCs/>
                <w:color w:val="002060"/>
                <w:sz w:val="18"/>
                <w:lang w:val="sr-Cyrl-RS"/>
              </w:rPr>
              <w:t>13,4</w:t>
            </w:r>
          </w:p>
          <w:p w14:paraId="5998CF49"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lang w:val="sr-Cyrl-RS"/>
              </w:rPr>
            </w:pPr>
            <w:r w:rsidRPr="00A37BCE">
              <w:rPr>
                <w:rFonts w:asciiTheme="minorHAnsi" w:eastAsia="Times New Roman" w:hAnsiTheme="minorHAnsi" w:cstheme="minorHAnsi"/>
                <w:bCs/>
                <w:color w:val="002060"/>
                <w:sz w:val="18"/>
                <w:lang w:val="sr-Cyrl-RS"/>
              </w:rPr>
              <w:t>227,7</w:t>
            </w:r>
          </w:p>
          <w:p w14:paraId="5654FB7C"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lang w:val="sr-Cyrl-RS"/>
              </w:rPr>
            </w:pPr>
            <w:r w:rsidRPr="00A37BCE">
              <w:rPr>
                <w:rFonts w:asciiTheme="minorHAnsi" w:eastAsia="Times New Roman" w:hAnsiTheme="minorHAnsi" w:cstheme="minorHAnsi"/>
                <w:bCs/>
                <w:color w:val="002060"/>
                <w:sz w:val="18"/>
                <w:lang w:val="sr-Cyrl-RS"/>
              </w:rPr>
              <w:t>1.562,6</w:t>
            </w:r>
          </w:p>
        </w:tc>
      </w:tr>
    </w:tbl>
    <w:p w14:paraId="6C600ED7" w14:textId="77777777" w:rsidR="00BA4876" w:rsidRPr="00A37BCE" w:rsidRDefault="00BA4876" w:rsidP="00BA4876">
      <w:pPr>
        <w:spacing w:after="120" w:line="276" w:lineRule="auto"/>
        <w:jc w:val="both"/>
        <w:rPr>
          <w:rFonts w:eastAsia="MS PGothic" w:cstheme="minorHAnsi"/>
          <w:color w:val="44546A" w:themeColor="text2"/>
          <w:sz w:val="16"/>
          <w:lang w:val="sr-Cyrl-RS" w:eastAsia="ja-JP"/>
        </w:rPr>
      </w:pPr>
      <w:r w:rsidRPr="00A37BCE">
        <w:rPr>
          <w:rFonts w:eastAsia="MS PGothic" w:cstheme="minorHAnsi"/>
          <w:color w:val="44546A" w:themeColor="text2"/>
          <w:sz w:val="16"/>
          <w:lang w:val="sr-Cyrl-RS" w:eastAsia="ja-JP"/>
        </w:rPr>
        <w:t>Извор: Министарство финансија, Управа за јавни дуг</w:t>
      </w:r>
    </w:p>
    <w:p w14:paraId="3C263954" w14:textId="77777777" w:rsidR="00BA4876" w:rsidRPr="00A37BCE" w:rsidRDefault="00BA4876" w:rsidP="00BA4876">
      <w:pPr>
        <w:spacing w:after="120" w:line="276" w:lineRule="auto"/>
        <w:jc w:val="both"/>
        <w:rPr>
          <w:rFonts w:eastAsia="MS PGothic" w:cstheme="minorHAnsi"/>
          <w:b/>
          <w:color w:val="2F5496" w:themeColor="accent1" w:themeShade="BF"/>
          <w:sz w:val="20"/>
          <w:lang w:val="sr-Cyrl-RS" w:eastAsia="ja-JP"/>
        </w:rPr>
        <w:sectPr w:rsidR="00BA4876" w:rsidRPr="00A37BCE" w:rsidSect="00BA4876">
          <w:type w:val="continuous"/>
          <w:pgSz w:w="12240" w:h="15840"/>
          <w:pgMar w:top="1440" w:right="1440" w:bottom="1440" w:left="1440" w:header="720" w:footer="720" w:gutter="0"/>
          <w:cols w:space="720"/>
          <w:docGrid w:linePitch="360"/>
        </w:sectPr>
      </w:pPr>
    </w:p>
    <w:p w14:paraId="217222A9" w14:textId="7F544445" w:rsidR="00BA4876" w:rsidRPr="00A37BCE" w:rsidRDefault="00BA4876" w:rsidP="00BA4876">
      <w:pPr>
        <w:spacing w:after="120" w:line="276" w:lineRule="auto"/>
        <w:jc w:val="both"/>
        <w:rPr>
          <w:rFonts w:eastAsia="MS PGothic" w:cstheme="minorHAnsi"/>
          <w:color w:val="44546A" w:themeColor="text2"/>
          <w:sz w:val="20"/>
          <w:lang w:val="sr-Cyrl-RS" w:eastAsia="ja-JP"/>
        </w:rPr>
      </w:pPr>
      <w:r w:rsidRPr="00A37BCE">
        <w:rPr>
          <w:rFonts w:eastAsia="Calibri" w:cstheme="minorHAnsi"/>
          <w:color w:val="44546A" w:themeColor="text2"/>
          <w:sz w:val="20"/>
          <w:szCs w:val="20"/>
          <w:lang w:val="sr-Cyrl-RS" w:eastAsia="ja-JP"/>
        </w:rPr>
        <w:lastRenderedPageBreak/>
        <w:t>Укупна планирана отплата по основу гарантованих кредита у 2018. години износи 29 млрд динара. Рачуноводствена методологија, до 2014. године, није у расходе</w:t>
      </w:r>
      <w:r w:rsidRPr="00A37BCE">
        <w:rPr>
          <w:rFonts w:eastAsia="MS PGothic" w:cstheme="minorHAnsi"/>
          <w:color w:val="44546A" w:themeColor="text2"/>
          <w:sz w:val="20"/>
          <w:lang w:val="sr-Cyrl-RS" w:eastAsia="ja-JP"/>
        </w:rPr>
        <w:t xml:space="preserve"> укључивала отплате по основу гаранција</w:t>
      </w:r>
      <w:r w:rsidRPr="00A37BCE">
        <w:rPr>
          <w:rFonts w:eastAsia="MS PGothic" w:cstheme="minorHAnsi"/>
          <w:color w:val="44546A" w:themeColor="text2"/>
          <w:sz w:val="20"/>
          <w:vertAlign w:val="superscript"/>
          <w:lang w:val="sr-Cyrl-RS" w:eastAsia="ja-JP"/>
        </w:rPr>
        <w:footnoteReference w:id="12"/>
      </w:r>
      <w:r w:rsidRPr="00A37BCE">
        <w:rPr>
          <w:rFonts w:eastAsia="MS PGothic" w:cstheme="minorHAnsi"/>
          <w:color w:val="44546A" w:themeColor="text2"/>
          <w:sz w:val="20"/>
          <w:lang w:val="sr-Cyrl-RS" w:eastAsia="ja-JP"/>
        </w:rPr>
        <w:t>. Од 2014. године део ових расхода је укључен у расходе буџета</w:t>
      </w:r>
      <w:r w:rsidRPr="00A37BCE">
        <w:rPr>
          <w:rFonts w:eastAsia="MS PGothic" w:cstheme="minorHAnsi"/>
          <w:color w:val="44546A" w:themeColor="text2"/>
          <w:sz w:val="20"/>
          <w:vertAlign w:val="superscript"/>
          <w:lang w:val="sr-Cyrl-RS" w:eastAsia="ja-JP"/>
        </w:rPr>
        <w:footnoteReference w:id="13"/>
      </w:r>
      <w:r w:rsidRPr="00A37BCE">
        <w:rPr>
          <w:rFonts w:eastAsia="MS PGothic" w:cstheme="minorHAnsi"/>
          <w:color w:val="44546A" w:themeColor="text2"/>
          <w:sz w:val="20"/>
          <w:lang w:val="sr-Cyrl-RS" w:eastAsia="ja-JP"/>
        </w:rPr>
        <w:t>. Независно од буџетског и рачуноводственог приказа, дуг који уместо главног дужника плаћа држава повећава укупне потребе за задуживањем.</w:t>
      </w:r>
    </w:p>
    <w:p w14:paraId="32A86A63" w14:textId="77777777" w:rsidR="00BA4876" w:rsidRPr="00A37BCE" w:rsidRDefault="00BA4876" w:rsidP="00BA4876">
      <w:pPr>
        <w:spacing w:after="120" w:line="276" w:lineRule="auto"/>
        <w:jc w:val="center"/>
        <w:rPr>
          <w:rFonts w:cstheme="minorHAnsi"/>
          <w:b/>
          <w:color w:val="2F5496" w:themeColor="accent1" w:themeShade="BF"/>
          <w:sz w:val="20"/>
          <w:lang w:val="sr-Cyrl-RS"/>
        </w:rPr>
      </w:pPr>
      <w:r w:rsidRPr="00A37BCE">
        <w:rPr>
          <w:rFonts w:cstheme="minorHAnsi"/>
          <w:b/>
          <w:color w:val="2F5496" w:themeColor="accent1" w:themeShade="BF"/>
          <w:sz w:val="20"/>
          <w:lang w:val="sr-Cyrl-RS"/>
        </w:rPr>
        <w:lastRenderedPageBreak/>
        <w:t>Отплата дуга по основу активираних гаранција, млрд динара</w:t>
      </w:r>
      <w:r w:rsidRPr="00A37BCE">
        <w:rPr>
          <w:rFonts w:cstheme="minorHAnsi"/>
          <w:b/>
          <w:noProof/>
          <w:color w:val="2F5496" w:themeColor="accent1" w:themeShade="BF"/>
          <w:sz w:val="20"/>
        </w:rPr>
        <w:drawing>
          <wp:inline distT="0" distB="0" distL="0" distR="0" wp14:anchorId="16CC9392" wp14:editId="4146070E">
            <wp:extent cx="2743200" cy="177673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arancije.PNG"/>
                    <pic:cNvPicPr/>
                  </pic:nvPicPr>
                  <pic:blipFill>
                    <a:blip r:embed="rId68">
                      <a:extLst>
                        <a:ext uri="{28A0092B-C50C-407E-A947-70E740481C1C}">
                          <a14:useLocalDpi xmlns:a14="http://schemas.microsoft.com/office/drawing/2010/main" val="0"/>
                        </a:ext>
                      </a:extLst>
                    </a:blip>
                    <a:stretch>
                      <a:fillRect/>
                    </a:stretch>
                  </pic:blipFill>
                  <pic:spPr>
                    <a:xfrm>
                      <a:off x="0" y="0"/>
                      <a:ext cx="2743200" cy="1776730"/>
                    </a:xfrm>
                    <a:prstGeom prst="rect">
                      <a:avLst/>
                    </a:prstGeom>
                  </pic:spPr>
                </pic:pic>
              </a:graphicData>
            </a:graphic>
          </wp:inline>
        </w:drawing>
      </w:r>
    </w:p>
    <w:p w14:paraId="02062C43" w14:textId="77777777" w:rsidR="00BA4876" w:rsidRPr="00A37BCE" w:rsidRDefault="00BA4876" w:rsidP="00BA4876">
      <w:pPr>
        <w:spacing w:line="276" w:lineRule="auto"/>
        <w:rPr>
          <w:rFonts w:eastAsia="MS PGothic" w:cstheme="minorHAnsi"/>
          <w:color w:val="44546A" w:themeColor="text2"/>
          <w:sz w:val="20"/>
          <w:lang w:val="sr-Cyrl-RS" w:eastAsia="ja-JP"/>
        </w:rPr>
        <w:sectPr w:rsidR="00BA4876" w:rsidRPr="00A37BCE" w:rsidSect="00BA4876">
          <w:type w:val="continuous"/>
          <w:pgSz w:w="12240" w:h="15840"/>
          <w:pgMar w:top="1440" w:right="1440" w:bottom="1440" w:left="1440" w:header="720" w:footer="720" w:gutter="0"/>
          <w:cols w:num="2" w:space="720"/>
          <w:docGrid w:linePitch="360"/>
          <w15:footnoteColumns w:val="1"/>
        </w:sectPr>
      </w:pPr>
    </w:p>
    <w:p w14:paraId="4DF20671" w14:textId="77777777" w:rsidR="003D2901" w:rsidRPr="00A37BCE" w:rsidRDefault="003D2901">
      <w:pPr>
        <w:rPr>
          <w:rFonts w:eastAsia="Times New Roman" w:cstheme="minorHAnsi"/>
          <w:b/>
          <w:bCs/>
          <w:color w:val="002060"/>
          <w:sz w:val="20"/>
          <w:lang w:val="sr-Cyrl-RS" w:eastAsia="ja-JP"/>
        </w:rPr>
      </w:pPr>
      <w:r w:rsidRPr="00A37BCE">
        <w:rPr>
          <w:rFonts w:eastAsia="Times New Roman" w:cstheme="minorHAnsi"/>
          <w:b/>
          <w:bCs/>
          <w:color w:val="002060"/>
          <w:sz w:val="20"/>
          <w:lang w:val="sr-Cyrl-RS" w:eastAsia="ja-JP"/>
        </w:rPr>
        <w:lastRenderedPageBreak/>
        <w:br w:type="page"/>
      </w:r>
    </w:p>
    <w:p w14:paraId="41DCC714" w14:textId="2E260094" w:rsidR="00BA4876" w:rsidRPr="00A37BCE" w:rsidRDefault="005B01D9" w:rsidP="00BA4876">
      <w:pPr>
        <w:keepNext/>
        <w:spacing w:after="200" w:line="276" w:lineRule="auto"/>
        <w:jc w:val="center"/>
        <w:rPr>
          <w:rFonts w:eastAsia="Times New Roman" w:cstheme="minorHAnsi"/>
          <w:b/>
          <w:bCs/>
          <w:color w:val="002060"/>
          <w:sz w:val="20"/>
          <w:lang w:val="sr-Cyrl-RS" w:eastAsia="ja-JP"/>
        </w:rPr>
      </w:pPr>
      <w:r w:rsidRPr="00A37BCE">
        <w:rPr>
          <w:rFonts w:eastAsia="Times New Roman" w:cstheme="minorHAnsi"/>
          <w:b/>
          <w:bCs/>
          <w:color w:val="002060"/>
          <w:sz w:val="20"/>
          <w:lang w:val="sr-Cyrl-RS" w:eastAsia="ja-JP"/>
        </w:rPr>
        <w:lastRenderedPageBreak/>
        <w:t>Табела 13</w:t>
      </w:r>
      <w:r w:rsidR="00BA4876" w:rsidRPr="00A37BCE">
        <w:rPr>
          <w:rFonts w:eastAsia="Times New Roman" w:cstheme="minorHAnsi"/>
          <w:b/>
          <w:bCs/>
          <w:color w:val="002060"/>
          <w:sz w:val="20"/>
          <w:lang w:val="sr-Cyrl-RS" w:eastAsia="ja-JP"/>
        </w:rPr>
        <w:t>. Укупно плаћене обавезе по основу гаранција по корисницима, млрд динара</w:t>
      </w:r>
    </w:p>
    <w:tbl>
      <w:tblPr>
        <w:tblStyle w:val="ListTable1Light-Accent61"/>
        <w:tblW w:w="5000" w:type="pct"/>
        <w:tblLook w:val="04A0" w:firstRow="1" w:lastRow="0" w:firstColumn="1" w:lastColumn="0" w:noHBand="0" w:noVBand="1"/>
      </w:tblPr>
      <w:tblGrid>
        <w:gridCol w:w="2404"/>
        <w:gridCol w:w="1453"/>
        <w:gridCol w:w="1082"/>
        <w:gridCol w:w="1106"/>
        <w:gridCol w:w="1282"/>
        <w:gridCol w:w="1013"/>
        <w:gridCol w:w="1020"/>
      </w:tblGrid>
      <w:tr w:rsidR="00BA4876" w:rsidRPr="00A37BCE" w14:paraId="4290FE13" w14:textId="77777777" w:rsidTr="00FC57F2">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84" w:type="pct"/>
            <w:tcBorders>
              <w:top w:val="single" w:sz="4" w:space="0" w:color="002060"/>
              <w:bottom w:val="single" w:sz="4" w:space="0" w:color="FFFFFF" w:themeColor="background1"/>
            </w:tcBorders>
            <w:shd w:val="clear" w:color="auto" w:fill="auto"/>
            <w:noWrap/>
            <w:hideMark/>
          </w:tcPr>
          <w:p w14:paraId="4DCE21B5" w14:textId="77777777" w:rsidR="00BA4876" w:rsidRPr="00A37BCE" w:rsidRDefault="00BA4876" w:rsidP="00BA4876">
            <w:pPr>
              <w:spacing w:line="276" w:lineRule="auto"/>
              <w:jc w:val="both"/>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 </w:t>
            </w:r>
          </w:p>
        </w:tc>
        <w:tc>
          <w:tcPr>
            <w:tcW w:w="1945" w:type="pct"/>
            <w:gridSpan w:val="3"/>
            <w:tcBorders>
              <w:top w:val="single" w:sz="4" w:space="0" w:color="002060"/>
              <w:bottom w:val="single" w:sz="4" w:space="0" w:color="002060"/>
            </w:tcBorders>
            <w:shd w:val="clear" w:color="auto" w:fill="auto"/>
            <w:noWrap/>
            <w:hideMark/>
          </w:tcPr>
          <w:p w14:paraId="77F00C9E" w14:textId="77777777" w:rsidR="00BA4876" w:rsidRPr="00A37BCE" w:rsidRDefault="00BA4876" w:rsidP="00BA4876">
            <w:pPr>
              <w:spacing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2017</w:t>
            </w:r>
          </w:p>
        </w:tc>
        <w:tc>
          <w:tcPr>
            <w:tcW w:w="1771" w:type="pct"/>
            <w:gridSpan w:val="3"/>
            <w:tcBorders>
              <w:top w:val="single" w:sz="4" w:space="0" w:color="002060"/>
              <w:bottom w:val="single" w:sz="4" w:space="0" w:color="002060"/>
            </w:tcBorders>
            <w:shd w:val="clear" w:color="auto" w:fill="auto"/>
            <w:noWrap/>
            <w:hideMark/>
          </w:tcPr>
          <w:p w14:paraId="4F2110DE" w14:textId="77777777" w:rsidR="00BA4876" w:rsidRPr="00A37BCE" w:rsidRDefault="00BA4876" w:rsidP="00BA4876">
            <w:pPr>
              <w:spacing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2018 (до 30.9)</w:t>
            </w:r>
          </w:p>
        </w:tc>
      </w:tr>
      <w:tr w:rsidR="00BA4876" w:rsidRPr="00A37BCE" w14:paraId="5DECA93A" w14:textId="77777777" w:rsidTr="00FC57F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84" w:type="pct"/>
            <w:tcBorders>
              <w:top w:val="single" w:sz="4" w:space="0" w:color="FFFFFF" w:themeColor="background1"/>
              <w:bottom w:val="single" w:sz="4" w:space="0" w:color="002060"/>
            </w:tcBorders>
            <w:shd w:val="clear" w:color="auto" w:fill="auto"/>
            <w:noWrap/>
            <w:hideMark/>
          </w:tcPr>
          <w:p w14:paraId="4F6FE82E" w14:textId="77777777" w:rsidR="00BA4876" w:rsidRPr="00A37BCE" w:rsidRDefault="00BA4876" w:rsidP="00BA4876">
            <w:pPr>
              <w:spacing w:line="276" w:lineRule="auto"/>
              <w:jc w:val="center"/>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Корисник</w:t>
            </w:r>
          </w:p>
        </w:tc>
        <w:tc>
          <w:tcPr>
            <w:tcW w:w="776" w:type="pct"/>
            <w:tcBorders>
              <w:top w:val="single" w:sz="4" w:space="0" w:color="002060"/>
              <w:bottom w:val="single" w:sz="4" w:space="0" w:color="002060"/>
            </w:tcBorders>
            <w:shd w:val="clear" w:color="auto" w:fill="auto"/>
            <w:noWrap/>
            <w:hideMark/>
          </w:tcPr>
          <w:p w14:paraId="132B1F48"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2060"/>
                <w:sz w:val="18"/>
                <w:szCs w:val="18"/>
                <w:lang w:val="sr-Cyrl-RS"/>
              </w:rPr>
            </w:pPr>
            <w:r w:rsidRPr="00A37BCE">
              <w:rPr>
                <w:rFonts w:eastAsia="Times New Roman" w:cstheme="minorHAnsi"/>
                <w:bCs/>
                <w:color w:val="002060"/>
                <w:sz w:val="18"/>
                <w:szCs w:val="18"/>
                <w:lang w:val="sr-Cyrl-RS"/>
              </w:rPr>
              <w:t xml:space="preserve">Главница </w:t>
            </w:r>
          </w:p>
        </w:tc>
        <w:tc>
          <w:tcPr>
            <w:tcW w:w="578" w:type="pct"/>
            <w:tcBorders>
              <w:top w:val="single" w:sz="4" w:space="0" w:color="002060"/>
              <w:bottom w:val="single" w:sz="4" w:space="0" w:color="002060"/>
            </w:tcBorders>
            <w:shd w:val="clear" w:color="auto" w:fill="auto"/>
            <w:noWrap/>
            <w:hideMark/>
          </w:tcPr>
          <w:p w14:paraId="785BB637"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2060"/>
                <w:sz w:val="18"/>
                <w:szCs w:val="18"/>
                <w:lang w:val="sr-Cyrl-RS"/>
              </w:rPr>
            </w:pPr>
            <w:r w:rsidRPr="00A37BCE">
              <w:rPr>
                <w:rFonts w:eastAsia="Times New Roman" w:cstheme="minorHAnsi"/>
                <w:bCs/>
                <w:color w:val="002060"/>
                <w:sz w:val="18"/>
                <w:szCs w:val="18"/>
                <w:lang w:val="sr-Cyrl-RS"/>
              </w:rPr>
              <w:t>Камата</w:t>
            </w:r>
          </w:p>
        </w:tc>
        <w:tc>
          <w:tcPr>
            <w:tcW w:w="591" w:type="pct"/>
            <w:tcBorders>
              <w:top w:val="single" w:sz="4" w:space="0" w:color="002060"/>
              <w:bottom w:val="single" w:sz="4" w:space="0" w:color="002060"/>
            </w:tcBorders>
            <w:shd w:val="clear" w:color="auto" w:fill="auto"/>
            <w:noWrap/>
            <w:hideMark/>
          </w:tcPr>
          <w:p w14:paraId="716A4A7F"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2060"/>
                <w:sz w:val="18"/>
                <w:szCs w:val="18"/>
                <w:lang w:val="sr-Cyrl-RS"/>
              </w:rPr>
            </w:pPr>
            <w:r w:rsidRPr="00A37BCE">
              <w:rPr>
                <w:rFonts w:eastAsia="Times New Roman" w:cstheme="minorHAnsi"/>
                <w:bCs/>
                <w:color w:val="002060"/>
                <w:sz w:val="18"/>
                <w:szCs w:val="18"/>
                <w:lang w:val="sr-Cyrl-RS"/>
              </w:rPr>
              <w:t xml:space="preserve">Укупно </w:t>
            </w:r>
          </w:p>
        </w:tc>
        <w:tc>
          <w:tcPr>
            <w:tcW w:w="685" w:type="pct"/>
            <w:tcBorders>
              <w:top w:val="single" w:sz="4" w:space="0" w:color="002060"/>
              <w:bottom w:val="single" w:sz="4" w:space="0" w:color="002060"/>
            </w:tcBorders>
            <w:shd w:val="clear" w:color="auto" w:fill="auto"/>
            <w:noWrap/>
            <w:hideMark/>
          </w:tcPr>
          <w:p w14:paraId="15B8E758"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2060"/>
                <w:sz w:val="18"/>
                <w:szCs w:val="18"/>
                <w:lang w:val="sr-Cyrl-RS"/>
              </w:rPr>
            </w:pPr>
            <w:r w:rsidRPr="00A37BCE">
              <w:rPr>
                <w:rFonts w:eastAsia="Times New Roman" w:cstheme="minorHAnsi"/>
                <w:bCs/>
                <w:color w:val="002060"/>
                <w:sz w:val="18"/>
                <w:szCs w:val="18"/>
                <w:lang w:val="sr-Cyrl-RS"/>
              </w:rPr>
              <w:t xml:space="preserve">Главница </w:t>
            </w:r>
          </w:p>
        </w:tc>
        <w:tc>
          <w:tcPr>
            <w:tcW w:w="541" w:type="pct"/>
            <w:tcBorders>
              <w:top w:val="single" w:sz="4" w:space="0" w:color="002060"/>
              <w:bottom w:val="single" w:sz="4" w:space="0" w:color="002060"/>
            </w:tcBorders>
            <w:shd w:val="clear" w:color="auto" w:fill="auto"/>
            <w:noWrap/>
            <w:hideMark/>
          </w:tcPr>
          <w:p w14:paraId="718FE286"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2060"/>
                <w:sz w:val="18"/>
                <w:szCs w:val="18"/>
                <w:lang w:val="sr-Cyrl-RS"/>
              </w:rPr>
            </w:pPr>
            <w:r w:rsidRPr="00A37BCE">
              <w:rPr>
                <w:rFonts w:eastAsia="Times New Roman" w:cstheme="minorHAnsi"/>
                <w:bCs/>
                <w:color w:val="002060"/>
                <w:sz w:val="18"/>
                <w:szCs w:val="18"/>
                <w:lang w:val="sr-Cyrl-RS"/>
              </w:rPr>
              <w:t>Камата</w:t>
            </w:r>
          </w:p>
        </w:tc>
        <w:tc>
          <w:tcPr>
            <w:tcW w:w="545" w:type="pct"/>
            <w:tcBorders>
              <w:top w:val="single" w:sz="4" w:space="0" w:color="002060"/>
              <w:bottom w:val="single" w:sz="4" w:space="0" w:color="002060"/>
            </w:tcBorders>
            <w:shd w:val="clear" w:color="auto" w:fill="auto"/>
            <w:noWrap/>
            <w:hideMark/>
          </w:tcPr>
          <w:p w14:paraId="37F21A6D"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2060"/>
                <w:sz w:val="18"/>
                <w:szCs w:val="18"/>
                <w:lang w:val="sr-Cyrl-RS"/>
              </w:rPr>
            </w:pPr>
            <w:r w:rsidRPr="00A37BCE">
              <w:rPr>
                <w:rFonts w:eastAsia="Times New Roman" w:cstheme="minorHAnsi"/>
                <w:bCs/>
                <w:color w:val="002060"/>
                <w:sz w:val="18"/>
                <w:szCs w:val="18"/>
                <w:lang w:val="sr-Cyrl-RS"/>
              </w:rPr>
              <w:t xml:space="preserve">Укупно </w:t>
            </w:r>
          </w:p>
        </w:tc>
      </w:tr>
      <w:tr w:rsidR="00BA4876" w:rsidRPr="00A37BCE" w14:paraId="3DC026D6" w14:textId="77777777" w:rsidTr="00FC57F2">
        <w:trPr>
          <w:trHeight w:val="20"/>
        </w:trPr>
        <w:tc>
          <w:tcPr>
            <w:cnfStyle w:val="001000000000" w:firstRow="0" w:lastRow="0" w:firstColumn="1" w:lastColumn="0" w:oddVBand="0" w:evenVBand="0" w:oddHBand="0" w:evenHBand="0" w:firstRowFirstColumn="0" w:firstRowLastColumn="0" w:lastRowFirstColumn="0" w:lastRowLastColumn="0"/>
            <w:tcW w:w="1284" w:type="pct"/>
            <w:tcBorders>
              <w:top w:val="single" w:sz="4" w:space="0" w:color="002060"/>
            </w:tcBorders>
            <w:shd w:val="clear" w:color="auto" w:fill="auto"/>
            <w:noWrap/>
            <w:hideMark/>
          </w:tcPr>
          <w:p w14:paraId="5B2509E8" w14:textId="77777777" w:rsidR="00BA4876" w:rsidRPr="00A37BCE" w:rsidRDefault="00BA4876" w:rsidP="00BA4876">
            <w:pPr>
              <w:spacing w:line="276" w:lineRule="auto"/>
              <w:jc w:val="both"/>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 xml:space="preserve">ЈП Србијагас </w:t>
            </w:r>
          </w:p>
        </w:tc>
        <w:tc>
          <w:tcPr>
            <w:tcW w:w="776" w:type="pct"/>
            <w:tcBorders>
              <w:top w:val="single" w:sz="4" w:space="0" w:color="002060"/>
            </w:tcBorders>
            <w:shd w:val="clear" w:color="auto" w:fill="auto"/>
            <w:noWrap/>
            <w:hideMark/>
          </w:tcPr>
          <w:p w14:paraId="36FA0271"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21,8</w:t>
            </w:r>
          </w:p>
        </w:tc>
        <w:tc>
          <w:tcPr>
            <w:tcW w:w="578" w:type="pct"/>
            <w:tcBorders>
              <w:top w:val="single" w:sz="4" w:space="0" w:color="002060"/>
            </w:tcBorders>
            <w:shd w:val="clear" w:color="auto" w:fill="auto"/>
            <w:noWrap/>
            <w:hideMark/>
          </w:tcPr>
          <w:p w14:paraId="303C77E0"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0,7</w:t>
            </w:r>
          </w:p>
        </w:tc>
        <w:tc>
          <w:tcPr>
            <w:tcW w:w="591" w:type="pct"/>
            <w:tcBorders>
              <w:top w:val="single" w:sz="4" w:space="0" w:color="002060"/>
            </w:tcBorders>
            <w:shd w:val="clear" w:color="auto" w:fill="auto"/>
            <w:noWrap/>
            <w:hideMark/>
          </w:tcPr>
          <w:p w14:paraId="1ACFA983"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22,5</w:t>
            </w:r>
          </w:p>
        </w:tc>
        <w:tc>
          <w:tcPr>
            <w:tcW w:w="685" w:type="pct"/>
            <w:tcBorders>
              <w:top w:val="single" w:sz="4" w:space="0" w:color="002060"/>
            </w:tcBorders>
            <w:shd w:val="clear" w:color="auto" w:fill="auto"/>
            <w:noWrap/>
            <w:hideMark/>
          </w:tcPr>
          <w:p w14:paraId="2BA6D7F7"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11,1</w:t>
            </w:r>
          </w:p>
        </w:tc>
        <w:tc>
          <w:tcPr>
            <w:tcW w:w="541" w:type="pct"/>
            <w:tcBorders>
              <w:top w:val="single" w:sz="4" w:space="0" w:color="002060"/>
            </w:tcBorders>
            <w:shd w:val="clear" w:color="auto" w:fill="auto"/>
            <w:noWrap/>
            <w:hideMark/>
          </w:tcPr>
          <w:p w14:paraId="3AB7DC3F"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0,2</w:t>
            </w:r>
          </w:p>
        </w:tc>
        <w:tc>
          <w:tcPr>
            <w:tcW w:w="545" w:type="pct"/>
            <w:tcBorders>
              <w:top w:val="single" w:sz="4" w:space="0" w:color="002060"/>
            </w:tcBorders>
            <w:shd w:val="clear" w:color="auto" w:fill="auto"/>
            <w:noWrap/>
            <w:hideMark/>
          </w:tcPr>
          <w:p w14:paraId="3A893B99"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11,3</w:t>
            </w:r>
          </w:p>
        </w:tc>
      </w:tr>
      <w:tr w:rsidR="00BA4876" w:rsidRPr="00A37BCE" w14:paraId="2935B89A" w14:textId="77777777" w:rsidTr="00BA487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84" w:type="pct"/>
            <w:shd w:val="clear" w:color="auto" w:fill="auto"/>
            <w:noWrap/>
            <w:hideMark/>
          </w:tcPr>
          <w:p w14:paraId="0F9EB9CF" w14:textId="77777777" w:rsidR="00BA4876" w:rsidRPr="00A37BCE" w:rsidRDefault="00BA4876" w:rsidP="00BA4876">
            <w:pPr>
              <w:spacing w:line="276" w:lineRule="auto"/>
              <w:jc w:val="both"/>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ЈП Путеви Србије</w:t>
            </w:r>
          </w:p>
        </w:tc>
        <w:tc>
          <w:tcPr>
            <w:tcW w:w="776" w:type="pct"/>
            <w:shd w:val="clear" w:color="auto" w:fill="auto"/>
            <w:noWrap/>
            <w:hideMark/>
          </w:tcPr>
          <w:p w14:paraId="574AFA69"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4,3</w:t>
            </w:r>
          </w:p>
        </w:tc>
        <w:tc>
          <w:tcPr>
            <w:tcW w:w="578" w:type="pct"/>
            <w:shd w:val="clear" w:color="auto" w:fill="auto"/>
            <w:noWrap/>
            <w:hideMark/>
          </w:tcPr>
          <w:p w14:paraId="72758188"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1,6</w:t>
            </w:r>
          </w:p>
        </w:tc>
        <w:tc>
          <w:tcPr>
            <w:tcW w:w="591" w:type="pct"/>
            <w:shd w:val="clear" w:color="auto" w:fill="auto"/>
            <w:noWrap/>
            <w:hideMark/>
          </w:tcPr>
          <w:p w14:paraId="20F7341F"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6,0</w:t>
            </w:r>
          </w:p>
        </w:tc>
        <w:tc>
          <w:tcPr>
            <w:tcW w:w="685" w:type="pct"/>
            <w:shd w:val="clear" w:color="auto" w:fill="auto"/>
            <w:noWrap/>
            <w:hideMark/>
          </w:tcPr>
          <w:p w14:paraId="46974A86"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3,9</w:t>
            </w:r>
          </w:p>
        </w:tc>
        <w:tc>
          <w:tcPr>
            <w:tcW w:w="541" w:type="pct"/>
            <w:shd w:val="clear" w:color="auto" w:fill="auto"/>
            <w:noWrap/>
            <w:hideMark/>
          </w:tcPr>
          <w:p w14:paraId="3512D889"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1,4</w:t>
            </w:r>
          </w:p>
        </w:tc>
        <w:tc>
          <w:tcPr>
            <w:tcW w:w="545" w:type="pct"/>
            <w:shd w:val="clear" w:color="auto" w:fill="auto"/>
            <w:noWrap/>
            <w:hideMark/>
          </w:tcPr>
          <w:p w14:paraId="2F09E227"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5,3</w:t>
            </w:r>
          </w:p>
        </w:tc>
      </w:tr>
      <w:tr w:rsidR="00BA4876" w:rsidRPr="00A37BCE" w14:paraId="41BD03DC" w14:textId="77777777" w:rsidTr="00BA4876">
        <w:trPr>
          <w:trHeight w:val="20"/>
        </w:trPr>
        <w:tc>
          <w:tcPr>
            <w:cnfStyle w:val="001000000000" w:firstRow="0" w:lastRow="0" w:firstColumn="1" w:lastColumn="0" w:oddVBand="0" w:evenVBand="0" w:oddHBand="0" w:evenHBand="0" w:firstRowFirstColumn="0" w:firstRowLastColumn="0" w:lastRowFirstColumn="0" w:lastRowLastColumn="0"/>
            <w:tcW w:w="1284" w:type="pct"/>
            <w:shd w:val="clear" w:color="auto" w:fill="auto"/>
            <w:noWrap/>
            <w:hideMark/>
          </w:tcPr>
          <w:p w14:paraId="0CF7BBE6" w14:textId="01C850FA" w:rsidR="00BA4876" w:rsidRPr="00A37BCE" w:rsidRDefault="00BA4876" w:rsidP="00BA4876">
            <w:pPr>
              <w:spacing w:line="276" w:lineRule="auto"/>
              <w:jc w:val="both"/>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Железнице Србије а.</w:t>
            </w:r>
            <w:r w:rsidR="00956BB3">
              <w:rPr>
                <w:rFonts w:eastAsia="Times New Roman" w:cstheme="minorHAnsi"/>
                <w:b w:val="0"/>
                <w:color w:val="002060"/>
                <w:sz w:val="18"/>
                <w:szCs w:val="18"/>
                <w:lang w:val="sr-Cyrl-RS"/>
              </w:rPr>
              <w:t xml:space="preserve"> </w:t>
            </w:r>
            <w:r w:rsidRPr="00A37BCE">
              <w:rPr>
                <w:rFonts w:eastAsia="Times New Roman" w:cstheme="minorHAnsi"/>
                <w:b w:val="0"/>
                <w:color w:val="002060"/>
                <w:sz w:val="18"/>
                <w:szCs w:val="18"/>
                <w:lang w:val="sr-Cyrl-RS"/>
              </w:rPr>
              <w:t>д.</w:t>
            </w:r>
          </w:p>
        </w:tc>
        <w:tc>
          <w:tcPr>
            <w:tcW w:w="776" w:type="pct"/>
            <w:shd w:val="clear" w:color="auto" w:fill="auto"/>
            <w:noWrap/>
            <w:hideMark/>
          </w:tcPr>
          <w:p w14:paraId="16F012C4"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4,2</w:t>
            </w:r>
          </w:p>
        </w:tc>
        <w:tc>
          <w:tcPr>
            <w:tcW w:w="578" w:type="pct"/>
            <w:shd w:val="clear" w:color="auto" w:fill="auto"/>
            <w:noWrap/>
            <w:hideMark/>
          </w:tcPr>
          <w:p w14:paraId="130CA320"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0,7</w:t>
            </w:r>
          </w:p>
        </w:tc>
        <w:tc>
          <w:tcPr>
            <w:tcW w:w="591" w:type="pct"/>
            <w:shd w:val="clear" w:color="auto" w:fill="auto"/>
            <w:noWrap/>
            <w:hideMark/>
          </w:tcPr>
          <w:p w14:paraId="66DAC5C2"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4,8</w:t>
            </w:r>
          </w:p>
        </w:tc>
        <w:tc>
          <w:tcPr>
            <w:tcW w:w="685" w:type="pct"/>
            <w:shd w:val="clear" w:color="auto" w:fill="auto"/>
            <w:noWrap/>
            <w:hideMark/>
          </w:tcPr>
          <w:p w14:paraId="71E19A16"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3,1</w:t>
            </w:r>
          </w:p>
        </w:tc>
        <w:tc>
          <w:tcPr>
            <w:tcW w:w="541" w:type="pct"/>
            <w:shd w:val="clear" w:color="auto" w:fill="auto"/>
            <w:noWrap/>
            <w:hideMark/>
          </w:tcPr>
          <w:p w14:paraId="76E12C6F"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0,5</w:t>
            </w:r>
          </w:p>
        </w:tc>
        <w:tc>
          <w:tcPr>
            <w:tcW w:w="545" w:type="pct"/>
            <w:shd w:val="clear" w:color="auto" w:fill="auto"/>
            <w:noWrap/>
            <w:hideMark/>
          </w:tcPr>
          <w:p w14:paraId="377294A3"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3,5</w:t>
            </w:r>
          </w:p>
        </w:tc>
      </w:tr>
      <w:tr w:rsidR="00BA4876" w:rsidRPr="00A37BCE" w14:paraId="2E4D3B96" w14:textId="77777777" w:rsidTr="00BA487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84" w:type="pct"/>
            <w:shd w:val="clear" w:color="auto" w:fill="auto"/>
            <w:noWrap/>
            <w:hideMark/>
          </w:tcPr>
          <w:p w14:paraId="0B49F62D" w14:textId="77777777" w:rsidR="00BA4876" w:rsidRPr="00A37BCE" w:rsidRDefault="00BA4876" w:rsidP="00BA4876">
            <w:pPr>
              <w:spacing w:line="276" w:lineRule="auto"/>
              <w:jc w:val="both"/>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ЈАТ</w:t>
            </w:r>
          </w:p>
        </w:tc>
        <w:tc>
          <w:tcPr>
            <w:tcW w:w="776" w:type="pct"/>
            <w:shd w:val="clear" w:color="auto" w:fill="auto"/>
            <w:noWrap/>
            <w:hideMark/>
          </w:tcPr>
          <w:p w14:paraId="2F75DB5D"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1,2</w:t>
            </w:r>
          </w:p>
        </w:tc>
        <w:tc>
          <w:tcPr>
            <w:tcW w:w="578" w:type="pct"/>
            <w:shd w:val="clear" w:color="auto" w:fill="auto"/>
            <w:noWrap/>
            <w:hideMark/>
          </w:tcPr>
          <w:p w14:paraId="576D4F68"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0,6</w:t>
            </w:r>
          </w:p>
        </w:tc>
        <w:tc>
          <w:tcPr>
            <w:tcW w:w="591" w:type="pct"/>
            <w:shd w:val="clear" w:color="auto" w:fill="auto"/>
            <w:noWrap/>
            <w:hideMark/>
          </w:tcPr>
          <w:p w14:paraId="178C33B5"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1,9</w:t>
            </w:r>
          </w:p>
        </w:tc>
        <w:tc>
          <w:tcPr>
            <w:tcW w:w="685" w:type="pct"/>
            <w:shd w:val="clear" w:color="auto" w:fill="auto"/>
            <w:noWrap/>
            <w:hideMark/>
          </w:tcPr>
          <w:p w14:paraId="78A861F2"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0,7</w:t>
            </w:r>
          </w:p>
        </w:tc>
        <w:tc>
          <w:tcPr>
            <w:tcW w:w="541" w:type="pct"/>
            <w:shd w:val="clear" w:color="auto" w:fill="auto"/>
            <w:noWrap/>
            <w:hideMark/>
          </w:tcPr>
          <w:p w14:paraId="6EC26DC8"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0,0</w:t>
            </w:r>
          </w:p>
        </w:tc>
        <w:tc>
          <w:tcPr>
            <w:tcW w:w="545" w:type="pct"/>
            <w:shd w:val="clear" w:color="auto" w:fill="auto"/>
            <w:noWrap/>
            <w:hideMark/>
          </w:tcPr>
          <w:p w14:paraId="33FA8F03"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0,7</w:t>
            </w:r>
          </w:p>
        </w:tc>
      </w:tr>
      <w:tr w:rsidR="00BA4876" w:rsidRPr="00A37BCE" w14:paraId="414598C7" w14:textId="77777777" w:rsidTr="00BA4876">
        <w:trPr>
          <w:trHeight w:val="20"/>
        </w:trPr>
        <w:tc>
          <w:tcPr>
            <w:cnfStyle w:val="001000000000" w:firstRow="0" w:lastRow="0" w:firstColumn="1" w:lastColumn="0" w:oddVBand="0" w:evenVBand="0" w:oddHBand="0" w:evenHBand="0" w:firstRowFirstColumn="0" w:firstRowLastColumn="0" w:lastRowFirstColumn="0" w:lastRowLastColumn="0"/>
            <w:tcW w:w="1284" w:type="pct"/>
            <w:shd w:val="clear" w:color="auto" w:fill="auto"/>
            <w:noWrap/>
            <w:hideMark/>
          </w:tcPr>
          <w:p w14:paraId="63F3A6A2" w14:textId="7CD729CF" w:rsidR="00BA4876" w:rsidRPr="00A37BCE" w:rsidRDefault="00BA4876" w:rsidP="00BA4876">
            <w:pPr>
              <w:spacing w:line="276" w:lineRule="auto"/>
              <w:jc w:val="both"/>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Галеника а.</w:t>
            </w:r>
            <w:r w:rsidR="00956BB3">
              <w:rPr>
                <w:rFonts w:eastAsia="Times New Roman" w:cstheme="minorHAnsi"/>
                <w:b w:val="0"/>
                <w:color w:val="002060"/>
                <w:sz w:val="18"/>
                <w:szCs w:val="18"/>
                <w:lang w:val="sr-Cyrl-RS"/>
              </w:rPr>
              <w:t xml:space="preserve"> </w:t>
            </w:r>
            <w:r w:rsidRPr="00A37BCE">
              <w:rPr>
                <w:rFonts w:eastAsia="Times New Roman" w:cstheme="minorHAnsi"/>
                <w:b w:val="0"/>
                <w:color w:val="002060"/>
                <w:sz w:val="18"/>
                <w:szCs w:val="18"/>
                <w:lang w:val="sr-Cyrl-RS"/>
              </w:rPr>
              <w:t>д.</w:t>
            </w:r>
          </w:p>
        </w:tc>
        <w:tc>
          <w:tcPr>
            <w:tcW w:w="776" w:type="pct"/>
            <w:shd w:val="clear" w:color="auto" w:fill="auto"/>
            <w:noWrap/>
            <w:hideMark/>
          </w:tcPr>
          <w:p w14:paraId="154C7716"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1,0</w:t>
            </w:r>
          </w:p>
        </w:tc>
        <w:tc>
          <w:tcPr>
            <w:tcW w:w="578" w:type="pct"/>
            <w:shd w:val="clear" w:color="auto" w:fill="auto"/>
            <w:noWrap/>
            <w:hideMark/>
          </w:tcPr>
          <w:p w14:paraId="31813F7D"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0,6</w:t>
            </w:r>
          </w:p>
        </w:tc>
        <w:tc>
          <w:tcPr>
            <w:tcW w:w="591" w:type="pct"/>
            <w:shd w:val="clear" w:color="auto" w:fill="auto"/>
            <w:noWrap/>
            <w:hideMark/>
          </w:tcPr>
          <w:p w14:paraId="466D769A"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1,6</w:t>
            </w:r>
          </w:p>
        </w:tc>
        <w:tc>
          <w:tcPr>
            <w:tcW w:w="685" w:type="pct"/>
            <w:shd w:val="clear" w:color="auto" w:fill="auto"/>
            <w:noWrap/>
            <w:hideMark/>
          </w:tcPr>
          <w:p w14:paraId="706BC3C4"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0,7</w:t>
            </w:r>
          </w:p>
        </w:tc>
        <w:tc>
          <w:tcPr>
            <w:tcW w:w="541" w:type="pct"/>
            <w:shd w:val="clear" w:color="auto" w:fill="auto"/>
            <w:noWrap/>
            <w:hideMark/>
          </w:tcPr>
          <w:p w14:paraId="71421D87"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0,0</w:t>
            </w:r>
          </w:p>
        </w:tc>
        <w:tc>
          <w:tcPr>
            <w:tcW w:w="545" w:type="pct"/>
            <w:shd w:val="clear" w:color="auto" w:fill="auto"/>
            <w:noWrap/>
            <w:hideMark/>
          </w:tcPr>
          <w:p w14:paraId="1073B078"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0,7</w:t>
            </w:r>
          </w:p>
        </w:tc>
      </w:tr>
      <w:tr w:rsidR="00BA4876" w:rsidRPr="00A37BCE" w14:paraId="35D197BA" w14:textId="77777777" w:rsidTr="00BA487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84" w:type="pct"/>
            <w:shd w:val="clear" w:color="auto" w:fill="auto"/>
            <w:noWrap/>
            <w:hideMark/>
          </w:tcPr>
          <w:p w14:paraId="2602D214" w14:textId="77777777" w:rsidR="00BA4876" w:rsidRPr="00A37BCE" w:rsidRDefault="00BA4876" w:rsidP="00BA4876">
            <w:pPr>
              <w:spacing w:line="276" w:lineRule="auto"/>
              <w:jc w:val="both"/>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Локална самоуправа</w:t>
            </w:r>
          </w:p>
        </w:tc>
        <w:tc>
          <w:tcPr>
            <w:tcW w:w="776" w:type="pct"/>
            <w:shd w:val="clear" w:color="auto" w:fill="auto"/>
            <w:noWrap/>
            <w:hideMark/>
          </w:tcPr>
          <w:p w14:paraId="5541FD31"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0,4</w:t>
            </w:r>
          </w:p>
        </w:tc>
        <w:tc>
          <w:tcPr>
            <w:tcW w:w="578" w:type="pct"/>
            <w:shd w:val="clear" w:color="auto" w:fill="auto"/>
            <w:noWrap/>
            <w:hideMark/>
          </w:tcPr>
          <w:p w14:paraId="5F9B15EB"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0,0</w:t>
            </w:r>
          </w:p>
        </w:tc>
        <w:tc>
          <w:tcPr>
            <w:tcW w:w="591" w:type="pct"/>
            <w:shd w:val="clear" w:color="auto" w:fill="auto"/>
            <w:noWrap/>
            <w:hideMark/>
          </w:tcPr>
          <w:p w14:paraId="5BA4BF65"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0,4</w:t>
            </w:r>
          </w:p>
        </w:tc>
        <w:tc>
          <w:tcPr>
            <w:tcW w:w="685" w:type="pct"/>
            <w:shd w:val="clear" w:color="auto" w:fill="auto"/>
            <w:noWrap/>
            <w:hideMark/>
          </w:tcPr>
          <w:p w14:paraId="5A4F7C87"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0,0</w:t>
            </w:r>
          </w:p>
        </w:tc>
        <w:tc>
          <w:tcPr>
            <w:tcW w:w="541" w:type="pct"/>
            <w:shd w:val="clear" w:color="auto" w:fill="auto"/>
            <w:noWrap/>
            <w:hideMark/>
          </w:tcPr>
          <w:p w14:paraId="36692408"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0,0</w:t>
            </w:r>
          </w:p>
        </w:tc>
        <w:tc>
          <w:tcPr>
            <w:tcW w:w="545" w:type="pct"/>
            <w:shd w:val="clear" w:color="auto" w:fill="auto"/>
            <w:noWrap/>
            <w:hideMark/>
          </w:tcPr>
          <w:p w14:paraId="7A980A57"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0,0</w:t>
            </w:r>
          </w:p>
        </w:tc>
      </w:tr>
      <w:tr w:rsidR="00BA4876" w:rsidRPr="00A37BCE" w14:paraId="45A494CA" w14:textId="77777777" w:rsidTr="00BA4876">
        <w:trPr>
          <w:trHeight w:val="20"/>
        </w:trPr>
        <w:tc>
          <w:tcPr>
            <w:cnfStyle w:val="001000000000" w:firstRow="0" w:lastRow="0" w:firstColumn="1" w:lastColumn="0" w:oddVBand="0" w:evenVBand="0" w:oddHBand="0" w:evenHBand="0" w:firstRowFirstColumn="0" w:firstRowLastColumn="0" w:lastRowFirstColumn="0" w:lastRowLastColumn="0"/>
            <w:tcW w:w="1284" w:type="pct"/>
            <w:shd w:val="clear" w:color="auto" w:fill="auto"/>
            <w:noWrap/>
            <w:hideMark/>
          </w:tcPr>
          <w:p w14:paraId="44B6989B" w14:textId="77777777" w:rsidR="00BA4876" w:rsidRPr="00A37BCE" w:rsidRDefault="00BA4876" w:rsidP="00BA4876">
            <w:pPr>
              <w:spacing w:line="276" w:lineRule="auto"/>
              <w:jc w:val="both"/>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Железара Смедерево</w:t>
            </w:r>
          </w:p>
        </w:tc>
        <w:tc>
          <w:tcPr>
            <w:tcW w:w="776" w:type="pct"/>
            <w:shd w:val="clear" w:color="auto" w:fill="auto"/>
            <w:noWrap/>
            <w:hideMark/>
          </w:tcPr>
          <w:p w14:paraId="2C094A93"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0,4</w:t>
            </w:r>
          </w:p>
        </w:tc>
        <w:tc>
          <w:tcPr>
            <w:tcW w:w="578" w:type="pct"/>
            <w:shd w:val="clear" w:color="auto" w:fill="auto"/>
            <w:noWrap/>
            <w:hideMark/>
          </w:tcPr>
          <w:p w14:paraId="7B7EC230"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0,0</w:t>
            </w:r>
          </w:p>
        </w:tc>
        <w:tc>
          <w:tcPr>
            <w:tcW w:w="591" w:type="pct"/>
            <w:shd w:val="clear" w:color="auto" w:fill="auto"/>
            <w:noWrap/>
            <w:hideMark/>
          </w:tcPr>
          <w:p w14:paraId="48ECB501"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0,4</w:t>
            </w:r>
          </w:p>
        </w:tc>
        <w:tc>
          <w:tcPr>
            <w:tcW w:w="685" w:type="pct"/>
            <w:shd w:val="clear" w:color="auto" w:fill="auto"/>
            <w:noWrap/>
            <w:hideMark/>
          </w:tcPr>
          <w:p w14:paraId="3BE8D416"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0,0</w:t>
            </w:r>
          </w:p>
        </w:tc>
        <w:tc>
          <w:tcPr>
            <w:tcW w:w="541" w:type="pct"/>
            <w:shd w:val="clear" w:color="auto" w:fill="auto"/>
            <w:noWrap/>
            <w:hideMark/>
          </w:tcPr>
          <w:p w14:paraId="6E1D18F8"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0,0</w:t>
            </w:r>
          </w:p>
        </w:tc>
        <w:tc>
          <w:tcPr>
            <w:tcW w:w="545" w:type="pct"/>
            <w:shd w:val="clear" w:color="auto" w:fill="auto"/>
            <w:noWrap/>
            <w:hideMark/>
          </w:tcPr>
          <w:p w14:paraId="6D53DF26"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0,0</w:t>
            </w:r>
          </w:p>
        </w:tc>
      </w:tr>
      <w:tr w:rsidR="00BA4876" w:rsidRPr="00A37BCE" w14:paraId="213FA5B1" w14:textId="77777777" w:rsidTr="00BA487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84" w:type="pct"/>
            <w:shd w:val="clear" w:color="auto" w:fill="auto"/>
            <w:noWrap/>
            <w:hideMark/>
          </w:tcPr>
          <w:p w14:paraId="55ECD715" w14:textId="77777777" w:rsidR="00BA4876" w:rsidRPr="00A37BCE" w:rsidRDefault="00BA4876" w:rsidP="00BA4876">
            <w:pPr>
              <w:spacing w:line="276" w:lineRule="auto"/>
              <w:jc w:val="both"/>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РТБ Бор</w:t>
            </w:r>
          </w:p>
        </w:tc>
        <w:tc>
          <w:tcPr>
            <w:tcW w:w="776" w:type="pct"/>
            <w:shd w:val="clear" w:color="auto" w:fill="auto"/>
            <w:noWrap/>
            <w:hideMark/>
          </w:tcPr>
          <w:p w14:paraId="7A042854"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0,0</w:t>
            </w:r>
          </w:p>
        </w:tc>
        <w:tc>
          <w:tcPr>
            <w:tcW w:w="578" w:type="pct"/>
            <w:shd w:val="clear" w:color="auto" w:fill="auto"/>
            <w:noWrap/>
            <w:hideMark/>
          </w:tcPr>
          <w:p w14:paraId="0C8C0758"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0,0</w:t>
            </w:r>
          </w:p>
        </w:tc>
        <w:tc>
          <w:tcPr>
            <w:tcW w:w="591" w:type="pct"/>
            <w:shd w:val="clear" w:color="auto" w:fill="auto"/>
            <w:noWrap/>
            <w:hideMark/>
          </w:tcPr>
          <w:p w14:paraId="730272F0"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0,0</w:t>
            </w:r>
          </w:p>
        </w:tc>
        <w:tc>
          <w:tcPr>
            <w:tcW w:w="685" w:type="pct"/>
            <w:shd w:val="clear" w:color="auto" w:fill="auto"/>
            <w:noWrap/>
            <w:hideMark/>
          </w:tcPr>
          <w:p w14:paraId="40005554"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0,0</w:t>
            </w:r>
          </w:p>
        </w:tc>
        <w:tc>
          <w:tcPr>
            <w:tcW w:w="541" w:type="pct"/>
            <w:shd w:val="clear" w:color="auto" w:fill="auto"/>
            <w:noWrap/>
            <w:hideMark/>
          </w:tcPr>
          <w:p w14:paraId="67D63FF8"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0,0</w:t>
            </w:r>
          </w:p>
        </w:tc>
        <w:tc>
          <w:tcPr>
            <w:tcW w:w="545" w:type="pct"/>
            <w:shd w:val="clear" w:color="auto" w:fill="auto"/>
            <w:noWrap/>
            <w:hideMark/>
          </w:tcPr>
          <w:p w14:paraId="2160FFBC"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0,0</w:t>
            </w:r>
          </w:p>
        </w:tc>
      </w:tr>
      <w:tr w:rsidR="00BA4876" w:rsidRPr="00A37BCE" w14:paraId="307F87AB" w14:textId="77777777" w:rsidTr="00FC57F2">
        <w:trPr>
          <w:trHeight w:val="20"/>
        </w:trPr>
        <w:tc>
          <w:tcPr>
            <w:cnfStyle w:val="001000000000" w:firstRow="0" w:lastRow="0" w:firstColumn="1" w:lastColumn="0" w:oddVBand="0" w:evenVBand="0" w:oddHBand="0" w:evenHBand="0" w:firstRowFirstColumn="0" w:firstRowLastColumn="0" w:lastRowFirstColumn="0" w:lastRowLastColumn="0"/>
            <w:tcW w:w="1284" w:type="pct"/>
            <w:shd w:val="clear" w:color="auto" w:fill="auto"/>
            <w:noWrap/>
            <w:hideMark/>
          </w:tcPr>
          <w:p w14:paraId="21C43B56" w14:textId="77777777" w:rsidR="00BA4876" w:rsidRPr="00A37BCE" w:rsidRDefault="00BA4876" w:rsidP="00BA4876">
            <w:pPr>
              <w:spacing w:line="276" w:lineRule="auto"/>
              <w:jc w:val="both"/>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Други корисници</w:t>
            </w:r>
          </w:p>
        </w:tc>
        <w:tc>
          <w:tcPr>
            <w:tcW w:w="776" w:type="pct"/>
            <w:shd w:val="clear" w:color="auto" w:fill="auto"/>
            <w:noWrap/>
            <w:hideMark/>
          </w:tcPr>
          <w:p w14:paraId="00252963"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0,1</w:t>
            </w:r>
          </w:p>
        </w:tc>
        <w:tc>
          <w:tcPr>
            <w:tcW w:w="578" w:type="pct"/>
            <w:shd w:val="clear" w:color="auto" w:fill="auto"/>
            <w:noWrap/>
            <w:hideMark/>
          </w:tcPr>
          <w:p w14:paraId="2CB177F5"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0,0</w:t>
            </w:r>
          </w:p>
        </w:tc>
        <w:tc>
          <w:tcPr>
            <w:tcW w:w="591" w:type="pct"/>
            <w:shd w:val="clear" w:color="auto" w:fill="auto"/>
            <w:noWrap/>
            <w:hideMark/>
          </w:tcPr>
          <w:p w14:paraId="2F53C64D"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0,1</w:t>
            </w:r>
          </w:p>
        </w:tc>
        <w:tc>
          <w:tcPr>
            <w:tcW w:w="685" w:type="pct"/>
            <w:shd w:val="clear" w:color="auto" w:fill="auto"/>
            <w:noWrap/>
            <w:hideMark/>
          </w:tcPr>
          <w:p w14:paraId="3BEB4719"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0,1</w:t>
            </w:r>
          </w:p>
        </w:tc>
        <w:tc>
          <w:tcPr>
            <w:tcW w:w="541" w:type="pct"/>
            <w:shd w:val="clear" w:color="auto" w:fill="auto"/>
            <w:noWrap/>
            <w:hideMark/>
          </w:tcPr>
          <w:p w14:paraId="4C135CBA"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0,0</w:t>
            </w:r>
          </w:p>
        </w:tc>
        <w:tc>
          <w:tcPr>
            <w:tcW w:w="545" w:type="pct"/>
            <w:shd w:val="clear" w:color="auto" w:fill="auto"/>
            <w:noWrap/>
            <w:hideMark/>
          </w:tcPr>
          <w:p w14:paraId="1DD932D3"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A37BCE">
              <w:rPr>
                <w:rFonts w:eastAsia="Times New Roman" w:cstheme="minorHAnsi"/>
                <w:color w:val="002060"/>
                <w:sz w:val="18"/>
                <w:szCs w:val="18"/>
                <w:lang w:val="sr-Cyrl-RS"/>
              </w:rPr>
              <w:t>0,1</w:t>
            </w:r>
          </w:p>
        </w:tc>
      </w:tr>
      <w:tr w:rsidR="00BA4876" w:rsidRPr="00A37BCE" w14:paraId="4D4EEA0B" w14:textId="77777777" w:rsidTr="00FC57F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84" w:type="pct"/>
            <w:tcBorders>
              <w:bottom w:val="single" w:sz="4" w:space="0" w:color="002060"/>
            </w:tcBorders>
            <w:shd w:val="clear" w:color="auto" w:fill="auto"/>
            <w:noWrap/>
            <w:hideMark/>
          </w:tcPr>
          <w:p w14:paraId="27847BBF" w14:textId="77777777" w:rsidR="00BA4876" w:rsidRPr="00A37BCE" w:rsidRDefault="00BA4876" w:rsidP="00BA4876">
            <w:pPr>
              <w:spacing w:line="276" w:lineRule="auto"/>
              <w:jc w:val="both"/>
              <w:rPr>
                <w:rFonts w:eastAsia="Times New Roman" w:cstheme="minorHAnsi"/>
                <w:b w:val="0"/>
                <w:color w:val="002060"/>
                <w:sz w:val="18"/>
                <w:szCs w:val="18"/>
                <w:lang w:val="sr-Cyrl-RS"/>
              </w:rPr>
            </w:pPr>
            <w:r w:rsidRPr="00A37BCE">
              <w:rPr>
                <w:rFonts w:eastAsia="Times New Roman" w:cstheme="minorHAnsi"/>
                <w:b w:val="0"/>
                <w:color w:val="002060"/>
                <w:sz w:val="18"/>
                <w:szCs w:val="18"/>
                <w:lang w:val="sr-Cyrl-RS"/>
              </w:rPr>
              <w:t>УКУПНО</w:t>
            </w:r>
          </w:p>
        </w:tc>
        <w:tc>
          <w:tcPr>
            <w:tcW w:w="776" w:type="pct"/>
            <w:tcBorders>
              <w:bottom w:val="single" w:sz="4" w:space="0" w:color="002060"/>
            </w:tcBorders>
            <w:shd w:val="clear" w:color="auto" w:fill="auto"/>
            <w:noWrap/>
            <w:hideMark/>
          </w:tcPr>
          <w:p w14:paraId="208C12F3"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2060"/>
                <w:sz w:val="18"/>
                <w:szCs w:val="18"/>
                <w:lang w:val="sr-Cyrl-RS"/>
              </w:rPr>
            </w:pPr>
            <w:r w:rsidRPr="00A37BCE">
              <w:rPr>
                <w:rFonts w:eastAsia="Times New Roman" w:cstheme="minorHAnsi"/>
                <w:bCs/>
                <w:color w:val="002060"/>
                <w:sz w:val="18"/>
                <w:szCs w:val="18"/>
                <w:lang w:val="sr-Cyrl-RS"/>
              </w:rPr>
              <w:t>33,5</w:t>
            </w:r>
          </w:p>
        </w:tc>
        <w:tc>
          <w:tcPr>
            <w:tcW w:w="578" w:type="pct"/>
            <w:tcBorders>
              <w:bottom w:val="single" w:sz="4" w:space="0" w:color="002060"/>
            </w:tcBorders>
            <w:shd w:val="clear" w:color="auto" w:fill="auto"/>
            <w:noWrap/>
            <w:hideMark/>
          </w:tcPr>
          <w:p w14:paraId="38BFAF79"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2060"/>
                <w:sz w:val="18"/>
                <w:szCs w:val="18"/>
                <w:lang w:val="sr-Cyrl-RS"/>
              </w:rPr>
            </w:pPr>
            <w:r w:rsidRPr="00A37BCE">
              <w:rPr>
                <w:rFonts w:eastAsia="Times New Roman" w:cstheme="minorHAnsi"/>
                <w:bCs/>
                <w:color w:val="002060"/>
                <w:sz w:val="18"/>
                <w:szCs w:val="18"/>
                <w:lang w:val="sr-Cyrl-RS"/>
              </w:rPr>
              <w:t>4,2</w:t>
            </w:r>
          </w:p>
        </w:tc>
        <w:tc>
          <w:tcPr>
            <w:tcW w:w="591" w:type="pct"/>
            <w:tcBorders>
              <w:bottom w:val="single" w:sz="4" w:space="0" w:color="002060"/>
            </w:tcBorders>
            <w:shd w:val="clear" w:color="auto" w:fill="auto"/>
            <w:noWrap/>
            <w:hideMark/>
          </w:tcPr>
          <w:p w14:paraId="2CBB7B77"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2060"/>
                <w:sz w:val="18"/>
                <w:szCs w:val="18"/>
                <w:lang w:val="sr-Cyrl-RS"/>
              </w:rPr>
            </w:pPr>
            <w:r w:rsidRPr="00A37BCE">
              <w:rPr>
                <w:rFonts w:eastAsia="Times New Roman" w:cstheme="minorHAnsi"/>
                <w:bCs/>
                <w:color w:val="002060"/>
                <w:sz w:val="18"/>
                <w:szCs w:val="18"/>
                <w:lang w:val="sr-Cyrl-RS"/>
              </w:rPr>
              <w:t>37,7</w:t>
            </w:r>
          </w:p>
        </w:tc>
        <w:tc>
          <w:tcPr>
            <w:tcW w:w="685" w:type="pct"/>
            <w:tcBorders>
              <w:bottom w:val="single" w:sz="4" w:space="0" w:color="002060"/>
            </w:tcBorders>
            <w:shd w:val="clear" w:color="auto" w:fill="auto"/>
            <w:noWrap/>
            <w:hideMark/>
          </w:tcPr>
          <w:p w14:paraId="2F7C5B26"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2060"/>
                <w:sz w:val="18"/>
                <w:szCs w:val="18"/>
                <w:lang w:val="sr-Cyrl-RS"/>
              </w:rPr>
            </w:pPr>
            <w:r w:rsidRPr="00A37BCE">
              <w:rPr>
                <w:rFonts w:eastAsia="Times New Roman" w:cstheme="minorHAnsi"/>
                <w:bCs/>
                <w:color w:val="002060"/>
                <w:sz w:val="18"/>
                <w:szCs w:val="18"/>
                <w:lang w:val="sr-Cyrl-RS"/>
              </w:rPr>
              <w:t>19,5</w:t>
            </w:r>
          </w:p>
        </w:tc>
        <w:tc>
          <w:tcPr>
            <w:tcW w:w="541" w:type="pct"/>
            <w:tcBorders>
              <w:bottom w:val="single" w:sz="4" w:space="0" w:color="002060"/>
            </w:tcBorders>
            <w:shd w:val="clear" w:color="auto" w:fill="auto"/>
            <w:noWrap/>
            <w:hideMark/>
          </w:tcPr>
          <w:p w14:paraId="50C18F41"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2060"/>
                <w:sz w:val="18"/>
                <w:szCs w:val="18"/>
                <w:lang w:val="sr-Cyrl-RS"/>
              </w:rPr>
            </w:pPr>
            <w:r w:rsidRPr="00A37BCE">
              <w:rPr>
                <w:rFonts w:eastAsia="Times New Roman" w:cstheme="minorHAnsi"/>
                <w:bCs/>
                <w:color w:val="002060"/>
                <w:sz w:val="18"/>
                <w:szCs w:val="18"/>
                <w:lang w:val="sr-Cyrl-RS"/>
              </w:rPr>
              <w:t>2,1</w:t>
            </w:r>
          </w:p>
        </w:tc>
        <w:tc>
          <w:tcPr>
            <w:tcW w:w="545" w:type="pct"/>
            <w:tcBorders>
              <w:bottom w:val="single" w:sz="4" w:space="0" w:color="002060"/>
            </w:tcBorders>
            <w:shd w:val="clear" w:color="auto" w:fill="auto"/>
            <w:noWrap/>
            <w:hideMark/>
          </w:tcPr>
          <w:p w14:paraId="2CA19146"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2060"/>
                <w:sz w:val="18"/>
                <w:szCs w:val="18"/>
                <w:lang w:val="sr-Cyrl-RS"/>
              </w:rPr>
            </w:pPr>
            <w:r w:rsidRPr="00A37BCE">
              <w:rPr>
                <w:rFonts w:eastAsia="Times New Roman" w:cstheme="minorHAnsi"/>
                <w:bCs/>
                <w:color w:val="002060"/>
                <w:sz w:val="18"/>
                <w:szCs w:val="18"/>
                <w:lang w:val="sr-Cyrl-RS"/>
              </w:rPr>
              <w:t>21,6</w:t>
            </w:r>
          </w:p>
        </w:tc>
      </w:tr>
    </w:tbl>
    <w:p w14:paraId="67758A00" w14:textId="77777777" w:rsidR="00BA4876" w:rsidRPr="00A37BCE" w:rsidRDefault="00BA4876" w:rsidP="00BA4876">
      <w:pPr>
        <w:spacing w:after="120" w:line="276" w:lineRule="auto"/>
        <w:jc w:val="both"/>
        <w:rPr>
          <w:rFonts w:cstheme="minorHAnsi"/>
          <w:color w:val="44546A" w:themeColor="text2"/>
          <w:sz w:val="20"/>
          <w:lang w:val="sr-Cyrl-RS"/>
        </w:rPr>
        <w:sectPr w:rsidR="00BA4876" w:rsidRPr="00A37BCE" w:rsidSect="00BA4876">
          <w:type w:val="continuous"/>
          <w:pgSz w:w="12240" w:h="15840"/>
          <w:pgMar w:top="1440" w:right="1440" w:bottom="1440" w:left="1440" w:header="720" w:footer="720" w:gutter="0"/>
          <w:cols w:space="720"/>
          <w:docGrid w:linePitch="360"/>
        </w:sectPr>
      </w:pPr>
      <w:r w:rsidRPr="00A37BCE">
        <w:rPr>
          <w:rFonts w:eastAsia="MS PGothic" w:cstheme="minorHAnsi"/>
          <w:color w:val="44546A" w:themeColor="text2"/>
          <w:sz w:val="16"/>
          <w:lang w:val="sr-Cyrl-RS" w:eastAsia="ja-JP"/>
        </w:rPr>
        <w:t>Извор: Министарство финансија</w:t>
      </w:r>
    </w:p>
    <w:p w14:paraId="529791FB" w14:textId="22BA57BF"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lastRenderedPageBreak/>
        <w:t>Реализација расхода по основу отплате по гаранцијама до краја 2018. године биће на нивоу плана. План отплате по основу гаранција (укупно главница и камата) у буџету за 2018. годину износи 29 млрд динара, од чега се у расходе који утичу на резултат укључује 21 млрд динара за отплату главниц</w:t>
      </w:r>
      <w:r w:rsidR="00A70F3C">
        <w:rPr>
          <w:rFonts w:eastAsia="Calibri" w:cstheme="minorHAnsi"/>
          <w:color w:val="44546A" w:themeColor="text2"/>
          <w:sz w:val="20"/>
          <w:szCs w:val="20"/>
          <w:lang w:val="sr-Cyrl-RS" w:eastAsia="ja-JP"/>
        </w:rPr>
        <w:t>е по гаранцијама.</w:t>
      </w:r>
    </w:p>
    <w:p w14:paraId="1BC81AE2" w14:textId="77777777"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 xml:space="preserve">Растући индиректни дуг, те укључивање дела отплата по основу гаранција у буџетске расходе, и повећање дефицита по том основу, повећали су свест о растућим фискалним ризицима који произилазе по основу издатих гаранција. Стога су предузете активности које ограничавају издавање нових гаранција. Изменама Закона о јавном дугу забрањено је издавање нових гаранција за кредите за потребе ликвидности. Изменама Закона о Фонду за развој Републике Србије онемогућено је даље давање контрагаранција за </w:t>
      </w:r>
      <w:r w:rsidRPr="00A37BCE">
        <w:rPr>
          <w:rFonts w:eastAsia="Calibri" w:cstheme="minorHAnsi"/>
          <w:color w:val="44546A" w:themeColor="text2"/>
          <w:sz w:val="20"/>
          <w:szCs w:val="20"/>
          <w:lang w:val="sr-Cyrl-RS" w:eastAsia="ja-JP"/>
        </w:rPr>
        <w:lastRenderedPageBreak/>
        <w:t>гаранције издате од стране Фонда за развој Републике Србије.</w:t>
      </w:r>
    </w:p>
    <w:p w14:paraId="66BC1BA1" w14:textId="796AB422"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Поред ограничења у издавању државних гаранција кључни корак у смањењу и отклањању фискалних ризика по овом основу је у реформи државних и јавних предузећа, корисника гаранција, како би били способни да отплаћују своје кредите. Већи број предузећа, која су и највећи корисници гаранција, налазе се у процесу реструктурирања, односно спровођења планова реструктурирања урађених у сарадњи са међународ</w:t>
      </w:r>
      <w:r w:rsidR="00A70F3C">
        <w:rPr>
          <w:rFonts w:eastAsia="Calibri" w:cstheme="minorHAnsi"/>
          <w:color w:val="44546A" w:themeColor="text2"/>
          <w:sz w:val="20"/>
          <w:szCs w:val="20"/>
          <w:lang w:val="sr-Cyrl-RS" w:eastAsia="ja-JP"/>
        </w:rPr>
        <w:t>ним финансијским институцијама.</w:t>
      </w:r>
    </w:p>
    <w:p w14:paraId="597CCCEC" w14:textId="18260E13"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Годишњим буџетом за 2018. годину планирано је издавање гаранција највише до 58,6 млрд динара и то за кредите намењене реализац</w:t>
      </w:r>
      <w:r w:rsidR="00A70F3C">
        <w:rPr>
          <w:rFonts w:eastAsia="Calibri" w:cstheme="minorHAnsi"/>
          <w:color w:val="44546A" w:themeColor="text2"/>
          <w:sz w:val="20"/>
          <w:szCs w:val="20"/>
          <w:lang w:val="sr-Cyrl-RS" w:eastAsia="ja-JP"/>
        </w:rPr>
        <w:t>ији инфраструктурних пројеката.</w:t>
      </w:r>
    </w:p>
    <w:p w14:paraId="23CE66FB" w14:textId="77777777" w:rsidR="00BA4876" w:rsidRPr="00A37BCE" w:rsidRDefault="00BA4876" w:rsidP="00BA4876">
      <w:pPr>
        <w:spacing w:after="120" w:line="276" w:lineRule="auto"/>
        <w:jc w:val="both"/>
        <w:rPr>
          <w:rFonts w:eastAsia="MS PGothic" w:cstheme="minorHAnsi"/>
          <w:b/>
          <w:color w:val="44546A" w:themeColor="text2"/>
          <w:sz w:val="20"/>
          <w:lang w:val="sr-Cyrl-RS" w:eastAsia="ja-JP"/>
        </w:rPr>
      </w:pPr>
    </w:p>
    <w:p w14:paraId="40517E94" w14:textId="77777777" w:rsidR="00BA4876" w:rsidRPr="00A37BCE" w:rsidRDefault="00BA4876" w:rsidP="00BA4876">
      <w:pPr>
        <w:spacing w:line="276" w:lineRule="auto"/>
        <w:rPr>
          <w:rFonts w:eastAsia="MS PGothic" w:cstheme="minorHAnsi"/>
          <w:b/>
          <w:color w:val="44546A" w:themeColor="text2"/>
          <w:sz w:val="20"/>
          <w:lang w:val="sr-Cyrl-RS" w:eastAsia="ja-JP"/>
        </w:rPr>
        <w:sectPr w:rsidR="00BA4876" w:rsidRPr="00A37BCE" w:rsidSect="00BA4876">
          <w:type w:val="continuous"/>
          <w:pgSz w:w="12240" w:h="15840"/>
          <w:pgMar w:top="1440" w:right="1440" w:bottom="1440" w:left="1440" w:header="720" w:footer="720" w:gutter="0"/>
          <w:cols w:num="2" w:space="720"/>
          <w:docGrid w:linePitch="360"/>
        </w:sectPr>
      </w:pPr>
    </w:p>
    <w:p w14:paraId="169D601A" w14:textId="77777777" w:rsidR="006B230B" w:rsidRPr="00A37BCE" w:rsidRDefault="006B230B">
      <w:pPr>
        <w:rPr>
          <w:rFonts w:eastAsia="MS PGothic" w:cstheme="minorHAnsi"/>
          <w:b/>
          <w:color w:val="002060"/>
          <w:sz w:val="20"/>
          <w:lang w:val="sr-Cyrl-RS" w:eastAsia="ja-JP"/>
        </w:rPr>
      </w:pPr>
      <w:r w:rsidRPr="00A37BCE">
        <w:rPr>
          <w:rFonts w:eastAsia="MS PGothic" w:cstheme="minorHAnsi"/>
          <w:b/>
          <w:color w:val="002060"/>
          <w:sz w:val="20"/>
          <w:lang w:val="sr-Cyrl-RS" w:eastAsia="ja-JP"/>
        </w:rPr>
        <w:lastRenderedPageBreak/>
        <w:br w:type="page"/>
      </w:r>
    </w:p>
    <w:p w14:paraId="1171D3FA" w14:textId="3A18D2E5" w:rsidR="00BA4876" w:rsidRPr="00A37BCE" w:rsidRDefault="005B01D9" w:rsidP="00BA4876">
      <w:pPr>
        <w:spacing w:after="120" w:line="276" w:lineRule="auto"/>
        <w:contextualSpacing/>
        <w:jc w:val="center"/>
        <w:rPr>
          <w:rFonts w:eastAsia="MS PGothic" w:cstheme="minorHAnsi"/>
          <w:b/>
          <w:color w:val="002060"/>
          <w:sz w:val="20"/>
          <w:lang w:val="sr-Cyrl-RS" w:eastAsia="ja-JP"/>
        </w:rPr>
      </w:pPr>
      <w:r w:rsidRPr="00A37BCE">
        <w:rPr>
          <w:rFonts w:eastAsia="MS PGothic" w:cstheme="minorHAnsi"/>
          <w:b/>
          <w:color w:val="002060"/>
          <w:sz w:val="20"/>
          <w:lang w:val="sr-Cyrl-RS" w:eastAsia="ja-JP"/>
        </w:rPr>
        <w:lastRenderedPageBreak/>
        <w:t>Табела 14</w:t>
      </w:r>
      <w:r w:rsidR="00BA4876" w:rsidRPr="00A37BCE">
        <w:rPr>
          <w:rFonts w:eastAsia="MS PGothic" w:cstheme="minorHAnsi"/>
          <w:b/>
          <w:color w:val="002060"/>
          <w:sz w:val="20"/>
          <w:lang w:val="sr-Cyrl-RS" w:eastAsia="ja-JP"/>
        </w:rPr>
        <w:t>. План издавања гаранција у 2018. години</w:t>
      </w:r>
    </w:p>
    <w:tbl>
      <w:tblPr>
        <w:tblW w:w="5000" w:type="pct"/>
        <w:jc w:val="center"/>
        <w:tblLook w:val="01E0" w:firstRow="1" w:lastRow="1" w:firstColumn="1" w:lastColumn="1" w:noHBand="0" w:noVBand="0"/>
      </w:tblPr>
      <w:tblGrid>
        <w:gridCol w:w="769"/>
        <w:gridCol w:w="3912"/>
        <w:gridCol w:w="1428"/>
        <w:gridCol w:w="1591"/>
        <w:gridCol w:w="1660"/>
      </w:tblGrid>
      <w:tr w:rsidR="00BA4876" w:rsidRPr="00A37BCE" w14:paraId="6F8F4DEE" w14:textId="77777777" w:rsidTr="00BA4876">
        <w:trPr>
          <w:trHeight w:val="20"/>
          <w:tblHeader/>
          <w:jc w:val="center"/>
        </w:trPr>
        <w:tc>
          <w:tcPr>
            <w:tcW w:w="410" w:type="pct"/>
            <w:tcBorders>
              <w:top w:val="single" w:sz="4" w:space="0" w:color="auto"/>
              <w:left w:val="nil"/>
              <w:bottom w:val="single" w:sz="4" w:space="0" w:color="002060"/>
              <w:right w:val="nil"/>
            </w:tcBorders>
            <w:vAlign w:val="center"/>
            <w:hideMark/>
          </w:tcPr>
          <w:p w14:paraId="56DDD9FD" w14:textId="77777777" w:rsidR="00BA4876" w:rsidRPr="00A37BCE" w:rsidRDefault="00BA4876" w:rsidP="00357300">
            <w:pPr>
              <w:spacing w:after="0" w:line="240" w:lineRule="auto"/>
              <w:jc w:val="both"/>
              <w:rPr>
                <w:rFonts w:eastAsia="Times New Roman" w:cstheme="minorHAnsi"/>
                <w:color w:val="002060"/>
                <w:sz w:val="18"/>
                <w:szCs w:val="20"/>
                <w:lang w:val="sr-Cyrl-RS"/>
              </w:rPr>
            </w:pPr>
            <w:r w:rsidRPr="00A37BCE">
              <w:rPr>
                <w:rFonts w:eastAsia="Times New Roman" w:cstheme="minorHAnsi"/>
                <w:color w:val="002060"/>
                <w:sz w:val="18"/>
                <w:szCs w:val="20"/>
                <w:lang w:val="sr-Cyrl-RS"/>
              </w:rPr>
              <w:t>Ред.</w:t>
            </w:r>
          </w:p>
          <w:p w14:paraId="18009348" w14:textId="77777777" w:rsidR="00BA4876" w:rsidRPr="00A37BCE" w:rsidRDefault="00BA4876" w:rsidP="00357300">
            <w:pPr>
              <w:spacing w:after="0" w:line="240" w:lineRule="auto"/>
              <w:jc w:val="both"/>
              <w:rPr>
                <w:rFonts w:eastAsia="Times New Roman" w:cstheme="minorHAnsi"/>
                <w:color w:val="002060"/>
                <w:sz w:val="18"/>
                <w:szCs w:val="20"/>
                <w:lang w:val="sr-Cyrl-RS"/>
              </w:rPr>
            </w:pPr>
            <w:r w:rsidRPr="00A37BCE">
              <w:rPr>
                <w:rFonts w:eastAsia="Times New Roman" w:cstheme="minorHAnsi"/>
                <w:color w:val="002060"/>
                <w:sz w:val="18"/>
                <w:szCs w:val="20"/>
                <w:lang w:val="sr-Cyrl-RS"/>
              </w:rPr>
              <w:t>број</w:t>
            </w:r>
          </w:p>
        </w:tc>
        <w:tc>
          <w:tcPr>
            <w:tcW w:w="2090" w:type="pct"/>
            <w:tcBorders>
              <w:top w:val="single" w:sz="4" w:space="0" w:color="002060"/>
              <w:left w:val="nil"/>
              <w:bottom w:val="single" w:sz="4" w:space="0" w:color="002060"/>
              <w:right w:val="nil"/>
            </w:tcBorders>
            <w:vAlign w:val="center"/>
          </w:tcPr>
          <w:p w14:paraId="691EF8DC" w14:textId="77777777" w:rsidR="00BA4876" w:rsidRPr="00A37BCE" w:rsidRDefault="00BA4876" w:rsidP="00357300">
            <w:pPr>
              <w:spacing w:after="0" w:line="240" w:lineRule="auto"/>
              <w:ind w:right="-108"/>
              <w:jc w:val="both"/>
              <w:rPr>
                <w:rFonts w:eastAsia="Times New Roman" w:cstheme="minorHAnsi"/>
                <w:color w:val="002060"/>
                <w:sz w:val="18"/>
                <w:szCs w:val="20"/>
                <w:lang w:val="sr-Cyrl-RS"/>
              </w:rPr>
            </w:pPr>
            <w:r w:rsidRPr="00A37BCE">
              <w:rPr>
                <w:rFonts w:eastAsia="Times New Roman" w:cstheme="minorHAnsi"/>
                <w:color w:val="002060"/>
                <w:sz w:val="18"/>
                <w:szCs w:val="20"/>
                <w:lang w:val="sr-Cyrl-RS"/>
              </w:rPr>
              <w:t> </w:t>
            </w:r>
          </w:p>
          <w:p w14:paraId="643E099B" w14:textId="77777777" w:rsidR="00BA4876" w:rsidRPr="00A37BCE" w:rsidRDefault="00BA4876" w:rsidP="00357300">
            <w:pPr>
              <w:spacing w:after="0" w:line="240" w:lineRule="auto"/>
              <w:ind w:right="223"/>
              <w:jc w:val="both"/>
              <w:rPr>
                <w:rFonts w:eastAsia="Times New Roman" w:cstheme="minorHAnsi"/>
                <w:color w:val="002060"/>
                <w:sz w:val="18"/>
                <w:szCs w:val="20"/>
                <w:lang w:val="sr-Cyrl-RS"/>
              </w:rPr>
            </w:pPr>
          </w:p>
        </w:tc>
        <w:tc>
          <w:tcPr>
            <w:tcW w:w="763" w:type="pct"/>
            <w:tcBorders>
              <w:top w:val="single" w:sz="4" w:space="0" w:color="002060"/>
              <w:left w:val="nil"/>
              <w:bottom w:val="single" w:sz="4" w:space="0" w:color="002060"/>
              <w:right w:val="nil"/>
            </w:tcBorders>
            <w:vAlign w:val="center"/>
            <w:hideMark/>
          </w:tcPr>
          <w:p w14:paraId="3B03588C" w14:textId="77777777" w:rsidR="00BA4876" w:rsidRPr="00A37BCE" w:rsidRDefault="00BA4876" w:rsidP="00357300">
            <w:pPr>
              <w:spacing w:after="0" w:line="240" w:lineRule="auto"/>
              <w:ind w:right="223"/>
              <w:jc w:val="center"/>
              <w:rPr>
                <w:rFonts w:eastAsia="Times New Roman" w:cstheme="minorHAnsi"/>
                <w:color w:val="002060"/>
                <w:sz w:val="18"/>
                <w:szCs w:val="20"/>
                <w:lang w:val="sr-Cyrl-RS"/>
              </w:rPr>
            </w:pPr>
            <w:r w:rsidRPr="00A37BCE">
              <w:rPr>
                <w:rFonts w:eastAsia="Times New Roman" w:cstheme="minorHAnsi"/>
                <w:color w:val="002060"/>
                <w:sz w:val="18"/>
                <w:szCs w:val="20"/>
                <w:lang w:val="sr-Cyrl-RS"/>
              </w:rPr>
              <w:t xml:space="preserve">Износ </w:t>
            </w:r>
          </w:p>
          <w:p w14:paraId="0A68D984" w14:textId="77777777" w:rsidR="00BA4876" w:rsidRPr="00A37BCE" w:rsidRDefault="00BA4876" w:rsidP="00357300">
            <w:pPr>
              <w:spacing w:after="0" w:line="240" w:lineRule="auto"/>
              <w:ind w:right="223"/>
              <w:jc w:val="center"/>
              <w:rPr>
                <w:rFonts w:eastAsia="Times New Roman" w:cstheme="minorHAnsi"/>
                <w:color w:val="002060"/>
                <w:sz w:val="18"/>
                <w:szCs w:val="20"/>
                <w:lang w:val="sr-Cyrl-RS"/>
              </w:rPr>
            </w:pPr>
            <w:r w:rsidRPr="00A37BCE">
              <w:rPr>
                <w:rFonts w:eastAsia="Times New Roman" w:cstheme="minorHAnsi"/>
                <w:color w:val="002060"/>
                <w:sz w:val="18"/>
                <w:szCs w:val="20"/>
                <w:lang w:val="sr-Cyrl-RS"/>
              </w:rPr>
              <w:t>у динарима</w:t>
            </w:r>
          </w:p>
        </w:tc>
        <w:tc>
          <w:tcPr>
            <w:tcW w:w="850" w:type="pct"/>
            <w:tcBorders>
              <w:top w:val="single" w:sz="4" w:space="0" w:color="002060"/>
              <w:left w:val="nil"/>
              <w:bottom w:val="single" w:sz="4" w:space="0" w:color="002060"/>
              <w:right w:val="nil"/>
            </w:tcBorders>
            <w:vAlign w:val="center"/>
            <w:hideMark/>
          </w:tcPr>
          <w:p w14:paraId="736D4A95" w14:textId="77777777" w:rsidR="00BA4876" w:rsidRPr="00A37BCE" w:rsidRDefault="00BA4876" w:rsidP="00357300">
            <w:pPr>
              <w:spacing w:after="0" w:line="240" w:lineRule="auto"/>
              <w:ind w:right="223"/>
              <w:jc w:val="center"/>
              <w:rPr>
                <w:rFonts w:eastAsia="Times New Roman" w:cstheme="minorHAnsi"/>
                <w:color w:val="002060"/>
                <w:sz w:val="18"/>
                <w:szCs w:val="20"/>
                <w:lang w:val="sr-Cyrl-RS"/>
              </w:rPr>
            </w:pPr>
            <w:r w:rsidRPr="00A37BCE">
              <w:rPr>
                <w:rFonts w:eastAsia="Times New Roman" w:cstheme="minorHAnsi"/>
                <w:color w:val="002060"/>
                <w:sz w:val="18"/>
                <w:szCs w:val="20"/>
                <w:lang w:val="sr-Cyrl-RS"/>
              </w:rPr>
              <w:t>Оригинална</w:t>
            </w:r>
          </w:p>
          <w:p w14:paraId="42D327B8" w14:textId="77777777" w:rsidR="00BA4876" w:rsidRPr="00A37BCE" w:rsidRDefault="00BA4876" w:rsidP="00357300">
            <w:pPr>
              <w:tabs>
                <w:tab w:val="left" w:pos="1572"/>
              </w:tabs>
              <w:spacing w:after="0" w:line="240" w:lineRule="auto"/>
              <w:ind w:right="223"/>
              <w:jc w:val="center"/>
              <w:rPr>
                <w:rFonts w:eastAsia="Times New Roman" w:cstheme="minorHAnsi"/>
                <w:color w:val="002060"/>
                <w:sz w:val="18"/>
                <w:szCs w:val="20"/>
                <w:lang w:val="sr-Cyrl-RS"/>
              </w:rPr>
            </w:pPr>
            <w:r w:rsidRPr="00A37BCE">
              <w:rPr>
                <w:rFonts w:eastAsia="Times New Roman" w:cstheme="minorHAnsi"/>
                <w:color w:val="002060"/>
                <w:sz w:val="18"/>
                <w:szCs w:val="20"/>
                <w:lang w:val="sr-Cyrl-RS"/>
              </w:rPr>
              <w:t>валута</w:t>
            </w:r>
          </w:p>
        </w:tc>
        <w:tc>
          <w:tcPr>
            <w:tcW w:w="887" w:type="pct"/>
            <w:tcBorders>
              <w:top w:val="single" w:sz="4" w:space="0" w:color="002060"/>
              <w:left w:val="nil"/>
              <w:bottom w:val="single" w:sz="4" w:space="0" w:color="002060"/>
              <w:right w:val="nil"/>
            </w:tcBorders>
            <w:vAlign w:val="center"/>
            <w:hideMark/>
          </w:tcPr>
          <w:p w14:paraId="39A7A5C5" w14:textId="77777777" w:rsidR="00BA4876" w:rsidRPr="00A37BCE" w:rsidRDefault="00BA4876" w:rsidP="00357300">
            <w:pPr>
              <w:spacing w:after="0" w:line="240" w:lineRule="auto"/>
              <w:ind w:right="223"/>
              <w:jc w:val="center"/>
              <w:rPr>
                <w:rFonts w:eastAsia="Times New Roman" w:cstheme="minorHAnsi"/>
                <w:color w:val="002060"/>
                <w:sz w:val="18"/>
                <w:szCs w:val="20"/>
                <w:lang w:val="sr-Cyrl-RS"/>
              </w:rPr>
            </w:pPr>
            <w:r w:rsidRPr="00A37BCE">
              <w:rPr>
                <w:rFonts w:eastAsia="Times New Roman" w:cstheme="minorHAnsi"/>
                <w:color w:val="002060"/>
                <w:sz w:val="18"/>
                <w:szCs w:val="20"/>
                <w:lang w:val="sr-Cyrl-RS"/>
              </w:rPr>
              <w:t>Износ у оригиналној валути</w:t>
            </w:r>
          </w:p>
        </w:tc>
      </w:tr>
      <w:tr w:rsidR="00BA4876" w:rsidRPr="00A37BCE" w14:paraId="512274D3" w14:textId="77777777" w:rsidTr="00BA4876">
        <w:trPr>
          <w:trHeight w:val="20"/>
          <w:jc w:val="center"/>
        </w:trPr>
        <w:tc>
          <w:tcPr>
            <w:tcW w:w="410" w:type="pct"/>
            <w:tcBorders>
              <w:top w:val="single" w:sz="4" w:space="0" w:color="002060"/>
            </w:tcBorders>
            <w:shd w:val="clear" w:color="auto" w:fill="E7E6E6" w:themeFill="background2"/>
            <w:vAlign w:val="center"/>
            <w:hideMark/>
          </w:tcPr>
          <w:p w14:paraId="67AD9BB8" w14:textId="77777777" w:rsidR="00BA4876" w:rsidRPr="00A37BCE" w:rsidRDefault="00BA4876" w:rsidP="00357300">
            <w:pPr>
              <w:spacing w:after="0" w:line="240" w:lineRule="auto"/>
              <w:ind w:right="223"/>
              <w:rPr>
                <w:rFonts w:eastAsia="Times New Roman" w:cstheme="minorHAnsi"/>
                <w:color w:val="002060"/>
                <w:sz w:val="18"/>
                <w:szCs w:val="20"/>
                <w:lang w:val="sr-Cyrl-RS"/>
              </w:rPr>
            </w:pPr>
            <w:r w:rsidRPr="00A37BCE">
              <w:rPr>
                <w:rFonts w:eastAsia="Times New Roman" w:cstheme="minorHAnsi"/>
                <w:color w:val="002060"/>
                <w:sz w:val="18"/>
                <w:szCs w:val="20"/>
                <w:lang w:val="sr-Cyrl-RS"/>
              </w:rPr>
              <w:t>I</w:t>
            </w:r>
          </w:p>
        </w:tc>
        <w:tc>
          <w:tcPr>
            <w:tcW w:w="2090" w:type="pct"/>
            <w:tcBorders>
              <w:top w:val="single" w:sz="4" w:space="0" w:color="002060"/>
              <w:left w:val="nil"/>
              <w:right w:val="nil"/>
            </w:tcBorders>
            <w:shd w:val="clear" w:color="auto" w:fill="E7E6E6" w:themeFill="background2"/>
            <w:vAlign w:val="bottom"/>
            <w:hideMark/>
          </w:tcPr>
          <w:p w14:paraId="0A3BD037" w14:textId="40182A6F" w:rsidR="00BA4876" w:rsidRPr="00A37BCE" w:rsidRDefault="0047251C" w:rsidP="00357300">
            <w:pPr>
              <w:spacing w:after="0" w:line="240" w:lineRule="auto"/>
              <w:ind w:right="223"/>
              <w:rPr>
                <w:rFonts w:eastAsia="Times New Roman" w:cstheme="minorHAnsi"/>
                <w:color w:val="002060"/>
                <w:sz w:val="18"/>
                <w:szCs w:val="20"/>
                <w:lang w:val="sr-Cyrl-RS"/>
              </w:rPr>
            </w:pPr>
            <w:r w:rsidRPr="00A37BCE">
              <w:rPr>
                <w:rFonts w:eastAsia="Times New Roman" w:cstheme="minorHAnsi"/>
                <w:color w:val="002060"/>
                <w:sz w:val="18"/>
                <w:szCs w:val="20"/>
                <w:lang w:val="sr-Cyrl-RS"/>
              </w:rPr>
              <w:t>Европској</w:t>
            </w:r>
            <w:r w:rsidR="00BA4876" w:rsidRPr="00A37BCE">
              <w:rPr>
                <w:rFonts w:eastAsia="Times New Roman" w:cstheme="minorHAnsi"/>
                <w:color w:val="002060"/>
                <w:sz w:val="18"/>
                <w:szCs w:val="20"/>
                <w:lang w:val="sr-Cyrl-RS"/>
              </w:rPr>
              <w:t xml:space="preserve"> банци за обнову и развој</w:t>
            </w:r>
          </w:p>
        </w:tc>
        <w:tc>
          <w:tcPr>
            <w:tcW w:w="763" w:type="pct"/>
            <w:tcBorders>
              <w:top w:val="single" w:sz="4" w:space="0" w:color="002060"/>
              <w:left w:val="nil"/>
              <w:right w:val="nil"/>
            </w:tcBorders>
            <w:shd w:val="clear" w:color="auto" w:fill="E7E6E6" w:themeFill="background2"/>
            <w:vAlign w:val="bottom"/>
          </w:tcPr>
          <w:p w14:paraId="33AF96D0" w14:textId="77777777" w:rsidR="00BA4876" w:rsidRPr="00A37BCE" w:rsidRDefault="00BA4876" w:rsidP="00357300">
            <w:pPr>
              <w:tabs>
                <w:tab w:val="left" w:pos="2193"/>
              </w:tabs>
              <w:spacing w:after="0" w:line="240" w:lineRule="auto"/>
              <w:ind w:right="-77"/>
              <w:jc w:val="right"/>
              <w:rPr>
                <w:rFonts w:eastAsia="Times New Roman" w:cstheme="minorHAnsi"/>
                <w:color w:val="002060"/>
                <w:sz w:val="18"/>
                <w:szCs w:val="20"/>
                <w:lang w:val="sr-Cyrl-RS"/>
              </w:rPr>
            </w:pPr>
          </w:p>
        </w:tc>
        <w:tc>
          <w:tcPr>
            <w:tcW w:w="850" w:type="pct"/>
            <w:tcBorders>
              <w:top w:val="single" w:sz="4" w:space="0" w:color="002060"/>
              <w:left w:val="nil"/>
              <w:right w:val="nil"/>
            </w:tcBorders>
            <w:shd w:val="clear" w:color="auto" w:fill="E7E6E6" w:themeFill="background2"/>
            <w:vAlign w:val="bottom"/>
          </w:tcPr>
          <w:p w14:paraId="72397251" w14:textId="77777777" w:rsidR="00BA4876" w:rsidRPr="00A37BCE" w:rsidRDefault="00BA4876" w:rsidP="00357300">
            <w:pPr>
              <w:tabs>
                <w:tab w:val="left" w:pos="852"/>
                <w:tab w:val="left" w:pos="1452"/>
              </w:tabs>
              <w:spacing w:after="0" w:line="240" w:lineRule="auto"/>
              <w:ind w:right="12"/>
              <w:jc w:val="center"/>
              <w:rPr>
                <w:rFonts w:eastAsia="Times New Roman" w:cstheme="minorHAnsi"/>
                <w:color w:val="002060"/>
                <w:sz w:val="18"/>
                <w:szCs w:val="20"/>
                <w:lang w:val="sr-Cyrl-RS"/>
              </w:rPr>
            </w:pPr>
          </w:p>
        </w:tc>
        <w:tc>
          <w:tcPr>
            <w:tcW w:w="887" w:type="pct"/>
            <w:tcBorders>
              <w:top w:val="single" w:sz="4" w:space="0" w:color="002060"/>
              <w:left w:val="nil"/>
              <w:right w:val="nil"/>
            </w:tcBorders>
            <w:shd w:val="clear" w:color="auto" w:fill="E7E6E6" w:themeFill="background2"/>
            <w:vAlign w:val="bottom"/>
          </w:tcPr>
          <w:p w14:paraId="20E37594" w14:textId="77777777" w:rsidR="00BA4876" w:rsidRPr="00A37BCE" w:rsidRDefault="00BA4876" w:rsidP="00357300">
            <w:pPr>
              <w:spacing w:after="0" w:line="240" w:lineRule="auto"/>
              <w:ind w:right="-5"/>
              <w:jc w:val="right"/>
              <w:rPr>
                <w:rFonts w:eastAsia="Times New Roman" w:cstheme="minorHAnsi"/>
                <w:color w:val="002060"/>
                <w:sz w:val="18"/>
                <w:szCs w:val="20"/>
                <w:lang w:val="sr-Cyrl-RS"/>
              </w:rPr>
            </w:pPr>
          </w:p>
        </w:tc>
      </w:tr>
      <w:tr w:rsidR="00BA4876" w:rsidRPr="00A37BCE" w14:paraId="3651269B" w14:textId="77777777" w:rsidTr="00BA4876">
        <w:trPr>
          <w:trHeight w:val="20"/>
          <w:jc w:val="center"/>
        </w:trPr>
        <w:tc>
          <w:tcPr>
            <w:tcW w:w="410" w:type="pct"/>
            <w:hideMark/>
          </w:tcPr>
          <w:p w14:paraId="31E89620" w14:textId="77777777" w:rsidR="00BA4876" w:rsidRPr="00A37BCE" w:rsidRDefault="00BA4876" w:rsidP="00357300">
            <w:pPr>
              <w:spacing w:after="0" w:line="240" w:lineRule="auto"/>
              <w:rPr>
                <w:rFonts w:eastAsia="Times New Roman" w:cstheme="minorHAnsi"/>
                <w:color w:val="002060"/>
                <w:sz w:val="18"/>
                <w:szCs w:val="20"/>
                <w:lang w:val="sr-Cyrl-RS"/>
              </w:rPr>
            </w:pPr>
            <w:r w:rsidRPr="00A37BCE">
              <w:rPr>
                <w:rFonts w:eastAsia="Times New Roman" w:cstheme="minorHAnsi"/>
                <w:color w:val="002060"/>
                <w:sz w:val="18"/>
                <w:szCs w:val="20"/>
                <w:lang w:val="sr-Cyrl-RS"/>
              </w:rPr>
              <w:t>1.</w:t>
            </w:r>
          </w:p>
        </w:tc>
        <w:tc>
          <w:tcPr>
            <w:tcW w:w="2090" w:type="pct"/>
            <w:tcBorders>
              <w:left w:val="nil"/>
              <w:right w:val="nil"/>
            </w:tcBorders>
            <w:hideMark/>
          </w:tcPr>
          <w:p w14:paraId="42D40A70" w14:textId="6CB1D7A4" w:rsidR="00BA4876" w:rsidRPr="00A37BCE" w:rsidRDefault="00BA4876" w:rsidP="00357300">
            <w:pPr>
              <w:spacing w:after="0" w:line="240" w:lineRule="auto"/>
              <w:ind w:right="223"/>
              <w:rPr>
                <w:rFonts w:eastAsia="Times New Roman" w:cstheme="minorHAnsi"/>
                <w:color w:val="002060"/>
                <w:sz w:val="18"/>
                <w:szCs w:val="20"/>
                <w:lang w:val="sr-Cyrl-RS"/>
              </w:rPr>
            </w:pPr>
            <w:r w:rsidRPr="00A37BCE">
              <w:rPr>
                <w:rFonts w:eastAsia="Times New Roman" w:cstheme="minorHAnsi"/>
                <w:color w:val="002060"/>
                <w:sz w:val="18"/>
                <w:szCs w:val="20"/>
                <w:lang w:val="sr-Cyrl-RS"/>
              </w:rPr>
              <w:t>Акционарско друштво за железнички превоз путника ,,Србија Воз”, Београд</w:t>
            </w:r>
            <w:r w:rsidR="00BC4B2A">
              <w:rPr>
                <w:rFonts w:eastAsia="Times New Roman" w:cstheme="minorHAnsi"/>
                <w:color w:val="002060"/>
                <w:sz w:val="18"/>
                <w:szCs w:val="20"/>
                <w:lang w:val="sr-Cyrl-RS"/>
              </w:rPr>
              <w:t xml:space="preserve"> </w:t>
            </w:r>
            <w:r w:rsidRPr="00A37BCE">
              <w:rPr>
                <w:rFonts w:eastAsia="Times New Roman" w:cstheme="minorHAnsi"/>
                <w:color w:val="002060"/>
                <w:sz w:val="18"/>
                <w:szCs w:val="20"/>
                <w:lang w:val="sr-Cyrl-RS"/>
              </w:rPr>
              <w:t>– (Пројекат техничко-путничке станице (ТПС) Земун</w:t>
            </w:r>
            <w:r w:rsidR="008366FA">
              <w:rPr>
                <w:rFonts w:eastAsia="Times New Roman" w:cstheme="minorHAnsi"/>
                <w:color w:val="002060"/>
                <w:sz w:val="18"/>
                <w:szCs w:val="20"/>
                <w:lang w:val="sr-Cyrl-RS"/>
              </w:rPr>
              <w:t xml:space="preserve"> </w:t>
            </w:r>
            <w:r w:rsidR="008366FA" w:rsidRPr="008366FA">
              <w:rPr>
                <w:rFonts w:eastAsia="Times New Roman" w:cstheme="minorHAnsi"/>
                <w:color w:val="002060"/>
                <w:sz w:val="18"/>
                <w:szCs w:val="20"/>
                <w:lang w:val="sr-Cyrl-RS"/>
              </w:rPr>
              <w:t>–</w:t>
            </w:r>
            <w:r w:rsidR="008366FA">
              <w:rPr>
                <w:rFonts w:eastAsia="Times New Roman" w:cstheme="minorHAnsi"/>
                <w:color w:val="002060"/>
                <w:sz w:val="18"/>
                <w:szCs w:val="20"/>
                <w:lang w:val="sr-Cyrl-RS"/>
              </w:rPr>
              <w:t xml:space="preserve"> </w:t>
            </w:r>
            <w:r w:rsidRPr="00A37BCE">
              <w:rPr>
                <w:rFonts w:eastAsia="Times New Roman" w:cstheme="minorHAnsi"/>
                <w:color w:val="002060"/>
                <w:sz w:val="18"/>
                <w:szCs w:val="20"/>
                <w:lang w:val="sr-Cyrl-RS"/>
              </w:rPr>
              <w:t>фаза 1)</w:t>
            </w:r>
          </w:p>
        </w:tc>
        <w:tc>
          <w:tcPr>
            <w:tcW w:w="763" w:type="pct"/>
            <w:tcBorders>
              <w:left w:val="nil"/>
              <w:right w:val="nil"/>
            </w:tcBorders>
            <w:vAlign w:val="bottom"/>
          </w:tcPr>
          <w:p w14:paraId="5BA14919" w14:textId="77777777" w:rsidR="00BA4876" w:rsidRPr="00A37BCE" w:rsidRDefault="00BA4876" w:rsidP="00357300">
            <w:pPr>
              <w:tabs>
                <w:tab w:val="left" w:pos="2193"/>
              </w:tabs>
              <w:spacing w:after="0" w:line="240" w:lineRule="auto"/>
              <w:jc w:val="right"/>
              <w:rPr>
                <w:rFonts w:eastAsia="Times New Roman" w:cstheme="minorHAnsi"/>
                <w:color w:val="002060"/>
                <w:sz w:val="18"/>
                <w:szCs w:val="20"/>
                <w:lang w:val="sr-Cyrl-RS"/>
              </w:rPr>
            </w:pPr>
            <w:r w:rsidRPr="00A37BCE">
              <w:rPr>
                <w:rFonts w:eastAsia="Times New Roman" w:cstheme="minorHAnsi"/>
                <w:color w:val="002060"/>
                <w:sz w:val="18"/>
                <w:szCs w:val="20"/>
                <w:lang w:val="sr-Cyrl-RS"/>
              </w:rPr>
              <w:t>3.651.000.000</w:t>
            </w:r>
          </w:p>
        </w:tc>
        <w:tc>
          <w:tcPr>
            <w:tcW w:w="850" w:type="pct"/>
            <w:tcBorders>
              <w:left w:val="nil"/>
              <w:right w:val="nil"/>
            </w:tcBorders>
            <w:vAlign w:val="bottom"/>
          </w:tcPr>
          <w:p w14:paraId="557E18D3" w14:textId="67E463B5" w:rsidR="00BA4876" w:rsidRPr="00A37BCE" w:rsidRDefault="00BA4876" w:rsidP="008366FA">
            <w:pPr>
              <w:spacing w:after="0" w:line="240" w:lineRule="auto"/>
              <w:jc w:val="center"/>
              <w:rPr>
                <w:rFonts w:eastAsia="Times New Roman" w:cstheme="minorHAnsi"/>
                <w:color w:val="002060"/>
                <w:sz w:val="18"/>
                <w:szCs w:val="20"/>
                <w:lang w:val="sr-Cyrl-RS"/>
              </w:rPr>
            </w:pPr>
            <w:r w:rsidRPr="00A37BCE">
              <w:rPr>
                <w:rFonts w:eastAsia="Times New Roman" w:cstheme="minorHAnsi"/>
                <w:color w:val="002060"/>
                <w:sz w:val="18"/>
                <w:szCs w:val="20"/>
                <w:lang w:val="sr-Cyrl-RS"/>
              </w:rPr>
              <w:t>EUR</w:t>
            </w:r>
          </w:p>
        </w:tc>
        <w:tc>
          <w:tcPr>
            <w:tcW w:w="887" w:type="pct"/>
            <w:tcBorders>
              <w:left w:val="nil"/>
              <w:right w:val="nil"/>
            </w:tcBorders>
            <w:vAlign w:val="bottom"/>
          </w:tcPr>
          <w:p w14:paraId="618B4133" w14:textId="77777777" w:rsidR="00BA4876" w:rsidRPr="00A37BCE" w:rsidRDefault="00BA4876" w:rsidP="00357300">
            <w:pPr>
              <w:spacing w:after="0" w:line="240" w:lineRule="auto"/>
              <w:ind w:right="-5"/>
              <w:jc w:val="right"/>
              <w:rPr>
                <w:rFonts w:eastAsia="Times New Roman" w:cstheme="minorHAnsi"/>
                <w:color w:val="002060"/>
                <w:sz w:val="18"/>
                <w:szCs w:val="20"/>
                <w:lang w:val="sr-Cyrl-RS"/>
              </w:rPr>
            </w:pPr>
            <w:r w:rsidRPr="00A37BCE">
              <w:rPr>
                <w:rFonts w:eastAsia="Times New Roman" w:cstheme="minorHAnsi"/>
                <w:color w:val="002060"/>
                <w:sz w:val="18"/>
                <w:szCs w:val="20"/>
                <w:lang w:val="sr-Cyrl-RS"/>
              </w:rPr>
              <w:t>30.000.000</w:t>
            </w:r>
          </w:p>
        </w:tc>
      </w:tr>
      <w:tr w:rsidR="00BA4876" w:rsidRPr="00A37BCE" w14:paraId="1DF9AB99" w14:textId="77777777" w:rsidTr="00BA4876">
        <w:trPr>
          <w:trHeight w:val="20"/>
          <w:jc w:val="center"/>
        </w:trPr>
        <w:tc>
          <w:tcPr>
            <w:tcW w:w="410" w:type="pct"/>
          </w:tcPr>
          <w:p w14:paraId="6242E36B" w14:textId="77777777" w:rsidR="00BA4876" w:rsidRPr="00A37BCE" w:rsidRDefault="00BA4876" w:rsidP="00357300">
            <w:pPr>
              <w:spacing w:after="0" w:line="240" w:lineRule="auto"/>
              <w:rPr>
                <w:rFonts w:eastAsia="Times New Roman" w:cstheme="minorHAnsi"/>
                <w:color w:val="002060"/>
                <w:sz w:val="18"/>
                <w:szCs w:val="20"/>
                <w:lang w:val="sr-Cyrl-RS"/>
              </w:rPr>
            </w:pPr>
            <w:r w:rsidRPr="00A37BCE">
              <w:rPr>
                <w:rFonts w:eastAsia="Times New Roman" w:cstheme="minorHAnsi"/>
                <w:color w:val="002060"/>
                <w:sz w:val="18"/>
                <w:szCs w:val="20"/>
                <w:lang w:val="sr-Cyrl-RS"/>
              </w:rPr>
              <w:t xml:space="preserve">2. </w:t>
            </w:r>
          </w:p>
        </w:tc>
        <w:tc>
          <w:tcPr>
            <w:tcW w:w="2090" w:type="pct"/>
            <w:tcBorders>
              <w:left w:val="nil"/>
              <w:right w:val="nil"/>
            </w:tcBorders>
          </w:tcPr>
          <w:p w14:paraId="3B1B7B47" w14:textId="07B017B1" w:rsidR="00BA4876" w:rsidRPr="00A37BCE" w:rsidRDefault="00BA4876" w:rsidP="00357300">
            <w:pPr>
              <w:spacing w:after="0" w:line="240" w:lineRule="auto"/>
              <w:ind w:right="223"/>
              <w:rPr>
                <w:rFonts w:eastAsia="Times New Roman" w:cstheme="minorHAnsi"/>
                <w:color w:val="002060"/>
                <w:sz w:val="18"/>
                <w:szCs w:val="20"/>
                <w:lang w:val="sr-Cyrl-RS"/>
              </w:rPr>
            </w:pPr>
            <w:r w:rsidRPr="00A37BCE">
              <w:rPr>
                <w:rFonts w:eastAsia="Times New Roman" w:cstheme="minorHAnsi"/>
                <w:color w:val="002060"/>
                <w:sz w:val="18"/>
                <w:szCs w:val="20"/>
                <w:lang w:val="sr-Cyrl-RS"/>
              </w:rPr>
              <w:t>Акционарско друштво за железнички превоз путника ,,Србија Воз”, Београд</w:t>
            </w:r>
            <w:r w:rsidR="00BC4B2A">
              <w:rPr>
                <w:rFonts w:eastAsia="Times New Roman" w:cstheme="minorHAnsi"/>
                <w:color w:val="002060"/>
                <w:sz w:val="18"/>
                <w:szCs w:val="20"/>
                <w:lang w:val="sr-Cyrl-RS"/>
              </w:rPr>
              <w:t xml:space="preserve"> </w:t>
            </w:r>
            <w:r w:rsidRPr="00A37BCE">
              <w:rPr>
                <w:rFonts w:eastAsia="Times New Roman" w:cstheme="minorHAnsi"/>
                <w:color w:val="002060"/>
                <w:sz w:val="18"/>
                <w:szCs w:val="20"/>
                <w:lang w:val="sr-Cyrl-RS"/>
              </w:rPr>
              <w:t>– (Пројекат техничко-путничке станице (ТПС) Земун</w:t>
            </w:r>
            <w:r w:rsidR="008366FA">
              <w:rPr>
                <w:rFonts w:eastAsia="Times New Roman" w:cstheme="minorHAnsi"/>
                <w:color w:val="002060"/>
                <w:sz w:val="18"/>
                <w:szCs w:val="20"/>
                <w:lang w:val="sr-Cyrl-RS"/>
              </w:rPr>
              <w:t xml:space="preserve"> </w:t>
            </w:r>
            <w:r w:rsidR="008366FA" w:rsidRPr="008366FA">
              <w:rPr>
                <w:rFonts w:eastAsia="Times New Roman" w:cstheme="minorHAnsi"/>
                <w:color w:val="002060"/>
                <w:sz w:val="18"/>
                <w:szCs w:val="20"/>
                <w:lang w:val="sr-Cyrl-RS"/>
              </w:rPr>
              <w:t>–</w:t>
            </w:r>
            <w:r w:rsidR="008366FA">
              <w:rPr>
                <w:rFonts w:eastAsia="Times New Roman" w:cstheme="minorHAnsi"/>
                <w:color w:val="002060"/>
                <w:sz w:val="18"/>
                <w:szCs w:val="20"/>
                <w:lang w:val="sr-Cyrl-RS"/>
              </w:rPr>
              <w:t xml:space="preserve"> </w:t>
            </w:r>
            <w:r w:rsidRPr="00A37BCE">
              <w:rPr>
                <w:rFonts w:eastAsia="Times New Roman" w:cstheme="minorHAnsi"/>
                <w:color w:val="002060"/>
                <w:sz w:val="18"/>
                <w:szCs w:val="20"/>
                <w:lang w:val="sr-Cyrl-RS"/>
              </w:rPr>
              <w:t>фаза 2)</w:t>
            </w:r>
          </w:p>
        </w:tc>
        <w:tc>
          <w:tcPr>
            <w:tcW w:w="763" w:type="pct"/>
            <w:tcBorders>
              <w:left w:val="nil"/>
              <w:right w:val="nil"/>
            </w:tcBorders>
            <w:vAlign w:val="bottom"/>
          </w:tcPr>
          <w:p w14:paraId="285532DA" w14:textId="77777777" w:rsidR="00BA4876" w:rsidRPr="00A37BCE" w:rsidRDefault="00BA4876" w:rsidP="00357300">
            <w:pPr>
              <w:tabs>
                <w:tab w:val="left" w:pos="2193"/>
              </w:tabs>
              <w:spacing w:after="0" w:line="240" w:lineRule="auto"/>
              <w:jc w:val="right"/>
              <w:rPr>
                <w:rFonts w:eastAsia="Times New Roman" w:cstheme="minorHAnsi"/>
                <w:color w:val="002060"/>
                <w:sz w:val="18"/>
                <w:szCs w:val="20"/>
                <w:highlight w:val="yellow"/>
                <w:lang w:val="sr-Cyrl-RS"/>
              </w:rPr>
            </w:pPr>
            <w:r w:rsidRPr="00A37BCE">
              <w:rPr>
                <w:rFonts w:eastAsia="Times New Roman" w:cstheme="minorHAnsi"/>
                <w:color w:val="002060"/>
                <w:sz w:val="18"/>
                <w:szCs w:val="20"/>
                <w:lang w:val="sr-Cyrl-RS"/>
              </w:rPr>
              <w:t>2.677.400.000</w:t>
            </w:r>
          </w:p>
        </w:tc>
        <w:tc>
          <w:tcPr>
            <w:tcW w:w="850" w:type="pct"/>
            <w:tcBorders>
              <w:left w:val="nil"/>
              <w:right w:val="nil"/>
            </w:tcBorders>
            <w:vAlign w:val="bottom"/>
          </w:tcPr>
          <w:p w14:paraId="678CA9CA" w14:textId="3FD1F71D" w:rsidR="00BA4876" w:rsidRPr="00A37BCE" w:rsidRDefault="00BA4876" w:rsidP="008366FA">
            <w:pPr>
              <w:spacing w:after="0" w:line="240" w:lineRule="auto"/>
              <w:jc w:val="center"/>
              <w:rPr>
                <w:rFonts w:eastAsia="Times New Roman" w:cstheme="minorHAnsi"/>
                <w:color w:val="002060"/>
                <w:sz w:val="18"/>
                <w:szCs w:val="20"/>
                <w:lang w:val="sr-Cyrl-RS"/>
              </w:rPr>
            </w:pPr>
            <w:r w:rsidRPr="00A37BCE">
              <w:rPr>
                <w:rFonts w:eastAsia="Times New Roman" w:cstheme="minorHAnsi"/>
                <w:color w:val="002060"/>
                <w:sz w:val="18"/>
                <w:szCs w:val="20"/>
                <w:lang w:val="sr-Cyrl-RS"/>
              </w:rPr>
              <w:t>EUR</w:t>
            </w:r>
          </w:p>
        </w:tc>
        <w:tc>
          <w:tcPr>
            <w:tcW w:w="887" w:type="pct"/>
            <w:tcBorders>
              <w:left w:val="nil"/>
              <w:right w:val="nil"/>
            </w:tcBorders>
            <w:vAlign w:val="bottom"/>
          </w:tcPr>
          <w:p w14:paraId="1A5A86FF" w14:textId="77777777" w:rsidR="00BA4876" w:rsidRPr="00A37BCE" w:rsidRDefault="00BA4876" w:rsidP="00357300">
            <w:pPr>
              <w:spacing w:after="0" w:line="240" w:lineRule="auto"/>
              <w:ind w:right="-5"/>
              <w:jc w:val="right"/>
              <w:rPr>
                <w:rFonts w:eastAsia="Times New Roman" w:cstheme="minorHAnsi"/>
                <w:color w:val="002060"/>
                <w:sz w:val="18"/>
                <w:szCs w:val="20"/>
                <w:lang w:val="sr-Cyrl-RS"/>
              </w:rPr>
            </w:pPr>
            <w:r w:rsidRPr="00A37BCE">
              <w:rPr>
                <w:rFonts w:eastAsia="Times New Roman" w:cstheme="minorHAnsi"/>
                <w:color w:val="002060"/>
                <w:sz w:val="18"/>
                <w:szCs w:val="20"/>
                <w:lang w:val="sr-Cyrl-RS"/>
              </w:rPr>
              <w:t>22.000.000</w:t>
            </w:r>
          </w:p>
        </w:tc>
      </w:tr>
      <w:tr w:rsidR="00BA4876" w:rsidRPr="00A37BCE" w14:paraId="08EEA99E" w14:textId="77777777" w:rsidTr="00BA4876">
        <w:trPr>
          <w:trHeight w:val="20"/>
          <w:jc w:val="center"/>
        </w:trPr>
        <w:tc>
          <w:tcPr>
            <w:tcW w:w="410" w:type="pct"/>
            <w:vAlign w:val="center"/>
            <w:hideMark/>
          </w:tcPr>
          <w:p w14:paraId="0E38C096" w14:textId="77777777" w:rsidR="00BA4876" w:rsidRPr="00A37BCE" w:rsidRDefault="00BA4876" w:rsidP="00357300">
            <w:pPr>
              <w:spacing w:after="0" w:line="240" w:lineRule="auto"/>
              <w:ind w:right="223"/>
              <w:rPr>
                <w:rFonts w:eastAsia="Times New Roman" w:cstheme="minorHAnsi"/>
                <w:color w:val="002060"/>
                <w:sz w:val="18"/>
                <w:szCs w:val="20"/>
                <w:lang w:val="sr-Cyrl-RS"/>
              </w:rPr>
            </w:pPr>
          </w:p>
        </w:tc>
        <w:tc>
          <w:tcPr>
            <w:tcW w:w="2090" w:type="pct"/>
            <w:tcBorders>
              <w:left w:val="nil"/>
              <w:right w:val="nil"/>
            </w:tcBorders>
            <w:vAlign w:val="bottom"/>
            <w:hideMark/>
          </w:tcPr>
          <w:p w14:paraId="3240F038" w14:textId="77777777" w:rsidR="00BA4876" w:rsidRPr="00A37BCE" w:rsidRDefault="00BA4876" w:rsidP="00357300">
            <w:pPr>
              <w:spacing w:after="0" w:line="240" w:lineRule="auto"/>
              <w:ind w:right="223"/>
              <w:rPr>
                <w:rFonts w:eastAsia="Times New Roman" w:cstheme="minorHAnsi"/>
                <w:color w:val="002060"/>
                <w:sz w:val="18"/>
                <w:szCs w:val="20"/>
                <w:lang w:val="sr-Cyrl-RS"/>
              </w:rPr>
            </w:pPr>
            <w:r w:rsidRPr="00A37BCE">
              <w:rPr>
                <w:rFonts w:eastAsia="Times New Roman" w:cstheme="minorHAnsi"/>
                <w:color w:val="002060"/>
                <w:sz w:val="18"/>
                <w:szCs w:val="20"/>
                <w:lang w:val="sr-Cyrl-RS"/>
              </w:rPr>
              <w:t>Укупно:</w:t>
            </w:r>
          </w:p>
        </w:tc>
        <w:tc>
          <w:tcPr>
            <w:tcW w:w="763" w:type="pct"/>
            <w:tcBorders>
              <w:left w:val="nil"/>
              <w:right w:val="nil"/>
            </w:tcBorders>
            <w:vAlign w:val="bottom"/>
          </w:tcPr>
          <w:p w14:paraId="004C50E4" w14:textId="77777777" w:rsidR="00BA4876" w:rsidRPr="00A37BCE" w:rsidRDefault="00BA4876" w:rsidP="008366FA">
            <w:pPr>
              <w:tabs>
                <w:tab w:val="left" w:pos="2193"/>
              </w:tabs>
              <w:spacing w:after="0" w:line="240" w:lineRule="auto"/>
              <w:jc w:val="right"/>
              <w:rPr>
                <w:rFonts w:eastAsia="Times New Roman" w:cstheme="minorHAnsi"/>
                <w:color w:val="002060"/>
                <w:sz w:val="18"/>
                <w:szCs w:val="20"/>
                <w:lang w:val="sr-Cyrl-RS"/>
              </w:rPr>
            </w:pPr>
            <w:r w:rsidRPr="00A37BCE">
              <w:rPr>
                <w:rFonts w:eastAsia="Times New Roman" w:cstheme="minorHAnsi"/>
                <w:color w:val="002060"/>
                <w:sz w:val="18"/>
                <w:szCs w:val="20"/>
                <w:lang w:val="sr-Cyrl-RS"/>
              </w:rPr>
              <w:t xml:space="preserve">        6.328.400.000</w:t>
            </w:r>
          </w:p>
        </w:tc>
        <w:tc>
          <w:tcPr>
            <w:tcW w:w="850" w:type="pct"/>
            <w:tcBorders>
              <w:left w:val="nil"/>
              <w:right w:val="nil"/>
            </w:tcBorders>
            <w:vAlign w:val="bottom"/>
          </w:tcPr>
          <w:p w14:paraId="0AC7E551" w14:textId="7501DDA3" w:rsidR="00BA4876" w:rsidRPr="00A37BCE" w:rsidRDefault="00BA4876" w:rsidP="008366FA">
            <w:pPr>
              <w:spacing w:after="0" w:line="240" w:lineRule="auto"/>
              <w:jc w:val="center"/>
              <w:rPr>
                <w:rFonts w:eastAsia="Times New Roman" w:cstheme="minorHAnsi"/>
                <w:color w:val="002060"/>
                <w:sz w:val="18"/>
                <w:szCs w:val="20"/>
                <w:lang w:val="sr-Cyrl-RS"/>
              </w:rPr>
            </w:pPr>
            <w:r w:rsidRPr="00A37BCE">
              <w:rPr>
                <w:rFonts w:eastAsia="Times New Roman" w:cstheme="minorHAnsi"/>
                <w:color w:val="002060"/>
                <w:sz w:val="18"/>
                <w:szCs w:val="20"/>
                <w:lang w:val="sr-Cyrl-RS"/>
              </w:rPr>
              <w:t>EUR</w:t>
            </w:r>
          </w:p>
        </w:tc>
        <w:tc>
          <w:tcPr>
            <w:tcW w:w="887" w:type="pct"/>
            <w:tcBorders>
              <w:left w:val="nil"/>
              <w:right w:val="nil"/>
            </w:tcBorders>
            <w:vAlign w:val="bottom"/>
          </w:tcPr>
          <w:p w14:paraId="31B50788" w14:textId="77777777" w:rsidR="00BA4876" w:rsidRPr="00A37BCE" w:rsidRDefault="00BA4876" w:rsidP="00357300">
            <w:pPr>
              <w:spacing w:after="0" w:line="240" w:lineRule="auto"/>
              <w:ind w:right="-5"/>
              <w:jc w:val="right"/>
              <w:rPr>
                <w:rFonts w:eastAsia="Times New Roman" w:cstheme="minorHAnsi"/>
                <w:color w:val="002060"/>
                <w:sz w:val="18"/>
                <w:szCs w:val="20"/>
                <w:lang w:val="sr-Cyrl-RS"/>
              </w:rPr>
            </w:pPr>
            <w:r w:rsidRPr="00A37BCE">
              <w:rPr>
                <w:rFonts w:eastAsia="Times New Roman" w:cstheme="minorHAnsi"/>
                <w:color w:val="002060"/>
                <w:sz w:val="18"/>
                <w:szCs w:val="20"/>
                <w:lang w:val="sr-Cyrl-RS"/>
              </w:rPr>
              <w:t>52.000.000</w:t>
            </w:r>
          </w:p>
        </w:tc>
      </w:tr>
      <w:tr w:rsidR="00BA4876" w:rsidRPr="00A37BCE" w14:paraId="2DFFE1A4" w14:textId="77777777" w:rsidTr="00BA4876">
        <w:trPr>
          <w:trHeight w:val="20"/>
          <w:jc w:val="center"/>
        </w:trPr>
        <w:tc>
          <w:tcPr>
            <w:tcW w:w="410" w:type="pct"/>
            <w:shd w:val="clear" w:color="auto" w:fill="E7E6E6" w:themeFill="background2"/>
            <w:vAlign w:val="center"/>
            <w:hideMark/>
          </w:tcPr>
          <w:p w14:paraId="46EDC5FD" w14:textId="77777777" w:rsidR="00BA4876" w:rsidRPr="00A37BCE" w:rsidRDefault="00BA4876" w:rsidP="00357300">
            <w:pPr>
              <w:spacing w:after="0" w:line="240" w:lineRule="auto"/>
              <w:ind w:right="223"/>
              <w:rPr>
                <w:rFonts w:eastAsia="Times New Roman" w:cstheme="minorHAnsi"/>
                <w:color w:val="002060"/>
                <w:sz w:val="18"/>
                <w:szCs w:val="20"/>
                <w:lang w:val="sr-Cyrl-RS"/>
              </w:rPr>
            </w:pPr>
            <w:r w:rsidRPr="00A37BCE">
              <w:rPr>
                <w:rFonts w:eastAsia="Times New Roman" w:cstheme="minorHAnsi"/>
                <w:color w:val="002060"/>
                <w:sz w:val="18"/>
                <w:szCs w:val="20"/>
                <w:lang w:val="sr-Cyrl-RS"/>
              </w:rPr>
              <w:t>II</w:t>
            </w:r>
          </w:p>
        </w:tc>
        <w:tc>
          <w:tcPr>
            <w:tcW w:w="2090" w:type="pct"/>
            <w:tcBorders>
              <w:left w:val="nil"/>
              <w:right w:val="nil"/>
            </w:tcBorders>
            <w:shd w:val="clear" w:color="auto" w:fill="E7E6E6" w:themeFill="background2"/>
            <w:vAlign w:val="bottom"/>
            <w:hideMark/>
          </w:tcPr>
          <w:p w14:paraId="2AD143DB" w14:textId="77777777" w:rsidR="00BA4876" w:rsidRPr="00A37BCE" w:rsidRDefault="00BA4876" w:rsidP="00357300">
            <w:pPr>
              <w:spacing w:after="0" w:line="240" w:lineRule="auto"/>
              <w:ind w:right="223"/>
              <w:rPr>
                <w:rFonts w:eastAsia="Times New Roman" w:cstheme="minorHAnsi"/>
                <w:color w:val="002060"/>
                <w:sz w:val="18"/>
                <w:szCs w:val="20"/>
                <w:lang w:val="sr-Cyrl-RS"/>
              </w:rPr>
            </w:pPr>
            <w:r w:rsidRPr="00A37BCE">
              <w:rPr>
                <w:rFonts w:eastAsia="Times New Roman" w:cstheme="minorHAnsi"/>
                <w:color w:val="002060"/>
                <w:sz w:val="18"/>
                <w:szCs w:val="20"/>
                <w:lang w:val="sr-Cyrl-RS"/>
              </w:rPr>
              <w:t>Немачкој развојној банци (KfW)</w:t>
            </w:r>
          </w:p>
        </w:tc>
        <w:tc>
          <w:tcPr>
            <w:tcW w:w="763" w:type="pct"/>
            <w:tcBorders>
              <w:left w:val="nil"/>
              <w:right w:val="nil"/>
            </w:tcBorders>
            <w:shd w:val="clear" w:color="auto" w:fill="E7E6E6" w:themeFill="background2"/>
            <w:vAlign w:val="bottom"/>
          </w:tcPr>
          <w:p w14:paraId="3924E88C" w14:textId="77777777" w:rsidR="00BA4876" w:rsidRPr="00A37BCE" w:rsidRDefault="00BA4876" w:rsidP="00357300">
            <w:pPr>
              <w:tabs>
                <w:tab w:val="left" w:pos="2193"/>
              </w:tabs>
              <w:spacing w:after="0" w:line="240" w:lineRule="auto"/>
              <w:ind w:right="-77"/>
              <w:jc w:val="right"/>
              <w:rPr>
                <w:rFonts w:eastAsia="Times New Roman" w:cstheme="minorHAnsi"/>
                <w:color w:val="002060"/>
                <w:sz w:val="18"/>
                <w:szCs w:val="20"/>
                <w:lang w:val="sr-Cyrl-RS"/>
              </w:rPr>
            </w:pPr>
          </w:p>
        </w:tc>
        <w:tc>
          <w:tcPr>
            <w:tcW w:w="850" w:type="pct"/>
            <w:tcBorders>
              <w:left w:val="nil"/>
              <w:right w:val="nil"/>
            </w:tcBorders>
            <w:shd w:val="clear" w:color="auto" w:fill="E7E6E6" w:themeFill="background2"/>
            <w:vAlign w:val="bottom"/>
          </w:tcPr>
          <w:p w14:paraId="57FA2158" w14:textId="77777777" w:rsidR="00BA4876" w:rsidRPr="00A37BCE" w:rsidRDefault="00BA4876" w:rsidP="008366FA">
            <w:pPr>
              <w:tabs>
                <w:tab w:val="left" w:pos="852"/>
                <w:tab w:val="left" w:pos="1452"/>
              </w:tabs>
              <w:spacing w:after="0" w:line="240" w:lineRule="auto"/>
              <w:ind w:right="12"/>
              <w:jc w:val="center"/>
              <w:rPr>
                <w:rFonts w:eastAsia="Times New Roman" w:cstheme="minorHAnsi"/>
                <w:color w:val="002060"/>
                <w:sz w:val="18"/>
                <w:szCs w:val="20"/>
                <w:lang w:val="sr-Cyrl-RS"/>
              </w:rPr>
            </w:pPr>
          </w:p>
        </w:tc>
        <w:tc>
          <w:tcPr>
            <w:tcW w:w="887" w:type="pct"/>
            <w:tcBorders>
              <w:left w:val="nil"/>
              <w:right w:val="nil"/>
            </w:tcBorders>
            <w:shd w:val="clear" w:color="auto" w:fill="E7E6E6" w:themeFill="background2"/>
            <w:vAlign w:val="bottom"/>
          </w:tcPr>
          <w:p w14:paraId="31DE08AF" w14:textId="77777777" w:rsidR="00BA4876" w:rsidRPr="00A37BCE" w:rsidRDefault="00BA4876" w:rsidP="00357300">
            <w:pPr>
              <w:spacing w:after="0" w:line="240" w:lineRule="auto"/>
              <w:ind w:right="-5"/>
              <w:jc w:val="right"/>
              <w:rPr>
                <w:rFonts w:eastAsia="Times New Roman" w:cstheme="minorHAnsi"/>
                <w:color w:val="002060"/>
                <w:sz w:val="18"/>
                <w:szCs w:val="20"/>
                <w:lang w:val="sr-Cyrl-RS"/>
              </w:rPr>
            </w:pPr>
          </w:p>
        </w:tc>
      </w:tr>
      <w:tr w:rsidR="00BA4876" w:rsidRPr="00A37BCE" w14:paraId="584B6055" w14:textId="77777777" w:rsidTr="00BA4876">
        <w:trPr>
          <w:trHeight w:val="20"/>
          <w:jc w:val="center"/>
        </w:trPr>
        <w:tc>
          <w:tcPr>
            <w:tcW w:w="410" w:type="pct"/>
            <w:hideMark/>
          </w:tcPr>
          <w:p w14:paraId="4C800FAB" w14:textId="77777777" w:rsidR="00BA4876" w:rsidRPr="00A37BCE" w:rsidRDefault="00BA4876" w:rsidP="00357300">
            <w:pPr>
              <w:spacing w:after="0" w:line="240" w:lineRule="auto"/>
              <w:rPr>
                <w:rFonts w:eastAsia="Times New Roman" w:cstheme="minorHAnsi"/>
                <w:color w:val="002060"/>
                <w:sz w:val="18"/>
                <w:szCs w:val="20"/>
                <w:lang w:val="sr-Cyrl-RS"/>
              </w:rPr>
            </w:pPr>
            <w:r w:rsidRPr="00A37BCE">
              <w:rPr>
                <w:rFonts w:eastAsia="Times New Roman" w:cstheme="minorHAnsi"/>
                <w:color w:val="002060"/>
                <w:sz w:val="18"/>
                <w:szCs w:val="20"/>
                <w:lang w:val="sr-Cyrl-RS"/>
              </w:rPr>
              <w:t>1.</w:t>
            </w:r>
          </w:p>
        </w:tc>
        <w:tc>
          <w:tcPr>
            <w:tcW w:w="2090" w:type="pct"/>
            <w:tcBorders>
              <w:top w:val="nil"/>
              <w:left w:val="nil"/>
              <w:right w:val="nil"/>
            </w:tcBorders>
            <w:hideMark/>
          </w:tcPr>
          <w:p w14:paraId="67E5EAB6" w14:textId="77777777" w:rsidR="00BA4876" w:rsidRPr="00A37BCE" w:rsidRDefault="00BA4876" w:rsidP="00357300">
            <w:pPr>
              <w:spacing w:after="0" w:line="240" w:lineRule="auto"/>
              <w:ind w:right="223"/>
              <w:rPr>
                <w:rFonts w:eastAsia="Times New Roman" w:cstheme="minorHAnsi"/>
                <w:color w:val="002060"/>
                <w:sz w:val="18"/>
                <w:szCs w:val="20"/>
                <w:lang w:val="sr-Cyrl-RS"/>
              </w:rPr>
            </w:pPr>
            <w:r w:rsidRPr="00A37BCE">
              <w:rPr>
                <w:rFonts w:eastAsia="Times New Roman" w:cstheme="minorHAnsi"/>
                <w:color w:val="002060"/>
                <w:sz w:val="18"/>
                <w:szCs w:val="20"/>
                <w:lang w:val="sr-Cyrl-RS"/>
              </w:rPr>
              <w:t>ЈП „Електропривреда Србије” – Програм за обновљиву енергију – Ветропарк Костолац</w:t>
            </w:r>
          </w:p>
        </w:tc>
        <w:tc>
          <w:tcPr>
            <w:tcW w:w="763" w:type="pct"/>
            <w:tcBorders>
              <w:top w:val="nil"/>
              <w:left w:val="nil"/>
              <w:right w:val="nil"/>
            </w:tcBorders>
            <w:vAlign w:val="bottom"/>
            <w:hideMark/>
          </w:tcPr>
          <w:p w14:paraId="7A6A2EEA" w14:textId="77777777" w:rsidR="00BA4876" w:rsidRPr="00A37BCE" w:rsidRDefault="00BA4876" w:rsidP="00357300">
            <w:pPr>
              <w:spacing w:after="0" w:line="240" w:lineRule="auto"/>
              <w:ind w:right="-5"/>
              <w:jc w:val="right"/>
              <w:rPr>
                <w:rFonts w:eastAsia="Times New Roman" w:cstheme="minorHAnsi"/>
                <w:color w:val="002060"/>
                <w:sz w:val="18"/>
                <w:szCs w:val="20"/>
                <w:lang w:val="sr-Cyrl-RS"/>
              </w:rPr>
            </w:pPr>
            <w:r w:rsidRPr="00A37BCE">
              <w:rPr>
                <w:rFonts w:eastAsia="Times New Roman" w:cstheme="minorHAnsi"/>
                <w:color w:val="002060"/>
                <w:sz w:val="18"/>
                <w:szCs w:val="20"/>
                <w:lang w:val="sr-Cyrl-RS"/>
              </w:rPr>
              <w:t>9.736.000.000</w:t>
            </w:r>
          </w:p>
        </w:tc>
        <w:tc>
          <w:tcPr>
            <w:tcW w:w="850" w:type="pct"/>
            <w:tcBorders>
              <w:top w:val="nil"/>
              <w:left w:val="nil"/>
              <w:right w:val="nil"/>
            </w:tcBorders>
            <w:vAlign w:val="bottom"/>
            <w:hideMark/>
          </w:tcPr>
          <w:p w14:paraId="5696CF4D" w14:textId="77777777" w:rsidR="00BA4876" w:rsidRPr="00A37BCE" w:rsidRDefault="00BA4876" w:rsidP="008366FA">
            <w:pPr>
              <w:spacing w:after="0" w:line="240" w:lineRule="auto"/>
              <w:jc w:val="center"/>
              <w:rPr>
                <w:rFonts w:eastAsia="Times New Roman" w:cstheme="minorHAnsi"/>
                <w:color w:val="002060"/>
                <w:sz w:val="18"/>
                <w:szCs w:val="20"/>
                <w:lang w:val="sr-Cyrl-RS"/>
              </w:rPr>
            </w:pPr>
            <w:r w:rsidRPr="00A37BCE">
              <w:rPr>
                <w:rFonts w:eastAsia="Times New Roman" w:cstheme="minorHAnsi"/>
                <w:color w:val="002060"/>
                <w:sz w:val="18"/>
                <w:szCs w:val="20"/>
                <w:lang w:val="sr-Cyrl-RS"/>
              </w:rPr>
              <w:t>EUR</w:t>
            </w:r>
          </w:p>
        </w:tc>
        <w:tc>
          <w:tcPr>
            <w:tcW w:w="887" w:type="pct"/>
            <w:tcBorders>
              <w:top w:val="nil"/>
              <w:left w:val="nil"/>
              <w:right w:val="nil"/>
            </w:tcBorders>
            <w:vAlign w:val="bottom"/>
          </w:tcPr>
          <w:p w14:paraId="729BA665" w14:textId="77777777" w:rsidR="00BA4876" w:rsidRPr="00A37BCE" w:rsidRDefault="00BA4876" w:rsidP="00357300">
            <w:pPr>
              <w:spacing w:after="0" w:line="240" w:lineRule="auto"/>
              <w:ind w:left="-70" w:right="-5"/>
              <w:jc w:val="right"/>
              <w:rPr>
                <w:rFonts w:eastAsia="Times New Roman" w:cstheme="minorHAnsi"/>
                <w:color w:val="002060"/>
                <w:sz w:val="18"/>
                <w:szCs w:val="20"/>
                <w:lang w:val="sr-Cyrl-RS"/>
              </w:rPr>
            </w:pPr>
            <w:r w:rsidRPr="00A37BCE">
              <w:rPr>
                <w:rFonts w:eastAsia="Times New Roman" w:cstheme="minorHAnsi"/>
                <w:color w:val="002060"/>
                <w:sz w:val="18"/>
                <w:szCs w:val="20"/>
                <w:lang w:val="sr-Cyrl-RS"/>
              </w:rPr>
              <w:t>80.000.000</w:t>
            </w:r>
          </w:p>
        </w:tc>
      </w:tr>
      <w:tr w:rsidR="00BA4876" w:rsidRPr="00A37BCE" w14:paraId="09C6C24A" w14:textId="77777777" w:rsidTr="00BA4876">
        <w:trPr>
          <w:trHeight w:val="20"/>
          <w:jc w:val="center"/>
        </w:trPr>
        <w:tc>
          <w:tcPr>
            <w:tcW w:w="410" w:type="pct"/>
          </w:tcPr>
          <w:p w14:paraId="5EBB8F98" w14:textId="77777777" w:rsidR="00BA4876" w:rsidRPr="00A37BCE" w:rsidRDefault="00BA4876" w:rsidP="00357300">
            <w:pPr>
              <w:spacing w:after="0" w:line="240" w:lineRule="auto"/>
              <w:rPr>
                <w:rFonts w:eastAsia="Times New Roman" w:cstheme="minorHAnsi"/>
                <w:color w:val="002060"/>
                <w:sz w:val="18"/>
                <w:szCs w:val="20"/>
                <w:lang w:val="sr-Cyrl-RS"/>
              </w:rPr>
            </w:pPr>
            <w:r w:rsidRPr="00A37BCE">
              <w:rPr>
                <w:rFonts w:eastAsia="Times New Roman" w:cstheme="minorHAnsi"/>
                <w:color w:val="002060"/>
                <w:sz w:val="18"/>
                <w:szCs w:val="20"/>
                <w:lang w:val="sr-Cyrl-RS"/>
              </w:rPr>
              <w:t>2.</w:t>
            </w:r>
          </w:p>
        </w:tc>
        <w:tc>
          <w:tcPr>
            <w:tcW w:w="2090" w:type="pct"/>
            <w:tcBorders>
              <w:top w:val="nil"/>
              <w:left w:val="nil"/>
              <w:right w:val="nil"/>
            </w:tcBorders>
          </w:tcPr>
          <w:p w14:paraId="5C809794" w14:textId="4990872B" w:rsidR="00BA4876" w:rsidRPr="00A37BCE" w:rsidRDefault="00BA4876" w:rsidP="00357300">
            <w:pPr>
              <w:spacing w:after="0" w:line="240" w:lineRule="auto"/>
              <w:ind w:right="223"/>
              <w:rPr>
                <w:rFonts w:eastAsia="Times New Roman" w:cstheme="minorHAnsi"/>
                <w:color w:val="002060"/>
                <w:sz w:val="18"/>
                <w:szCs w:val="20"/>
                <w:lang w:val="sr-Cyrl-RS"/>
              </w:rPr>
            </w:pPr>
            <w:r w:rsidRPr="00BC4B2A">
              <w:rPr>
                <w:rFonts w:eastAsia="Times New Roman" w:cstheme="minorHAnsi"/>
                <w:color w:val="002060"/>
                <w:spacing w:val="-2"/>
                <w:sz w:val="18"/>
                <w:szCs w:val="20"/>
                <w:lang w:val="sr-Cyrl-RS"/>
              </w:rPr>
              <w:t>АД ,,Електромрежа Србије”</w:t>
            </w:r>
            <w:r w:rsidR="00BC4B2A" w:rsidRPr="00BC4B2A">
              <w:rPr>
                <w:rFonts w:eastAsia="Times New Roman" w:cstheme="minorHAnsi"/>
                <w:color w:val="002060"/>
                <w:spacing w:val="-2"/>
                <w:sz w:val="18"/>
                <w:szCs w:val="20"/>
                <w:lang w:val="sr-Cyrl-RS"/>
              </w:rPr>
              <w:t xml:space="preserve"> –</w:t>
            </w:r>
            <w:r w:rsidRPr="00BC4B2A">
              <w:rPr>
                <w:rFonts w:eastAsia="Times New Roman" w:cstheme="minorHAnsi"/>
                <w:color w:val="002060"/>
                <w:spacing w:val="-2"/>
                <w:sz w:val="18"/>
                <w:szCs w:val="20"/>
                <w:lang w:val="sr-Cyrl-RS"/>
              </w:rPr>
              <w:t xml:space="preserve"> Трансбалкански коридор Обреновац</w:t>
            </w:r>
            <w:r w:rsidR="008366FA" w:rsidRPr="00BC4B2A">
              <w:rPr>
                <w:rFonts w:eastAsia="Times New Roman" w:cstheme="minorHAnsi"/>
                <w:color w:val="002060"/>
                <w:spacing w:val="-2"/>
                <w:sz w:val="18"/>
                <w:szCs w:val="20"/>
                <w:lang w:val="sr-Cyrl-RS"/>
              </w:rPr>
              <w:t>–</w:t>
            </w:r>
            <w:r w:rsidR="00BC4B2A">
              <w:rPr>
                <w:rFonts w:eastAsia="Times New Roman" w:cstheme="minorHAnsi"/>
                <w:color w:val="002060"/>
                <w:sz w:val="18"/>
                <w:szCs w:val="20"/>
                <w:lang w:val="sr-Cyrl-RS"/>
              </w:rPr>
              <w:t>Бајина Башта/Бајина Башта</w:t>
            </w:r>
            <w:r w:rsidR="008366FA" w:rsidRPr="00BC4B2A">
              <w:rPr>
                <w:rFonts w:eastAsia="Times New Roman" w:cstheme="minorHAnsi"/>
                <w:color w:val="002060"/>
                <w:spacing w:val="-2"/>
                <w:sz w:val="18"/>
                <w:szCs w:val="20"/>
                <w:lang w:val="sr-Cyrl-RS"/>
              </w:rPr>
              <w:t>–</w:t>
            </w:r>
            <w:r w:rsidRPr="00A37BCE">
              <w:rPr>
                <w:rFonts w:eastAsia="Times New Roman" w:cstheme="minorHAnsi"/>
                <w:color w:val="002060"/>
                <w:sz w:val="18"/>
                <w:szCs w:val="20"/>
                <w:lang w:val="sr-Cyrl-RS"/>
              </w:rPr>
              <w:t>Пљевља (Црна Гора)</w:t>
            </w:r>
            <w:r w:rsidR="008366FA" w:rsidRPr="00BC4B2A">
              <w:rPr>
                <w:rFonts w:eastAsia="Times New Roman" w:cstheme="minorHAnsi"/>
                <w:color w:val="002060"/>
                <w:spacing w:val="-2"/>
                <w:sz w:val="18"/>
                <w:szCs w:val="20"/>
                <w:lang w:val="sr-Cyrl-RS"/>
              </w:rPr>
              <w:t>–</w:t>
            </w:r>
            <w:r w:rsidRPr="00A37BCE">
              <w:rPr>
                <w:rFonts w:eastAsia="Times New Roman" w:cstheme="minorHAnsi"/>
                <w:color w:val="002060"/>
                <w:sz w:val="18"/>
                <w:szCs w:val="20"/>
                <w:lang w:val="sr-Cyrl-RS"/>
              </w:rPr>
              <w:t>Вишеград (Босна и Херцеговина)</w:t>
            </w:r>
          </w:p>
        </w:tc>
        <w:tc>
          <w:tcPr>
            <w:tcW w:w="763" w:type="pct"/>
            <w:tcBorders>
              <w:top w:val="nil"/>
              <w:left w:val="nil"/>
              <w:right w:val="nil"/>
            </w:tcBorders>
            <w:vAlign w:val="bottom"/>
          </w:tcPr>
          <w:p w14:paraId="4C43EF0B" w14:textId="77777777" w:rsidR="00BA4876" w:rsidRPr="00A37BCE" w:rsidRDefault="00BA4876" w:rsidP="00357300">
            <w:pPr>
              <w:spacing w:after="0" w:line="240" w:lineRule="auto"/>
              <w:ind w:right="-5"/>
              <w:jc w:val="right"/>
              <w:rPr>
                <w:rFonts w:eastAsia="Times New Roman" w:cstheme="minorHAnsi"/>
                <w:color w:val="002060"/>
                <w:sz w:val="18"/>
                <w:szCs w:val="20"/>
                <w:lang w:val="sr-Cyrl-RS"/>
              </w:rPr>
            </w:pPr>
            <w:r w:rsidRPr="00A37BCE">
              <w:rPr>
                <w:rFonts w:eastAsia="Times New Roman" w:cstheme="minorHAnsi"/>
                <w:color w:val="002060"/>
                <w:sz w:val="18"/>
                <w:szCs w:val="20"/>
                <w:lang w:val="sr-Cyrl-RS"/>
              </w:rPr>
              <w:t>8.519.000.000</w:t>
            </w:r>
          </w:p>
        </w:tc>
        <w:tc>
          <w:tcPr>
            <w:tcW w:w="850" w:type="pct"/>
            <w:tcBorders>
              <w:top w:val="nil"/>
              <w:left w:val="nil"/>
              <w:right w:val="nil"/>
            </w:tcBorders>
            <w:vAlign w:val="bottom"/>
          </w:tcPr>
          <w:p w14:paraId="65365083" w14:textId="77777777" w:rsidR="00BA4876" w:rsidRPr="00A37BCE" w:rsidRDefault="00BA4876" w:rsidP="008366FA">
            <w:pPr>
              <w:spacing w:after="0" w:line="240" w:lineRule="auto"/>
              <w:jc w:val="center"/>
              <w:rPr>
                <w:rFonts w:eastAsia="Times New Roman" w:cstheme="minorHAnsi"/>
                <w:color w:val="002060"/>
                <w:sz w:val="18"/>
                <w:szCs w:val="20"/>
                <w:lang w:val="sr-Cyrl-RS"/>
              </w:rPr>
            </w:pPr>
            <w:r w:rsidRPr="00A37BCE">
              <w:rPr>
                <w:rFonts w:eastAsia="Times New Roman" w:cstheme="minorHAnsi"/>
                <w:color w:val="002060"/>
                <w:sz w:val="18"/>
                <w:szCs w:val="20"/>
                <w:lang w:val="sr-Cyrl-RS"/>
              </w:rPr>
              <w:t>EUR</w:t>
            </w:r>
          </w:p>
        </w:tc>
        <w:tc>
          <w:tcPr>
            <w:tcW w:w="887" w:type="pct"/>
            <w:tcBorders>
              <w:top w:val="nil"/>
              <w:left w:val="nil"/>
              <w:right w:val="nil"/>
            </w:tcBorders>
            <w:vAlign w:val="bottom"/>
          </w:tcPr>
          <w:p w14:paraId="6FBB916C" w14:textId="77777777" w:rsidR="00BA4876" w:rsidRPr="00A37BCE" w:rsidRDefault="00BA4876" w:rsidP="00357300">
            <w:pPr>
              <w:spacing w:after="0" w:line="240" w:lineRule="auto"/>
              <w:ind w:left="-70" w:right="-5"/>
              <w:jc w:val="right"/>
              <w:rPr>
                <w:rFonts w:eastAsia="Times New Roman" w:cstheme="minorHAnsi"/>
                <w:color w:val="002060"/>
                <w:sz w:val="18"/>
                <w:szCs w:val="20"/>
                <w:lang w:val="sr-Cyrl-RS"/>
              </w:rPr>
            </w:pPr>
            <w:r w:rsidRPr="00A37BCE">
              <w:rPr>
                <w:rFonts w:eastAsia="Times New Roman" w:cstheme="minorHAnsi"/>
                <w:color w:val="002060"/>
                <w:sz w:val="18"/>
                <w:szCs w:val="20"/>
                <w:lang w:val="sr-Cyrl-RS"/>
              </w:rPr>
              <w:t>70.000.000</w:t>
            </w:r>
          </w:p>
        </w:tc>
      </w:tr>
      <w:tr w:rsidR="00BA4876" w:rsidRPr="00A37BCE" w14:paraId="3F0C1F17" w14:textId="77777777" w:rsidTr="00BA4876">
        <w:trPr>
          <w:trHeight w:val="20"/>
          <w:jc w:val="center"/>
        </w:trPr>
        <w:tc>
          <w:tcPr>
            <w:tcW w:w="410" w:type="pct"/>
            <w:vAlign w:val="bottom"/>
          </w:tcPr>
          <w:p w14:paraId="291853A5" w14:textId="77777777" w:rsidR="00BA4876" w:rsidRPr="00A37BCE" w:rsidRDefault="00BA4876" w:rsidP="00357300">
            <w:pPr>
              <w:spacing w:after="0" w:line="240" w:lineRule="auto"/>
              <w:ind w:right="223"/>
              <w:rPr>
                <w:rFonts w:eastAsia="Times New Roman" w:cstheme="minorHAnsi"/>
                <w:color w:val="002060"/>
                <w:sz w:val="18"/>
                <w:szCs w:val="20"/>
                <w:lang w:val="sr-Cyrl-RS"/>
              </w:rPr>
            </w:pPr>
          </w:p>
        </w:tc>
        <w:tc>
          <w:tcPr>
            <w:tcW w:w="2090" w:type="pct"/>
            <w:tcBorders>
              <w:left w:val="nil"/>
              <w:right w:val="nil"/>
            </w:tcBorders>
            <w:vAlign w:val="bottom"/>
            <w:hideMark/>
          </w:tcPr>
          <w:p w14:paraId="254DB4B7" w14:textId="77777777" w:rsidR="00BA4876" w:rsidRPr="00A37BCE" w:rsidRDefault="00BA4876" w:rsidP="00357300">
            <w:pPr>
              <w:spacing w:after="0" w:line="240" w:lineRule="auto"/>
              <w:ind w:right="223"/>
              <w:rPr>
                <w:rFonts w:eastAsia="Times New Roman" w:cstheme="minorHAnsi"/>
                <w:color w:val="002060"/>
                <w:sz w:val="18"/>
                <w:szCs w:val="20"/>
                <w:lang w:val="sr-Cyrl-RS"/>
              </w:rPr>
            </w:pPr>
            <w:r w:rsidRPr="00A37BCE">
              <w:rPr>
                <w:rFonts w:eastAsia="Times New Roman" w:cstheme="minorHAnsi"/>
                <w:color w:val="002060"/>
                <w:sz w:val="18"/>
                <w:szCs w:val="20"/>
                <w:lang w:val="sr-Cyrl-RS"/>
              </w:rPr>
              <w:t>Укупно:</w:t>
            </w:r>
          </w:p>
        </w:tc>
        <w:tc>
          <w:tcPr>
            <w:tcW w:w="763" w:type="pct"/>
            <w:tcBorders>
              <w:left w:val="nil"/>
              <w:right w:val="nil"/>
            </w:tcBorders>
            <w:vAlign w:val="bottom"/>
            <w:hideMark/>
          </w:tcPr>
          <w:p w14:paraId="311A86CE" w14:textId="77777777" w:rsidR="00BA4876" w:rsidRPr="00A37BCE" w:rsidRDefault="00BA4876" w:rsidP="00357300">
            <w:pPr>
              <w:spacing w:after="0" w:line="240" w:lineRule="auto"/>
              <w:ind w:right="-10"/>
              <w:jc w:val="right"/>
              <w:rPr>
                <w:rFonts w:eastAsia="Times New Roman" w:cstheme="minorHAnsi"/>
                <w:color w:val="002060"/>
                <w:sz w:val="18"/>
                <w:szCs w:val="20"/>
                <w:lang w:val="sr-Cyrl-RS"/>
              </w:rPr>
            </w:pPr>
            <w:r w:rsidRPr="00A37BCE">
              <w:rPr>
                <w:rFonts w:eastAsia="Times New Roman" w:cstheme="minorHAnsi"/>
                <w:color w:val="002060"/>
                <w:sz w:val="18"/>
                <w:szCs w:val="20"/>
                <w:lang w:val="sr-Cyrl-RS"/>
              </w:rPr>
              <w:t>18.255.000.000</w:t>
            </w:r>
          </w:p>
        </w:tc>
        <w:tc>
          <w:tcPr>
            <w:tcW w:w="850" w:type="pct"/>
            <w:tcBorders>
              <w:left w:val="nil"/>
              <w:right w:val="nil"/>
            </w:tcBorders>
            <w:vAlign w:val="bottom"/>
            <w:hideMark/>
          </w:tcPr>
          <w:p w14:paraId="61B25AC2" w14:textId="77777777" w:rsidR="00BA4876" w:rsidRPr="00A37BCE" w:rsidRDefault="00BA4876" w:rsidP="008366FA">
            <w:pPr>
              <w:tabs>
                <w:tab w:val="left" w:pos="852"/>
                <w:tab w:val="left" w:pos="1452"/>
              </w:tabs>
              <w:spacing w:after="0" w:line="240" w:lineRule="auto"/>
              <w:ind w:right="12"/>
              <w:jc w:val="center"/>
              <w:rPr>
                <w:rFonts w:eastAsia="Times New Roman" w:cstheme="minorHAnsi"/>
                <w:color w:val="002060"/>
                <w:sz w:val="18"/>
                <w:szCs w:val="20"/>
                <w:lang w:val="sr-Cyrl-RS"/>
              </w:rPr>
            </w:pPr>
            <w:r w:rsidRPr="00A37BCE">
              <w:rPr>
                <w:rFonts w:eastAsia="Times New Roman" w:cstheme="minorHAnsi"/>
                <w:color w:val="002060"/>
                <w:sz w:val="18"/>
                <w:szCs w:val="20"/>
                <w:lang w:val="sr-Cyrl-RS"/>
              </w:rPr>
              <w:t>EUR</w:t>
            </w:r>
          </w:p>
        </w:tc>
        <w:tc>
          <w:tcPr>
            <w:tcW w:w="887" w:type="pct"/>
            <w:tcBorders>
              <w:left w:val="nil"/>
              <w:right w:val="nil"/>
            </w:tcBorders>
            <w:vAlign w:val="bottom"/>
            <w:hideMark/>
          </w:tcPr>
          <w:p w14:paraId="1250C116" w14:textId="77777777" w:rsidR="00BA4876" w:rsidRPr="00A37BCE" w:rsidRDefault="00BA4876" w:rsidP="00357300">
            <w:pPr>
              <w:spacing w:after="0" w:line="240" w:lineRule="auto"/>
              <w:ind w:right="-10"/>
              <w:jc w:val="right"/>
              <w:rPr>
                <w:rFonts w:eastAsia="Times New Roman" w:cstheme="minorHAnsi"/>
                <w:color w:val="002060"/>
                <w:sz w:val="18"/>
                <w:szCs w:val="20"/>
                <w:lang w:val="sr-Cyrl-RS"/>
              </w:rPr>
            </w:pPr>
            <w:r w:rsidRPr="00A37BCE">
              <w:rPr>
                <w:rFonts w:eastAsia="Times New Roman" w:cstheme="minorHAnsi"/>
                <w:color w:val="002060"/>
                <w:sz w:val="18"/>
                <w:szCs w:val="20"/>
                <w:lang w:val="sr-Cyrl-RS"/>
              </w:rPr>
              <w:t>150.000.000</w:t>
            </w:r>
          </w:p>
        </w:tc>
      </w:tr>
      <w:tr w:rsidR="00BA4876" w:rsidRPr="00A37BCE" w14:paraId="5797FF69" w14:textId="77777777" w:rsidTr="00BA4876">
        <w:trPr>
          <w:trHeight w:val="20"/>
          <w:jc w:val="center"/>
        </w:trPr>
        <w:tc>
          <w:tcPr>
            <w:tcW w:w="410" w:type="pct"/>
            <w:shd w:val="clear" w:color="auto" w:fill="E7E6E6" w:themeFill="background2"/>
            <w:vAlign w:val="bottom"/>
          </w:tcPr>
          <w:p w14:paraId="4F1194BD" w14:textId="77777777" w:rsidR="00BA4876" w:rsidRPr="00A37BCE" w:rsidRDefault="00BA4876" w:rsidP="00357300">
            <w:pPr>
              <w:spacing w:after="0" w:line="240" w:lineRule="auto"/>
              <w:ind w:right="223"/>
              <w:rPr>
                <w:rFonts w:eastAsia="Times New Roman" w:cstheme="minorHAnsi"/>
                <w:color w:val="002060"/>
                <w:sz w:val="18"/>
                <w:szCs w:val="20"/>
                <w:lang w:val="sr-Cyrl-RS"/>
              </w:rPr>
            </w:pPr>
            <w:r w:rsidRPr="00A37BCE">
              <w:rPr>
                <w:rFonts w:eastAsia="Times New Roman" w:cstheme="minorHAnsi"/>
                <w:color w:val="002060"/>
                <w:sz w:val="18"/>
                <w:szCs w:val="20"/>
                <w:lang w:val="sr-Cyrl-RS"/>
              </w:rPr>
              <w:t xml:space="preserve"> III  </w:t>
            </w:r>
          </w:p>
        </w:tc>
        <w:tc>
          <w:tcPr>
            <w:tcW w:w="2090" w:type="pct"/>
            <w:tcBorders>
              <w:left w:val="nil"/>
              <w:right w:val="nil"/>
            </w:tcBorders>
            <w:shd w:val="clear" w:color="auto" w:fill="E7E6E6" w:themeFill="background2"/>
            <w:vAlign w:val="center"/>
            <w:hideMark/>
          </w:tcPr>
          <w:p w14:paraId="7083F943" w14:textId="77777777" w:rsidR="00BA4876" w:rsidRPr="00A37BCE" w:rsidRDefault="00BA4876" w:rsidP="00357300">
            <w:pPr>
              <w:spacing w:after="0" w:line="240" w:lineRule="auto"/>
              <w:ind w:right="223"/>
              <w:rPr>
                <w:rFonts w:eastAsia="Times New Roman" w:cstheme="minorHAnsi"/>
                <w:color w:val="002060"/>
                <w:sz w:val="18"/>
                <w:szCs w:val="20"/>
                <w:lang w:val="sr-Cyrl-RS"/>
              </w:rPr>
            </w:pPr>
            <w:r w:rsidRPr="00A37BCE">
              <w:rPr>
                <w:rFonts w:eastAsia="Times New Roman" w:cstheme="minorHAnsi"/>
                <w:color w:val="002060"/>
                <w:sz w:val="18"/>
                <w:szCs w:val="20"/>
                <w:lang w:val="sr-Cyrl-RS"/>
              </w:rPr>
              <w:t>Пословним банкама</w:t>
            </w:r>
          </w:p>
        </w:tc>
        <w:tc>
          <w:tcPr>
            <w:tcW w:w="763" w:type="pct"/>
            <w:tcBorders>
              <w:left w:val="nil"/>
              <w:right w:val="nil"/>
            </w:tcBorders>
            <w:shd w:val="clear" w:color="auto" w:fill="E7E6E6" w:themeFill="background2"/>
            <w:vAlign w:val="center"/>
            <w:hideMark/>
          </w:tcPr>
          <w:p w14:paraId="11FE810B" w14:textId="77777777" w:rsidR="00BA4876" w:rsidRPr="00A37BCE" w:rsidRDefault="00BA4876" w:rsidP="00357300">
            <w:pPr>
              <w:tabs>
                <w:tab w:val="left" w:pos="2193"/>
              </w:tabs>
              <w:spacing w:after="0" w:line="240" w:lineRule="auto"/>
              <w:ind w:right="-77"/>
              <w:jc w:val="right"/>
              <w:rPr>
                <w:rFonts w:eastAsia="Times New Roman" w:cstheme="minorHAnsi"/>
                <w:color w:val="002060"/>
                <w:sz w:val="18"/>
                <w:szCs w:val="20"/>
                <w:lang w:val="sr-Cyrl-RS"/>
              </w:rPr>
            </w:pPr>
          </w:p>
        </w:tc>
        <w:tc>
          <w:tcPr>
            <w:tcW w:w="850" w:type="pct"/>
            <w:tcBorders>
              <w:left w:val="nil"/>
              <w:right w:val="nil"/>
            </w:tcBorders>
            <w:shd w:val="clear" w:color="auto" w:fill="E7E6E6" w:themeFill="background2"/>
            <w:vAlign w:val="bottom"/>
            <w:hideMark/>
          </w:tcPr>
          <w:p w14:paraId="6BA946A7" w14:textId="77777777" w:rsidR="00BA4876" w:rsidRPr="00A37BCE" w:rsidRDefault="00BA4876" w:rsidP="008366FA">
            <w:pPr>
              <w:tabs>
                <w:tab w:val="left" w:pos="852"/>
                <w:tab w:val="left" w:pos="1452"/>
              </w:tabs>
              <w:spacing w:after="0" w:line="240" w:lineRule="auto"/>
              <w:ind w:right="12"/>
              <w:jc w:val="center"/>
              <w:rPr>
                <w:rFonts w:eastAsia="Times New Roman" w:cstheme="minorHAnsi"/>
                <w:color w:val="002060"/>
                <w:sz w:val="18"/>
                <w:szCs w:val="20"/>
                <w:lang w:val="sr-Cyrl-RS"/>
              </w:rPr>
            </w:pPr>
          </w:p>
        </w:tc>
        <w:tc>
          <w:tcPr>
            <w:tcW w:w="887" w:type="pct"/>
            <w:tcBorders>
              <w:left w:val="nil"/>
              <w:right w:val="nil"/>
            </w:tcBorders>
            <w:shd w:val="clear" w:color="auto" w:fill="E7E6E6" w:themeFill="background2"/>
            <w:vAlign w:val="center"/>
            <w:hideMark/>
          </w:tcPr>
          <w:p w14:paraId="580875B1" w14:textId="77777777" w:rsidR="00BA4876" w:rsidRPr="00A37BCE" w:rsidRDefault="00BA4876" w:rsidP="00357300">
            <w:pPr>
              <w:spacing w:after="0" w:line="240" w:lineRule="auto"/>
              <w:ind w:right="-5"/>
              <w:jc w:val="right"/>
              <w:rPr>
                <w:rFonts w:eastAsia="Times New Roman" w:cstheme="minorHAnsi"/>
                <w:color w:val="002060"/>
                <w:sz w:val="18"/>
                <w:szCs w:val="20"/>
                <w:lang w:val="sr-Cyrl-RS"/>
              </w:rPr>
            </w:pPr>
          </w:p>
        </w:tc>
      </w:tr>
      <w:tr w:rsidR="00BA4876" w:rsidRPr="00A37BCE" w14:paraId="769B3D41" w14:textId="77777777" w:rsidTr="00BA4876">
        <w:trPr>
          <w:trHeight w:val="20"/>
          <w:jc w:val="center"/>
        </w:trPr>
        <w:tc>
          <w:tcPr>
            <w:tcW w:w="410" w:type="pct"/>
          </w:tcPr>
          <w:p w14:paraId="7D2E3F80" w14:textId="77777777" w:rsidR="00BA4876" w:rsidRPr="00A37BCE" w:rsidRDefault="00BA4876" w:rsidP="00357300">
            <w:pPr>
              <w:spacing w:after="0" w:line="240" w:lineRule="auto"/>
              <w:rPr>
                <w:rFonts w:eastAsia="Times New Roman" w:cstheme="minorHAnsi"/>
                <w:color w:val="002060"/>
                <w:sz w:val="18"/>
                <w:szCs w:val="20"/>
                <w:lang w:val="sr-Cyrl-RS"/>
              </w:rPr>
            </w:pPr>
            <w:r w:rsidRPr="00A37BCE">
              <w:rPr>
                <w:rFonts w:eastAsia="Times New Roman" w:cstheme="minorHAnsi"/>
                <w:color w:val="002060"/>
                <w:sz w:val="18"/>
                <w:szCs w:val="20"/>
                <w:lang w:val="sr-Cyrl-RS"/>
              </w:rPr>
              <w:t>1.</w:t>
            </w:r>
          </w:p>
        </w:tc>
        <w:tc>
          <w:tcPr>
            <w:tcW w:w="2090" w:type="pct"/>
            <w:tcBorders>
              <w:left w:val="nil"/>
              <w:right w:val="nil"/>
            </w:tcBorders>
            <w:hideMark/>
          </w:tcPr>
          <w:p w14:paraId="724701F7" w14:textId="5E142FAA" w:rsidR="00BA4876" w:rsidRPr="00A37BCE" w:rsidRDefault="00BA4876" w:rsidP="00357300">
            <w:pPr>
              <w:spacing w:after="0" w:line="240" w:lineRule="auto"/>
              <w:ind w:right="223"/>
              <w:rPr>
                <w:rFonts w:eastAsia="Times New Roman" w:cstheme="minorHAnsi"/>
                <w:color w:val="002060"/>
                <w:sz w:val="18"/>
                <w:szCs w:val="20"/>
                <w:lang w:val="sr-Cyrl-RS"/>
              </w:rPr>
            </w:pPr>
            <w:r w:rsidRPr="00A37BCE">
              <w:rPr>
                <w:rFonts w:eastAsia="Times New Roman" w:cstheme="minorHAnsi"/>
                <w:color w:val="002060"/>
                <w:sz w:val="18"/>
                <w:szCs w:val="20"/>
                <w:lang w:val="sr-Cyrl-RS"/>
              </w:rPr>
              <w:t>ЈП ,,Србијагас” – Изградња разводног гасовода Александровац</w:t>
            </w:r>
            <w:r w:rsidR="008366FA" w:rsidRPr="008366FA">
              <w:rPr>
                <w:rFonts w:eastAsia="Times New Roman" w:cstheme="minorHAnsi"/>
                <w:color w:val="002060"/>
                <w:sz w:val="18"/>
                <w:szCs w:val="20"/>
                <w:lang w:val="sr-Cyrl-RS"/>
              </w:rPr>
              <w:t>–</w:t>
            </w:r>
            <w:r w:rsidRPr="00A37BCE">
              <w:rPr>
                <w:rFonts w:eastAsia="Times New Roman" w:cstheme="minorHAnsi"/>
                <w:color w:val="002060"/>
                <w:sz w:val="18"/>
                <w:szCs w:val="20"/>
                <w:lang w:val="sr-Cyrl-RS"/>
              </w:rPr>
              <w:t>Брус</w:t>
            </w:r>
            <w:r w:rsidR="008366FA" w:rsidRPr="008366FA">
              <w:rPr>
                <w:rFonts w:eastAsia="Times New Roman" w:cstheme="minorHAnsi"/>
                <w:color w:val="002060"/>
                <w:sz w:val="18"/>
                <w:szCs w:val="20"/>
                <w:lang w:val="sr-Cyrl-RS"/>
              </w:rPr>
              <w:t>–</w:t>
            </w:r>
            <w:r w:rsidRPr="00A37BCE">
              <w:rPr>
                <w:rFonts w:eastAsia="Times New Roman" w:cstheme="minorHAnsi"/>
                <w:color w:val="002060"/>
                <w:sz w:val="18"/>
                <w:szCs w:val="20"/>
                <w:lang w:val="sr-Cyrl-RS"/>
              </w:rPr>
              <w:t>Копаоник</w:t>
            </w:r>
            <w:r w:rsidR="008366FA" w:rsidRPr="008366FA">
              <w:rPr>
                <w:rFonts w:eastAsia="Times New Roman" w:cstheme="minorHAnsi"/>
                <w:color w:val="002060"/>
                <w:sz w:val="18"/>
                <w:szCs w:val="20"/>
                <w:lang w:val="sr-Cyrl-RS"/>
              </w:rPr>
              <w:t>–</w:t>
            </w:r>
            <w:r w:rsidRPr="00A37BCE">
              <w:rPr>
                <w:rFonts w:eastAsia="Times New Roman" w:cstheme="minorHAnsi"/>
                <w:color w:val="002060"/>
                <w:sz w:val="18"/>
                <w:szCs w:val="20"/>
                <w:lang w:val="sr-Cyrl-RS"/>
              </w:rPr>
              <w:t>Рашка</w:t>
            </w:r>
            <w:r w:rsidR="008366FA" w:rsidRPr="008366FA">
              <w:rPr>
                <w:rFonts w:eastAsia="Times New Roman" w:cstheme="minorHAnsi"/>
                <w:color w:val="002060"/>
                <w:sz w:val="18"/>
                <w:szCs w:val="20"/>
                <w:lang w:val="sr-Cyrl-RS"/>
              </w:rPr>
              <w:t>–</w:t>
            </w:r>
            <w:r w:rsidRPr="00A37BCE">
              <w:rPr>
                <w:rFonts w:eastAsia="Times New Roman" w:cstheme="minorHAnsi"/>
                <w:color w:val="002060"/>
                <w:sz w:val="18"/>
                <w:szCs w:val="20"/>
                <w:lang w:val="sr-Cyrl-RS"/>
              </w:rPr>
              <w:t>Нови Пазар</w:t>
            </w:r>
            <w:r w:rsidR="008366FA" w:rsidRPr="008366FA">
              <w:rPr>
                <w:rFonts w:eastAsia="Times New Roman" w:cstheme="minorHAnsi"/>
                <w:color w:val="002060"/>
                <w:sz w:val="18"/>
                <w:szCs w:val="20"/>
                <w:lang w:val="sr-Cyrl-RS"/>
              </w:rPr>
              <w:t>–</w:t>
            </w:r>
            <w:r w:rsidRPr="00A37BCE">
              <w:rPr>
                <w:rFonts w:eastAsia="Times New Roman" w:cstheme="minorHAnsi"/>
                <w:color w:val="002060"/>
                <w:sz w:val="18"/>
                <w:szCs w:val="20"/>
                <w:lang w:val="sr-Cyrl-RS"/>
              </w:rPr>
              <w:t>Тутин (II фаза)</w:t>
            </w:r>
          </w:p>
        </w:tc>
        <w:tc>
          <w:tcPr>
            <w:tcW w:w="763" w:type="pct"/>
            <w:tcBorders>
              <w:left w:val="nil"/>
              <w:right w:val="nil"/>
            </w:tcBorders>
            <w:vAlign w:val="bottom"/>
            <w:hideMark/>
          </w:tcPr>
          <w:p w14:paraId="2923534C" w14:textId="77777777" w:rsidR="00BA4876" w:rsidRPr="00A37BCE" w:rsidRDefault="00BA4876" w:rsidP="00357300">
            <w:pPr>
              <w:spacing w:after="0" w:line="240" w:lineRule="auto"/>
              <w:ind w:right="-5"/>
              <w:jc w:val="right"/>
              <w:rPr>
                <w:rFonts w:eastAsia="Times New Roman" w:cstheme="minorHAnsi"/>
                <w:color w:val="002060"/>
                <w:sz w:val="18"/>
                <w:szCs w:val="20"/>
                <w:lang w:val="sr-Cyrl-RS"/>
              </w:rPr>
            </w:pPr>
            <w:r w:rsidRPr="00A37BCE">
              <w:rPr>
                <w:rFonts w:eastAsia="Times New Roman" w:cstheme="minorHAnsi"/>
                <w:color w:val="002060"/>
                <w:sz w:val="18"/>
                <w:szCs w:val="20"/>
                <w:lang w:val="sr-Cyrl-RS"/>
              </w:rPr>
              <w:t>2.434.000.000</w:t>
            </w:r>
          </w:p>
        </w:tc>
        <w:tc>
          <w:tcPr>
            <w:tcW w:w="850" w:type="pct"/>
            <w:tcBorders>
              <w:left w:val="nil"/>
              <w:right w:val="nil"/>
            </w:tcBorders>
            <w:vAlign w:val="bottom"/>
            <w:hideMark/>
          </w:tcPr>
          <w:p w14:paraId="4B3F5A1C" w14:textId="77777777" w:rsidR="00BA4876" w:rsidRPr="00A37BCE" w:rsidRDefault="00BA4876" w:rsidP="008366FA">
            <w:pPr>
              <w:tabs>
                <w:tab w:val="left" w:pos="852"/>
                <w:tab w:val="left" w:pos="1452"/>
              </w:tabs>
              <w:spacing w:after="0" w:line="240" w:lineRule="auto"/>
              <w:ind w:right="12"/>
              <w:jc w:val="center"/>
              <w:rPr>
                <w:rFonts w:eastAsia="Times New Roman" w:cstheme="minorHAnsi"/>
                <w:color w:val="002060"/>
                <w:sz w:val="18"/>
                <w:szCs w:val="20"/>
                <w:lang w:val="sr-Cyrl-RS"/>
              </w:rPr>
            </w:pPr>
            <w:r w:rsidRPr="00A37BCE">
              <w:rPr>
                <w:rFonts w:eastAsia="Times New Roman" w:cstheme="minorHAnsi"/>
                <w:color w:val="002060"/>
                <w:sz w:val="18"/>
                <w:szCs w:val="20"/>
                <w:lang w:val="sr-Cyrl-RS"/>
              </w:rPr>
              <w:t>EUR</w:t>
            </w:r>
          </w:p>
        </w:tc>
        <w:tc>
          <w:tcPr>
            <w:tcW w:w="887" w:type="pct"/>
            <w:tcBorders>
              <w:left w:val="nil"/>
              <w:right w:val="nil"/>
            </w:tcBorders>
            <w:vAlign w:val="bottom"/>
            <w:hideMark/>
          </w:tcPr>
          <w:p w14:paraId="5870B34C" w14:textId="77777777" w:rsidR="00BA4876" w:rsidRPr="00A37BCE" w:rsidRDefault="00BA4876" w:rsidP="00357300">
            <w:pPr>
              <w:tabs>
                <w:tab w:val="left" w:pos="2193"/>
              </w:tabs>
              <w:spacing w:after="0" w:line="240" w:lineRule="auto"/>
              <w:jc w:val="right"/>
              <w:rPr>
                <w:rFonts w:eastAsia="Times New Roman" w:cstheme="minorHAnsi"/>
                <w:color w:val="002060"/>
                <w:sz w:val="18"/>
                <w:szCs w:val="20"/>
                <w:lang w:val="sr-Cyrl-RS"/>
              </w:rPr>
            </w:pPr>
            <w:r w:rsidRPr="00A37BCE">
              <w:rPr>
                <w:rFonts w:eastAsia="Times New Roman" w:cstheme="minorHAnsi"/>
                <w:color w:val="002060"/>
                <w:sz w:val="18"/>
                <w:szCs w:val="20"/>
                <w:lang w:val="sr-Cyrl-RS"/>
              </w:rPr>
              <w:t>20.000.000</w:t>
            </w:r>
          </w:p>
        </w:tc>
      </w:tr>
      <w:tr w:rsidR="00BA4876" w:rsidRPr="00A37BCE" w14:paraId="01D2C764" w14:textId="77777777" w:rsidTr="00BA4876">
        <w:trPr>
          <w:trHeight w:val="20"/>
          <w:jc w:val="center"/>
        </w:trPr>
        <w:tc>
          <w:tcPr>
            <w:tcW w:w="410" w:type="pct"/>
          </w:tcPr>
          <w:p w14:paraId="3C89CDDD" w14:textId="77777777" w:rsidR="00BA4876" w:rsidRPr="00A37BCE" w:rsidRDefault="00BA4876" w:rsidP="00357300">
            <w:pPr>
              <w:spacing w:after="0" w:line="240" w:lineRule="auto"/>
              <w:rPr>
                <w:rFonts w:eastAsia="Times New Roman" w:cstheme="minorHAnsi"/>
                <w:color w:val="002060"/>
                <w:sz w:val="18"/>
                <w:szCs w:val="20"/>
                <w:lang w:val="sr-Cyrl-RS"/>
              </w:rPr>
            </w:pPr>
            <w:r w:rsidRPr="00A37BCE">
              <w:rPr>
                <w:rFonts w:eastAsia="Times New Roman" w:cstheme="minorHAnsi"/>
                <w:color w:val="002060"/>
                <w:sz w:val="18"/>
                <w:szCs w:val="20"/>
                <w:lang w:val="sr-Cyrl-RS"/>
              </w:rPr>
              <w:t xml:space="preserve">2. </w:t>
            </w:r>
          </w:p>
        </w:tc>
        <w:tc>
          <w:tcPr>
            <w:tcW w:w="2090" w:type="pct"/>
            <w:tcBorders>
              <w:left w:val="nil"/>
              <w:right w:val="nil"/>
            </w:tcBorders>
          </w:tcPr>
          <w:p w14:paraId="0DAB7CD1" w14:textId="77777777" w:rsidR="00BA4876" w:rsidRPr="00A37BCE" w:rsidRDefault="00BA4876" w:rsidP="00357300">
            <w:pPr>
              <w:spacing w:after="0" w:line="240" w:lineRule="auto"/>
              <w:ind w:right="223"/>
              <w:rPr>
                <w:rFonts w:eastAsia="Times New Roman" w:cstheme="minorHAnsi"/>
                <w:color w:val="002060"/>
                <w:sz w:val="18"/>
                <w:szCs w:val="20"/>
                <w:lang w:val="sr-Cyrl-RS"/>
              </w:rPr>
            </w:pPr>
            <w:r w:rsidRPr="00A37BCE">
              <w:rPr>
                <w:rFonts w:eastAsia="Times New Roman" w:cstheme="minorHAnsi"/>
                <w:color w:val="002060"/>
                <w:sz w:val="18"/>
                <w:szCs w:val="20"/>
                <w:lang w:val="sr-Cyrl-RS"/>
              </w:rPr>
              <w:t>ЈП ,,Србијагас” – Изградња гасовода на територији Републике Србије од границе са Републиком Бугарском до границе са Мађарском и другим суседним земљама са Републиком Србијом</w:t>
            </w:r>
          </w:p>
        </w:tc>
        <w:tc>
          <w:tcPr>
            <w:tcW w:w="763" w:type="pct"/>
            <w:tcBorders>
              <w:left w:val="nil"/>
              <w:right w:val="nil"/>
            </w:tcBorders>
            <w:vAlign w:val="bottom"/>
          </w:tcPr>
          <w:p w14:paraId="06E01620" w14:textId="77777777" w:rsidR="00BA4876" w:rsidRPr="00A37BCE" w:rsidRDefault="00BA4876" w:rsidP="00357300">
            <w:pPr>
              <w:spacing w:after="0" w:line="240" w:lineRule="auto"/>
              <w:ind w:right="-5"/>
              <w:jc w:val="right"/>
              <w:rPr>
                <w:rFonts w:eastAsia="Times New Roman" w:cstheme="minorHAnsi"/>
                <w:color w:val="002060"/>
                <w:sz w:val="18"/>
                <w:szCs w:val="20"/>
                <w:lang w:val="sr-Cyrl-RS"/>
              </w:rPr>
            </w:pPr>
            <w:r w:rsidRPr="00A37BCE">
              <w:rPr>
                <w:rFonts w:eastAsia="Times New Roman" w:cstheme="minorHAnsi"/>
                <w:color w:val="002060"/>
                <w:sz w:val="18"/>
                <w:szCs w:val="20"/>
                <w:lang w:val="sr-Cyrl-RS"/>
              </w:rPr>
              <w:t>8.519.000.000</w:t>
            </w:r>
          </w:p>
        </w:tc>
        <w:tc>
          <w:tcPr>
            <w:tcW w:w="850" w:type="pct"/>
            <w:tcBorders>
              <w:left w:val="nil"/>
              <w:right w:val="nil"/>
            </w:tcBorders>
            <w:vAlign w:val="bottom"/>
          </w:tcPr>
          <w:p w14:paraId="5DBD85F1" w14:textId="77777777" w:rsidR="00BA4876" w:rsidRPr="00A37BCE" w:rsidRDefault="00BA4876" w:rsidP="008366FA">
            <w:pPr>
              <w:tabs>
                <w:tab w:val="left" w:pos="852"/>
                <w:tab w:val="left" w:pos="1452"/>
              </w:tabs>
              <w:spacing w:after="0" w:line="240" w:lineRule="auto"/>
              <w:ind w:right="12"/>
              <w:jc w:val="center"/>
              <w:rPr>
                <w:rFonts w:eastAsia="Times New Roman" w:cstheme="minorHAnsi"/>
                <w:color w:val="002060"/>
                <w:sz w:val="18"/>
                <w:szCs w:val="20"/>
                <w:lang w:val="sr-Cyrl-RS"/>
              </w:rPr>
            </w:pPr>
            <w:r w:rsidRPr="00A37BCE">
              <w:rPr>
                <w:rFonts w:eastAsia="Times New Roman" w:cstheme="minorHAnsi"/>
                <w:color w:val="002060"/>
                <w:sz w:val="18"/>
                <w:szCs w:val="20"/>
                <w:lang w:val="sr-Cyrl-RS"/>
              </w:rPr>
              <w:t>EUR</w:t>
            </w:r>
          </w:p>
        </w:tc>
        <w:tc>
          <w:tcPr>
            <w:tcW w:w="887" w:type="pct"/>
            <w:tcBorders>
              <w:left w:val="nil"/>
              <w:right w:val="nil"/>
            </w:tcBorders>
            <w:vAlign w:val="bottom"/>
          </w:tcPr>
          <w:p w14:paraId="4AC850DB" w14:textId="77777777" w:rsidR="00BA4876" w:rsidRPr="00A37BCE" w:rsidRDefault="00BA4876" w:rsidP="00357300">
            <w:pPr>
              <w:tabs>
                <w:tab w:val="left" w:pos="2193"/>
              </w:tabs>
              <w:spacing w:after="0" w:line="240" w:lineRule="auto"/>
              <w:jc w:val="right"/>
              <w:rPr>
                <w:rFonts w:eastAsia="Times New Roman" w:cstheme="minorHAnsi"/>
                <w:color w:val="002060"/>
                <w:sz w:val="18"/>
                <w:szCs w:val="20"/>
                <w:lang w:val="sr-Cyrl-RS"/>
              </w:rPr>
            </w:pPr>
            <w:r w:rsidRPr="00A37BCE">
              <w:rPr>
                <w:rFonts w:eastAsia="Times New Roman" w:cstheme="minorHAnsi"/>
                <w:color w:val="002060"/>
                <w:sz w:val="18"/>
                <w:szCs w:val="20"/>
                <w:lang w:val="sr-Cyrl-RS"/>
              </w:rPr>
              <w:t>70.000.000</w:t>
            </w:r>
          </w:p>
        </w:tc>
      </w:tr>
      <w:tr w:rsidR="00BA4876" w:rsidRPr="00A37BCE" w14:paraId="17247C2C" w14:textId="77777777" w:rsidTr="00BA4876">
        <w:trPr>
          <w:trHeight w:val="20"/>
          <w:jc w:val="center"/>
        </w:trPr>
        <w:tc>
          <w:tcPr>
            <w:tcW w:w="410" w:type="pct"/>
          </w:tcPr>
          <w:p w14:paraId="0E37F50A" w14:textId="77777777" w:rsidR="00BA4876" w:rsidRPr="00A37BCE" w:rsidRDefault="00BA4876" w:rsidP="00357300">
            <w:pPr>
              <w:spacing w:after="0" w:line="240" w:lineRule="auto"/>
              <w:rPr>
                <w:rFonts w:eastAsia="Times New Roman" w:cstheme="minorHAnsi"/>
                <w:color w:val="002060"/>
                <w:sz w:val="18"/>
                <w:szCs w:val="20"/>
                <w:lang w:val="sr-Cyrl-RS"/>
              </w:rPr>
            </w:pPr>
            <w:r w:rsidRPr="00A37BCE">
              <w:rPr>
                <w:rFonts w:eastAsia="Times New Roman" w:cstheme="minorHAnsi"/>
                <w:color w:val="002060"/>
                <w:sz w:val="18"/>
                <w:szCs w:val="20"/>
                <w:lang w:val="sr-Cyrl-RS"/>
              </w:rPr>
              <w:t>3.</w:t>
            </w:r>
          </w:p>
        </w:tc>
        <w:tc>
          <w:tcPr>
            <w:tcW w:w="2090" w:type="pct"/>
            <w:tcBorders>
              <w:left w:val="nil"/>
              <w:right w:val="nil"/>
            </w:tcBorders>
          </w:tcPr>
          <w:p w14:paraId="13C02C79" w14:textId="77777777" w:rsidR="00BA4876" w:rsidRPr="00A37BCE" w:rsidRDefault="00BA4876" w:rsidP="00357300">
            <w:pPr>
              <w:spacing w:after="0" w:line="240" w:lineRule="auto"/>
              <w:ind w:right="223"/>
              <w:rPr>
                <w:rFonts w:eastAsia="Times New Roman" w:cstheme="minorHAnsi"/>
                <w:color w:val="002060"/>
                <w:sz w:val="18"/>
                <w:szCs w:val="20"/>
                <w:lang w:val="sr-Cyrl-RS"/>
              </w:rPr>
            </w:pPr>
            <w:r w:rsidRPr="00A37BCE">
              <w:rPr>
                <w:rFonts w:eastAsia="Times New Roman" w:cstheme="minorHAnsi"/>
                <w:color w:val="002060"/>
                <w:sz w:val="18"/>
                <w:szCs w:val="20"/>
                <w:lang w:val="sr-Cyrl-RS"/>
              </w:rPr>
              <w:t>ЈП „Електропривреда Србије” –Одсумпоравање ТЕНТ Б</w:t>
            </w:r>
          </w:p>
        </w:tc>
        <w:tc>
          <w:tcPr>
            <w:tcW w:w="763" w:type="pct"/>
            <w:tcBorders>
              <w:left w:val="nil"/>
              <w:right w:val="nil"/>
            </w:tcBorders>
            <w:vAlign w:val="bottom"/>
          </w:tcPr>
          <w:p w14:paraId="4E76CC0A" w14:textId="77777777" w:rsidR="00BA4876" w:rsidRPr="00A37BCE" w:rsidRDefault="00BA4876" w:rsidP="00357300">
            <w:pPr>
              <w:spacing w:after="0" w:line="240" w:lineRule="auto"/>
              <w:ind w:right="-5"/>
              <w:jc w:val="right"/>
              <w:rPr>
                <w:rFonts w:eastAsia="Times New Roman" w:cstheme="minorHAnsi"/>
                <w:color w:val="002060"/>
                <w:sz w:val="18"/>
                <w:szCs w:val="20"/>
                <w:highlight w:val="yellow"/>
                <w:lang w:val="sr-Cyrl-RS"/>
              </w:rPr>
            </w:pPr>
            <w:r w:rsidRPr="00A37BCE">
              <w:rPr>
                <w:rFonts w:eastAsia="Times New Roman" w:cstheme="minorHAnsi"/>
                <w:color w:val="002060"/>
                <w:sz w:val="18"/>
                <w:szCs w:val="20"/>
                <w:lang w:val="sr-Cyrl-RS"/>
              </w:rPr>
              <w:t>15.821.000.000</w:t>
            </w:r>
          </w:p>
        </w:tc>
        <w:tc>
          <w:tcPr>
            <w:tcW w:w="850" w:type="pct"/>
            <w:tcBorders>
              <w:left w:val="nil"/>
              <w:right w:val="nil"/>
            </w:tcBorders>
            <w:vAlign w:val="bottom"/>
          </w:tcPr>
          <w:p w14:paraId="3E7E6A4F" w14:textId="77777777" w:rsidR="00BA4876" w:rsidRPr="00A37BCE" w:rsidRDefault="00BA4876" w:rsidP="008366FA">
            <w:pPr>
              <w:tabs>
                <w:tab w:val="left" w:pos="852"/>
                <w:tab w:val="left" w:pos="1452"/>
              </w:tabs>
              <w:spacing w:after="0" w:line="240" w:lineRule="auto"/>
              <w:ind w:right="12"/>
              <w:jc w:val="center"/>
              <w:rPr>
                <w:rFonts w:eastAsia="Times New Roman" w:cstheme="minorHAnsi"/>
                <w:color w:val="002060"/>
                <w:sz w:val="18"/>
                <w:szCs w:val="20"/>
                <w:lang w:val="sr-Cyrl-RS"/>
              </w:rPr>
            </w:pPr>
            <w:r w:rsidRPr="00A37BCE">
              <w:rPr>
                <w:rFonts w:eastAsia="Times New Roman" w:cstheme="minorHAnsi"/>
                <w:color w:val="002060"/>
                <w:sz w:val="18"/>
                <w:szCs w:val="20"/>
                <w:lang w:val="sr-Cyrl-RS"/>
              </w:rPr>
              <w:t>EUR</w:t>
            </w:r>
          </w:p>
        </w:tc>
        <w:tc>
          <w:tcPr>
            <w:tcW w:w="887" w:type="pct"/>
            <w:tcBorders>
              <w:left w:val="nil"/>
              <w:right w:val="nil"/>
            </w:tcBorders>
            <w:vAlign w:val="bottom"/>
          </w:tcPr>
          <w:p w14:paraId="12C127E7" w14:textId="77777777" w:rsidR="00BA4876" w:rsidRPr="00A37BCE" w:rsidRDefault="00BA4876" w:rsidP="00357300">
            <w:pPr>
              <w:tabs>
                <w:tab w:val="left" w:pos="2193"/>
              </w:tabs>
              <w:spacing w:after="0" w:line="240" w:lineRule="auto"/>
              <w:jc w:val="right"/>
              <w:rPr>
                <w:rFonts w:eastAsia="Times New Roman" w:cstheme="minorHAnsi"/>
                <w:color w:val="002060"/>
                <w:sz w:val="18"/>
                <w:szCs w:val="20"/>
                <w:lang w:val="sr-Cyrl-RS"/>
              </w:rPr>
            </w:pPr>
            <w:r w:rsidRPr="00A37BCE">
              <w:rPr>
                <w:rFonts w:eastAsia="Times New Roman" w:cstheme="minorHAnsi"/>
                <w:color w:val="002060"/>
                <w:sz w:val="18"/>
                <w:szCs w:val="20"/>
                <w:lang w:val="sr-Cyrl-RS"/>
              </w:rPr>
              <w:t>130.000.000</w:t>
            </w:r>
          </w:p>
        </w:tc>
      </w:tr>
      <w:tr w:rsidR="00BA4876" w:rsidRPr="00A37BCE" w14:paraId="338F07F1" w14:textId="77777777" w:rsidTr="00BA4876">
        <w:trPr>
          <w:trHeight w:val="20"/>
          <w:jc w:val="center"/>
        </w:trPr>
        <w:tc>
          <w:tcPr>
            <w:tcW w:w="410" w:type="pct"/>
            <w:vAlign w:val="bottom"/>
          </w:tcPr>
          <w:p w14:paraId="6DBC60C0" w14:textId="77777777" w:rsidR="00BA4876" w:rsidRPr="00A37BCE" w:rsidRDefault="00BA4876" w:rsidP="00357300">
            <w:pPr>
              <w:spacing w:after="0" w:line="240" w:lineRule="auto"/>
              <w:ind w:right="223"/>
              <w:rPr>
                <w:rFonts w:eastAsia="Times New Roman" w:cstheme="minorHAnsi"/>
                <w:color w:val="002060"/>
                <w:sz w:val="18"/>
                <w:szCs w:val="20"/>
                <w:lang w:val="sr-Cyrl-RS"/>
              </w:rPr>
            </w:pPr>
          </w:p>
        </w:tc>
        <w:tc>
          <w:tcPr>
            <w:tcW w:w="2090" w:type="pct"/>
            <w:tcBorders>
              <w:left w:val="nil"/>
              <w:right w:val="nil"/>
            </w:tcBorders>
            <w:vAlign w:val="bottom"/>
            <w:hideMark/>
          </w:tcPr>
          <w:p w14:paraId="6ED88B80" w14:textId="77777777" w:rsidR="00BA4876" w:rsidRPr="00A37BCE" w:rsidRDefault="00BA4876" w:rsidP="00357300">
            <w:pPr>
              <w:spacing w:after="0" w:line="240" w:lineRule="auto"/>
              <w:ind w:right="223"/>
              <w:rPr>
                <w:rFonts w:eastAsia="Times New Roman" w:cstheme="minorHAnsi"/>
                <w:color w:val="002060"/>
                <w:sz w:val="18"/>
                <w:szCs w:val="20"/>
                <w:lang w:val="sr-Cyrl-RS"/>
              </w:rPr>
            </w:pPr>
            <w:r w:rsidRPr="00A37BCE">
              <w:rPr>
                <w:rFonts w:eastAsia="Times New Roman" w:cstheme="minorHAnsi"/>
                <w:color w:val="002060"/>
                <w:sz w:val="18"/>
                <w:szCs w:val="20"/>
                <w:lang w:val="sr-Cyrl-RS"/>
              </w:rPr>
              <w:t>Укупно:</w:t>
            </w:r>
          </w:p>
        </w:tc>
        <w:tc>
          <w:tcPr>
            <w:tcW w:w="763" w:type="pct"/>
            <w:tcBorders>
              <w:left w:val="nil"/>
              <w:right w:val="nil"/>
            </w:tcBorders>
            <w:vAlign w:val="bottom"/>
            <w:hideMark/>
          </w:tcPr>
          <w:p w14:paraId="046CA11E" w14:textId="77777777" w:rsidR="00BA4876" w:rsidRPr="00A37BCE" w:rsidRDefault="00BA4876" w:rsidP="00357300">
            <w:pPr>
              <w:spacing w:after="0" w:line="240" w:lineRule="auto"/>
              <w:ind w:right="-10"/>
              <w:jc w:val="right"/>
              <w:rPr>
                <w:rFonts w:eastAsia="Times New Roman" w:cstheme="minorHAnsi"/>
                <w:color w:val="002060"/>
                <w:sz w:val="18"/>
                <w:szCs w:val="20"/>
                <w:lang w:val="sr-Cyrl-RS"/>
              </w:rPr>
            </w:pPr>
            <w:r w:rsidRPr="00A37BCE">
              <w:rPr>
                <w:rFonts w:eastAsia="Times New Roman" w:cstheme="minorHAnsi"/>
                <w:color w:val="002060"/>
                <w:sz w:val="18"/>
                <w:szCs w:val="20"/>
                <w:lang w:val="sr-Cyrl-RS"/>
              </w:rPr>
              <w:t>26.774.000.000</w:t>
            </w:r>
          </w:p>
        </w:tc>
        <w:tc>
          <w:tcPr>
            <w:tcW w:w="850" w:type="pct"/>
            <w:tcBorders>
              <w:left w:val="nil"/>
              <w:right w:val="nil"/>
            </w:tcBorders>
            <w:vAlign w:val="bottom"/>
            <w:hideMark/>
          </w:tcPr>
          <w:p w14:paraId="566DB9DD" w14:textId="77777777" w:rsidR="00BA4876" w:rsidRPr="00A37BCE" w:rsidRDefault="00BA4876" w:rsidP="008366FA">
            <w:pPr>
              <w:tabs>
                <w:tab w:val="left" w:pos="852"/>
                <w:tab w:val="left" w:pos="1452"/>
              </w:tabs>
              <w:spacing w:after="0" w:line="240" w:lineRule="auto"/>
              <w:ind w:right="12"/>
              <w:jc w:val="center"/>
              <w:rPr>
                <w:rFonts w:eastAsia="Times New Roman" w:cstheme="minorHAnsi"/>
                <w:color w:val="002060"/>
                <w:sz w:val="18"/>
                <w:szCs w:val="20"/>
                <w:lang w:val="sr-Cyrl-RS"/>
              </w:rPr>
            </w:pPr>
            <w:r w:rsidRPr="00A37BCE">
              <w:rPr>
                <w:rFonts w:eastAsia="Times New Roman" w:cstheme="minorHAnsi"/>
                <w:color w:val="002060"/>
                <w:sz w:val="18"/>
                <w:szCs w:val="20"/>
                <w:lang w:val="sr-Cyrl-RS"/>
              </w:rPr>
              <w:t>EUR</w:t>
            </w:r>
          </w:p>
        </w:tc>
        <w:tc>
          <w:tcPr>
            <w:tcW w:w="887" w:type="pct"/>
            <w:tcBorders>
              <w:left w:val="nil"/>
              <w:right w:val="nil"/>
            </w:tcBorders>
            <w:vAlign w:val="bottom"/>
            <w:hideMark/>
          </w:tcPr>
          <w:p w14:paraId="4A803571" w14:textId="77777777" w:rsidR="00BA4876" w:rsidRPr="00A37BCE" w:rsidRDefault="00BA4876" w:rsidP="00357300">
            <w:pPr>
              <w:spacing w:after="0" w:line="240" w:lineRule="auto"/>
              <w:ind w:right="-10"/>
              <w:jc w:val="right"/>
              <w:rPr>
                <w:rFonts w:eastAsia="Times New Roman" w:cstheme="minorHAnsi"/>
                <w:color w:val="002060"/>
                <w:sz w:val="18"/>
                <w:szCs w:val="20"/>
                <w:lang w:val="sr-Cyrl-RS"/>
              </w:rPr>
            </w:pPr>
            <w:r w:rsidRPr="00A37BCE">
              <w:rPr>
                <w:rFonts w:eastAsia="Times New Roman" w:cstheme="minorHAnsi"/>
                <w:color w:val="002060"/>
                <w:sz w:val="18"/>
                <w:szCs w:val="20"/>
                <w:lang w:val="sr-Cyrl-RS"/>
              </w:rPr>
              <w:t>220.000.000</w:t>
            </w:r>
          </w:p>
        </w:tc>
      </w:tr>
      <w:tr w:rsidR="00BA4876" w:rsidRPr="00A37BCE" w14:paraId="402CBB7F" w14:textId="77777777" w:rsidTr="00BA4876">
        <w:trPr>
          <w:trHeight w:val="20"/>
          <w:jc w:val="center"/>
        </w:trPr>
        <w:tc>
          <w:tcPr>
            <w:tcW w:w="410" w:type="pct"/>
            <w:shd w:val="clear" w:color="auto" w:fill="E7E6E6" w:themeFill="background2"/>
            <w:vAlign w:val="bottom"/>
          </w:tcPr>
          <w:p w14:paraId="113084DE" w14:textId="77777777" w:rsidR="00BA4876" w:rsidRPr="00A37BCE" w:rsidRDefault="00BA4876" w:rsidP="00357300">
            <w:pPr>
              <w:spacing w:after="0" w:line="240" w:lineRule="auto"/>
              <w:ind w:right="223"/>
              <w:rPr>
                <w:rFonts w:eastAsia="Times New Roman" w:cstheme="minorHAnsi"/>
                <w:color w:val="002060"/>
                <w:sz w:val="18"/>
                <w:szCs w:val="20"/>
                <w:lang w:val="sr-Cyrl-RS"/>
              </w:rPr>
            </w:pPr>
            <w:r w:rsidRPr="00A37BCE">
              <w:rPr>
                <w:rFonts w:eastAsia="Times New Roman" w:cstheme="minorHAnsi"/>
                <w:color w:val="002060"/>
                <w:sz w:val="18"/>
                <w:szCs w:val="20"/>
                <w:lang w:val="sr-Cyrl-RS"/>
              </w:rPr>
              <w:t xml:space="preserve">IV </w:t>
            </w:r>
          </w:p>
        </w:tc>
        <w:tc>
          <w:tcPr>
            <w:tcW w:w="2090" w:type="pct"/>
            <w:tcBorders>
              <w:left w:val="nil"/>
              <w:right w:val="nil"/>
            </w:tcBorders>
            <w:shd w:val="clear" w:color="auto" w:fill="E7E6E6" w:themeFill="background2"/>
            <w:vAlign w:val="center"/>
            <w:hideMark/>
          </w:tcPr>
          <w:p w14:paraId="0D65E3BC" w14:textId="77777777" w:rsidR="00BA4876" w:rsidRPr="00A37BCE" w:rsidRDefault="00BA4876" w:rsidP="00357300">
            <w:pPr>
              <w:spacing w:after="0" w:line="240" w:lineRule="auto"/>
              <w:ind w:right="223"/>
              <w:rPr>
                <w:rFonts w:eastAsia="Times New Roman" w:cstheme="minorHAnsi"/>
                <w:color w:val="002060"/>
                <w:sz w:val="18"/>
                <w:szCs w:val="20"/>
                <w:lang w:val="sr-Cyrl-RS"/>
              </w:rPr>
            </w:pPr>
            <w:r w:rsidRPr="00A37BCE">
              <w:rPr>
                <w:rFonts w:eastAsia="Times New Roman" w:cstheme="minorHAnsi"/>
                <w:color w:val="002060"/>
                <w:sz w:val="18"/>
                <w:szCs w:val="20"/>
                <w:lang w:val="sr-Cyrl-RS"/>
              </w:rPr>
              <w:t>Извозно-увозним банкама</w:t>
            </w:r>
          </w:p>
        </w:tc>
        <w:tc>
          <w:tcPr>
            <w:tcW w:w="763" w:type="pct"/>
            <w:tcBorders>
              <w:left w:val="nil"/>
              <w:right w:val="nil"/>
            </w:tcBorders>
            <w:shd w:val="clear" w:color="auto" w:fill="E7E6E6" w:themeFill="background2"/>
            <w:vAlign w:val="bottom"/>
            <w:hideMark/>
          </w:tcPr>
          <w:p w14:paraId="18DE67C9" w14:textId="77777777" w:rsidR="00BA4876" w:rsidRPr="00A37BCE" w:rsidRDefault="00BA4876" w:rsidP="00357300">
            <w:pPr>
              <w:spacing w:after="0" w:line="240" w:lineRule="auto"/>
              <w:ind w:right="-10"/>
              <w:jc w:val="right"/>
              <w:rPr>
                <w:rFonts w:eastAsia="Times New Roman" w:cstheme="minorHAnsi"/>
                <w:color w:val="002060"/>
                <w:sz w:val="18"/>
                <w:szCs w:val="20"/>
                <w:lang w:val="sr-Cyrl-RS"/>
              </w:rPr>
            </w:pPr>
          </w:p>
        </w:tc>
        <w:tc>
          <w:tcPr>
            <w:tcW w:w="850" w:type="pct"/>
            <w:tcBorders>
              <w:left w:val="nil"/>
              <w:right w:val="nil"/>
            </w:tcBorders>
            <w:shd w:val="clear" w:color="auto" w:fill="E7E6E6" w:themeFill="background2"/>
            <w:vAlign w:val="bottom"/>
            <w:hideMark/>
          </w:tcPr>
          <w:p w14:paraId="27403E3F" w14:textId="77777777" w:rsidR="00BA4876" w:rsidRPr="00A37BCE" w:rsidRDefault="00BA4876" w:rsidP="008366FA">
            <w:pPr>
              <w:tabs>
                <w:tab w:val="left" w:pos="852"/>
                <w:tab w:val="left" w:pos="1452"/>
              </w:tabs>
              <w:spacing w:after="0" w:line="240" w:lineRule="auto"/>
              <w:ind w:right="12"/>
              <w:jc w:val="center"/>
              <w:rPr>
                <w:rFonts w:eastAsia="Times New Roman" w:cstheme="minorHAnsi"/>
                <w:color w:val="002060"/>
                <w:sz w:val="18"/>
                <w:szCs w:val="20"/>
                <w:lang w:val="sr-Cyrl-RS"/>
              </w:rPr>
            </w:pPr>
          </w:p>
        </w:tc>
        <w:tc>
          <w:tcPr>
            <w:tcW w:w="887" w:type="pct"/>
            <w:tcBorders>
              <w:left w:val="nil"/>
              <w:right w:val="nil"/>
            </w:tcBorders>
            <w:shd w:val="clear" w:color="auto" w:fill="E7E6E6" w:themeFill="background2"/>
            <w:vAlign w:val="bottom"/>
            <w:hideMark/>
          </w:tcPr>
          <w:p w14:paraId="66A0C183" w14:textId="77777777" w:rsidR="00BA4876" w:rsidRPr="00A37BCE" w:rsidRDefault="00BA4876" w:rsidP="00357300">
            <w:pPr>
              <w:spacing w:after="0" w:line="240" w:lineRule="auto"/>
              <w:ind w:right="-10"/>
              <w:jc w:val="right"/>
              <w:rPr>
                <w:rFonts w:eastAsia="Times New Roman" w:cstheme="minorHAnsi"/>
                <w:color w:val="002060"/>
                <w:sz w:val="18"/>
                <w:szCs w:val="20"/>
                <w:lang w:val="sr-Cyrl-RS"/>
              </w:rPr>
            </w:pPr>
          </w:p>
        </w:tc>
      </w:tr>
      <w:tr w:rsidR="00BA4876" w:rsidRPr="00A37BCE" w14:paraId="071C9347" w14:textId="77777777" w:rsidTr="00BA4876">
        <w:trPr>
          <w:trHeight w:val="20"/>
          <w:jc w:val="center"/>
        </w:trPr>
        <w:tc>
          <w:tcPr>
            <w:tcW w:w="410" w:type="pct"/>
          </w:tcPr>
          <w:p w14:paraId="0F21C91D" w14:textId="77777777" w:rsidR="00BA4876" w:rsidRPr="00A37BCE" w:rsidRDefault="00BA4876" w:rsidP="00357300">
            <w:pPr>
              <w:numPr>
                <w:ilvl w:val="0"/>
                <w:numId w:val="7"/>
              </w:numPr>
              <w:tabs>
                <w:tab w:val="left" w:pos="480"/>
              </w:tabs>
              <w:spacing w:after="0" w:line="240" w:lineRule="auto"/>
              <w:contextualSpacing/>
              <w:jc w:val="both"/>
              <w:rPr>
                <w:rFonts w:eastAsia="Times New Roman" w:cstheme="minorHAnsi"/>
                <w:color w:val="002060"/>
                <w:sz w:val="18"/>
                <w:szCs w:val="20"/>
                <w:lang w:val="sr-Cyrl-RS"/>
              </w:rPr>
            </w:pPr>
          </w:p>
        </w:tc>
        <w:tc>
          <w:tcPr>
            <w:tcW w:w="2090" w:type="pct"/>
            <w:tcBorders>
              <w:left w:val="nil"/>
              <w:right w:val="nil"/>
            </w:tcBorders>
            <w:hideMark/>
          </w:tcPr>
          <w:p w14:paraId="1E2D0613" w14:textId="77777777" w:rsidR="00BA4876" w:rsidRPr="00A37BCE" w:rsidRDefault="00BA4876" w:rsidP="00357300">
            <w:pPr>
              <w:tabs>
                <w:tab w:val="left" w:pos="1440"/>
              </w:tabs>
              <w:spacing w:after="0" w:line="240" w:lineRule="auto"/>
              <w:rPr>
                <w:rFonts w:eastAsia="Times New Roman" w:cstheme="minorHAnsi"/>
                <w:color w:val="002060"/>
                <w:sz w:val="18"/>
                <w:szCs w:val="20"/>
                <w:lang w:val="sr-Cyrl-RS"/>
              </w:rPr>
            </w:pPr>
            <w:r w:rsidRPr="00A37BCE">
              <w:rPr>
                <w:rFonts w:eastAsia="Times New Roman" w:cstheme="minorHAnsi"/>
                <w:color w:val="002060"/>
                <w:sz w:val="18"/>
                <w:szCs w:val="20"/>
                <w:lang w:val="sr-Cyrl-RS"/>
              </w:rPr>
              <w:t>Чешка експортна банка</w:t>
            </w:r>
          </w:p>
        </w:tc>
        <w:tc>
          <w:tcPr>
            <w:tcW w:w="763" w:type="pct"/>
            <w:tcBorders>
              <w:left w:val="nil"/>
              <w:right w:val="nil"/>
            </w:tcBorders>
            <w:vAlign w:val="bottom"/>
            <w:hideMark/>
          </w:tcPr>
          <w:p w14:paraId="404EC4A5" w14:textId="77777777" w:rsidR="00BA4876" w:rsidRPr="00A37BCE" w:rsidRDefault="00BA4876" w:rsidP="00357300">
            <w:pPr>
              <w:spacing w:after="0" w:line="240" w:lineRule="auto"/>
              <w:ind w:right="-5"/>
              <w:jc w:val="right"/>
              <w:rPr>
                <w:rFonts w:eastAsia="Times New Roman" w:cstheme="minorHAnsi"/>
                <w:color w:val="002060"/>
                <w:sz w:val="18"/>
                <w:szCs w:val="20"/>
                <w:lang w:val="sr-Cyrl-RS"/>
              </w:rPr>
            </w:pPr>
          </w:p>
        </w:tc>
        <w:tc>
          <w:tcPr>
            <w:tcW w:w="850" w:type="pct"/>
            <w:tcBorders>
              <w:left w:val="nil"/>
              <w:right w:val="nil"/>
            </w:tcBorders>
            <w:vAlign w:val="bottom"/>
            <w:hideMark/>
          </w:tcPr>
          <w:p w14:paraId="28DABB32" w14:textId="77777777" w:rsidR="00BA4876" w:rsidRPr="00A37BCE" w:rsidRDefault="00BA4876" w:rsidP="008366FA">
            <w:pPr>
              <w:tabs>
                <w:tab w:val="left" w:pos="852"/>
                <w:tab w:val="left" w:pos="1452"/>
              </w:tabs>
              <w:spacing w:after="0" w:line="240" w:lineRule="auto"/>
              <w:ind w:right="12"/>
              <w:jc w:val="center"/>
              <w:rPr>
                <w:rFonts w:eastAsia="Times New Roman" w:cstheme="minorHAnsi"/>
                <w:color w:val="002060"/>
                <w:sz w:val="18"/>
                <w:szCs w:val="20"/>
                <w:lang w:val="sr-Cyrl-RS"/>
              </w:rPr>
            </w:pPr>
          </w:p>
        </w:tc>
        <w:tc>
          <w:tcPr>
            <w:tcW w:w="887" w:type="pct"/>
            <w:tcBorders>
              <w:left w:val="nil"/>
              <w:right w:val="nil"/>
            </w:tcBorders>
            <w:vAlign w:val="bottom"/>
            <w:hideMark/>
          </w:tcPr>
          <w:p w14:paraId="6A4C2B0D" w14:textId="77777777" w:rsidR="00BA4876" w:rsidRPr="00A37BCE" w:rsidRDefault="00BA4876" w:rsidP="00357300">
            <w:pPr>
              <w:tabs>
                <w:tab w:val="left" w:pos="2193"/>
              </w:tabs>
              <w:spacing w:after="0" w:line="240" w:lineRule="auto"/>
              <w:jc w:val="right"/>
              <w:rPr>
                <w:rFonts w:eastAsia="Times New Roman" w:cstheme="minorHAnsi"/>
                <w:color w:val="002060"/>
                <w:sz w:val="18"/>
                <w:szCs w:val="20"/>
                <w:lang w:val="sr-Cyrl-RS"/>
              </w:rPr>
            </w:pPr>
          </w:p>
        </w:tc>
      </w:tr>
      <w:tr w:rsidR="00BA4876" w:rsidRPr="00A37BCE" w14:paraId="6B10AB5F" w14:textId="77777777" w:rsidTr="00BA4876">
        <w:trPr>
          <w:trHeight w:val="20"/>
          <w:jc w:val="center"/>
        </w:trPr>
        <w:tc>
          <w:tcPr>
            <w:tcW w:w="410" w:type="pct"/>
          </w:tcPr>
          <w:p w14:paraId="6E4AC070" w14:textId="77777777" w:rsidR="00BA4876" w:rsidRPr="00A37BCE" w:rsidRDefault="00BA4876" w:rsidP="00357300">
            <w:pPr>
              <w:spacing w:after="0" w:line="240" w:lineRule="auto"/>
              <w:rPr>
                <w:rFonts w:eastAsia="Times New Roman" w:cstheme="minorHAnsi"/>
                <w:color w:val="002060"/>
                <w:sz w:val="18"/>
                <w:szCs w:val="20"/>
                <w:lang w:val="sr-Cyrl-RS"/>
              </w:rPr>
            </w:pPr>
            <w:r w:rsidRPr="00A37BCE">
              <w:rPr>
                <w:rFonts w:eastAsia="Times New Roman" w:cstheme="minorHAnsi"/>
                <w:color w:val="002060"/>
                <w:sz w:val="18"/>
                <w:szCs w:val="20"/>
                <w:lang w:val="sr-Cyrl-RS"/>
              </w:rPr>
              <w:t>1.1.</w:t>
            </w:r>
          </w:p>
        </w:tc>
        <w:tc>
          <w:tcPr>
            <w:tcW w:w="2090" w:type="pct"/>
            <w:tcBorders>
              <w:left w:val="nil"/>
              <w:right w:val="nil"/>
            </w:tcBorders>
            <w:hideMark/>
          </w:tcPr>
          <w:p w14:paraId="44C58AFD" w14:textId="77777777" w:rsidR="00BA4876" w:rsidRPr="00A37BCE" w:rsidRDefault="00BA4876" w:rsidP="00357300">
            <w:pPr>
              <w:spacing w:after="0" w:line="240" w:lineRule="auto"/>
              <w:ind w:right="223"/>
              <w:rPr>
                <w:rFonts w:eastAsia="Times New Roman" w:cstheme="minorHAnsi"/>
                <w:color w:val="002060"/>
                <w:sz w:val="18"/>
                <w:szCs w:val="20"/>
                <w:lang w:val="sr-Cyrl-RS"/>
              </w:rPr>
            </w:pPr>
            <w:r w:rsidRPr="00A37BCE">
              <w:rPr>
                <w:rFonts w:eastAsia="Times New Roman" w:cstheme="minorHAnsi"/>
                <w:color w:val="002060"/>
                <w:sz w:val="18"/>
                <w:szCs w:val="20"/>
                <w:lang w:val="sr-Cyrl-RS"/>
              </w:rPr>
              <w:t>ЈП ПЕУ ,,Ресавица” – Главни рударски пројекат експлоатације лежишта угља источног поља јаме РМУ „Соко”</w:t>
            </w:r>
          </w:p>
        </w:tc>
        <w:tc>
          <w:tcPr>
            <w:tcW w:w="763" w:type="pct"/>
            <w:tcBorders>
              <w:left w:val="nil"/>
              <w:right w:val="nil"/>
            </w:tcBorders>
            <w:vAlign w:val="bottom"/>
            <w:hideMark/>
          </w:tcPr>
          <w:p w14:paraId="6971E0F4" w14:textId="77777777" w:rsidR="00BA4876" w:rsidRPr="00A37BCE" w:rsidRDefault="00BA4876" w:rsidP="00357300">
            <w:pPr>
              <w:spacing w:after="0" w:line="240" w:lineRule="auto"/>
              <w:ind w:right="-5"/>
              <w:jc w:val="right"/>
              <w:rPr>
                <w:rFonts w:eastAsia="Times New Roman" w:cstheme="minorHAnsi"/>
                <w:color w:val="002060"/>
                <w:sz w:val="18"/>
                <w:szCs w:val="20"/>
                <w:highlight w:val="yellow"/>
                <w:lang w:val="sr-Cyrl-RS"/>
              </w:rPr>
            </w:pPr>
            <w:r w:rsidRPr="00A37BCE">
              <w:rPr>
                <w:rFonts w:eastAsia="Times New Roman" w:cstheme="minorHAnsi"/>
                <w:color w:val="002060"/>
                <w:sz w:val="18"/>
                <w:szCs w:val="20"/>
                <w:lang w:val="sr-Cyrl-RS"/>
              </w:rPr>
              <w:t>1.217.000.000</w:t>
            </w:r>
          </w:p>
        </w:tc>
        <w:tc>
          <w:tcPr>
            <w:tcW w:w="850" w:type="pct"/>
            <w:tcBorders>
              <w:left w:val="nil"/>
              <w:right w:val="nil"/>
            </w:tcBorders>
            <w:vAlign w:val="bottom"/>
            <w:hideMark/>
          </w:tcPr>
          <w:p w14:paraId="50CFD0B3" w14:textId="77777777" w:rsidR="00BA4876" w:rsidRPr="00A37BCE" w:rsidRDefault="00BA4876" w:rsidP="008366FA">
            <w:pPr>
              <w:tabs>
                <w:tab w:val="left" w:pos="852"/>
                <w:tab w:val="left" w:pos="1452"/>
              </w:tabs>
              <w:spacing w:after="0" w:line="240" w:lineRule="auto"/>
              <w:ind w:right="12"/>
              <w:jc w:val="center"/>
              <w:rPr>
                <w:rFonts w:eastAsia="Times New Roman" w:cstheme="minorHAnsi"/>
                <w:color w:val="002060"/>
                <w:sz w:val="18"/>
                <w:szCs w:val="20"/>
                <w:lang w:val="sr-Cyrl-RS"/>
              </w:rPr>
            </w:pPr>
            <w:r w:rsidRPr="00A37BCE">
              <w:rPr>
                <w:rFonts w:eastAsia="Times New Roman" w:cstheme="minorHAnsi"/>
                <w:color w:val="002060"/>
                <w:sz w:val="18"/>
                <w:szCs w:val="20"/>
                <w:lang w:val="sr-Cyrl-RS"/>
              </w:rPr>
              <w:t>EUR</w:t>
            </w:r>
          </w:p>
        </w:tc>
        <w:tc>
          <w:tcPr>
            <w:tcW w:w="887" w:type="pct"/>
            <w:tcBorders>
              <w:left w:val="nil"/>
              <w:right w:val="nil"/>
            </w:tcBorders>
            <w:vAlign w:val="bottom"/>
            <w:hideMark/>
          </w:tcPr>
          <w:p w14:paraId="4F86379F" w14:textId="77777777" w:rsidR="00BA4876" w:rsidRPr="00A37BCE" w:rsidRDefault="00BA4876" w:rsidP="00357300">
            <w:pPr>
              <w:tabs>
                <w:tab w:val="left" w:pos="2193"/>
              </w:tabs>
              <w:spacing w:after="0" w:line="240" w:lineRule="auto"/>
              <w:jc w:val="right"/>
              <w:rPr>
                <w:rFonts w:eastAsia="Times New Roman" w:cstheme="minorHAnsi"/>
                <w:color w:val="002060"/>
                <w:sz w:val="18"/>
                <w:szCs w:val="20"/>
                <w:lang w:val="sr-Cyrl-RS"/>
              </w:rPr>
            </w:pPr>
            <w:r w:rsidRPr="00A37BCE">
              <w:rPr>
                <w:rFonts w:eastAsia="Times New Roman" w:cstheme="minorHAnsi"/>
                <w:color w:val="002060"/>
                <w:sz w:val="18"/>
                <w:szCs w:val="20"/>
                <w:lang w:val="sr-Cyrl-RS"/>
              </w:rPr>
              <w:t>10.000.000</w:t>
            </w:r>
          </w:p>
        </w:tc>
      </w:tr>
      <w:tr w:rsidR="00BA4876" w:rsidRPr="00A37BCE" w14:paraId="3BA5F69D" w14:textId="77777777" w:rsidTr="00BA4876">
        <w:trPr>
          <w:trHeight w:val="20"/>
          <w:jc w:val="center"/>
        </w:trPr>
        <w:tc>
          <w:tcPr>
            <w:tcW w:w="410" w:type="pct"/>
            <w:vAlign w:val="bottom"/>
          </w:tcPr>
          <w:p w14:paraId="798B48D4" w14:textId="77777777" w:rsidR="00BA4876" w:rsidRPr="00A37BCE" w:rsidRDefault="00BA4876" w:rsidP="00357300">
            <w:pPr>
              <w:spacing w:after="0" w:line="240" w:lineRule="auto"/>
              <w:ind w:right="223"/>
              <w:rPr>
                <w:rFonts w:eastAsia="Times New Roman" w:cstheme="minorHAnsi"/>
                <w:color w:val="002060"/>
                <w:sz w:val="18"/>
                <w:szCs w:val="20"/>
                <w:lang w:val="sr-Cyrl-RS"/>
              </w:rPr>
            </w:pPr>
          </w:p>
        </w:tc>
        <w:tc>
          <w:tcPr>
            <w:tcW w:w="2090" w:type="pct"/>
            <w:tcBorders>
              <w:left w:val="nil"/>
              <w:right w:val="nil"/>
            </w:tcBorders>
            <w:vAlign w:val="bottom"/>
            <w:hideMark/>
          </w:tcPr>
          <w:p w14:paraId="6F75EDD1" w14:textId="77777777" w:rsidR="00BA4876" w:rsidRPr="00A37BCE" w:rsidRDefault="00BA4876" w:rsidP="00357300">
            <w:pPr>
              <w:spacing w:after="0" w:line="240" w:lineRule="auto"/>
              <w:ind w:right="223"/>
              <w:rPr>
                <w:rFonts w:eastAsia="Times New Roman" w:cstheme="minorHAnsi"/>
                <w:color w:val="002060"/>
                <w:sz w:val="18"/>
                <w:szCs w:val="20"/>
                <w:lang w:val="sr-Cyrl-RS"/>
              </w:rPr>
            </w:pPr>
            <w:r w:rsidRPr="00A37BCE">
              <w:rPr>
                <w:rFonts w:eastAsia="Times New Roman" w:cstheme="minorHAnsi"/>
                <w:color w:val="002060"/>
                <w:sz w:val="18"/>
                <w:szCs w:val="20"/>
                <w:lang w:val="sr-Cyrl-RS"/>
              </w:rPr>
              <w:t>Укупно:</w:t>
            </w:r>
          </w:p>
        </w:tc>
        <w:tc>
          <w:tcPr>
            <w:tcW w:w="763" w:type="pct"/>
            <w:tcBorders>
              <w:left w:val="nil"/>
              <w:right w:val="nil"/>
            </w:tcBorders>
            <w:vAlign w:val="bottom"/>
            <w:hideMark/>
          </w:tcPr>
          <w:p w14:paraId="1A314E0F" w14:textId="77777777" w:rsidR="00BA4876" w:rsidRPr="00A37BCE" w:rsidRDefault="00BA4876" w:rsidP="00357300">
            <w:pPr>
              <w:spacing w:after="0" w:line="240" w:lineRule="auto"/>
              <w:ind w:right="-10"/>
              <w:jc w:val="right"/>
              <w:rPr>
                <w:rFonts w:eastAsia="Times New Roman" w:cstheme="minorHAnsi"/>
                <w:color w:val="002060"/>
                <w:sz w:val="18"/>
                <w:szCs w:val="20"/>
                <w:highlight w:val="yellow"/>
                <w:lang w:val="sr-Cyrl-RS"/>
              </w:rPr>
            </w:pPr>
            <w:r w:rsidRPr="00A37BCE">
              <w:rPr>
                <w:rFonts w:eastAsia="Times New Roman" w:cstheme="minorHAnsi"/>
                <w:color w:val="002060"/>
                <w:sz w:val="18"/>
                <w:szCs w:val="20"/>
                <w:lang w:val="sr-Cyrl-RS"/>
              </w:rPr>
              <w:t>1.217.000.000</w:t>
            </w:r>
          </w:p>
        </w:tc>
        <w:tc>
          <w:tcPr>
            <w:tcW w:w="850" w:type="pct"/>
            <w:tcBorders>
              <w:left w:val="nil"/>
              <w:right w:val="nil"/>
            </w:tcBorders>
            <w:vAlign w:val="bottom"/>
            <w:hideMark/>
          </w:tcPr>
          <w:p w14:paraId="708C54E9" w14:textId="77777777" w:rsidR="00BA4876" w:rsidRPr="00A37BCE" w:rsidRDefault="00BA4876" w:rsidP="008366FA">
            <w:pPr>
              <w:tabs>
                <w:tab w:val="left" w:pos="852"/>
                <w:tab w:val="left" w:pos="1452"/>
              </w:tabs>
              <w:spacing w:after="0" w:line="240" w:lineRule="auto"/>
              <w:ind w:right="12"/>
              <w:jc w:val="center"/>
              <w:rPr>
                <w:rFonts w:eastAsia="Times New Roman" w:cstheme="minorHAnsi"/>
                <w:color w:val="002060"/>
                <w:sz w:val="18"/>
                <w:szCs w:val="20"/>
                <w:lang w:val="sr-Cyrl-RS"/>
              </w:rPr>
            </w:pPr>
            <w:r w:rsidRPr="00A37BCE">
              <w:rPr>
                <w:rFonts w:eastAsia="Times New Roman" w:cstheme="minorHAnsi"/>
                <w:color w:val="002060"/>
                <w:sz w:val="18"/>
                <w:szCs w:val="20"/>
                <w:lang w:val="sr-Cyrl-RS"/>
              </w:rPr>
              <w:t>EUR</w:t>
            </w:r>
          </w:p>
        </w:tc>
        <w:tc>
          <w:tcPr>
            <w:tcW w:w="887" w:type="pct"/>
            <w:tcBorders>
              <w:left w:val="nil"/>
              <w:right w:val="nil"/>
            </w:tcBorders>
            <w:vAlign w:val="bottom"/>
            <w:hideMark/>
          </w:tcPr>
          <w:p w14:paraId="52A26914" w14:textId="77777777" w:rsidR="00BA4876" w:rsidRPr="00A37BCE" w:rsidRDefault="00BA4876" w:rsidP="00357300">
            <w:pPr>
              <w:spacing w:after="0" w:line="240" w:lineRule="auto"/>
              <w:ind w:right="-10"/>
              <w:jc w:val="right"/>
              <w:rPr>
                <w:rFonts w:eastAsia="Times New Roman" w:cstheme="minorHAnsi"/>
                <w:color w:val="002060"/>
                <w:sz w:val="18"/>
                <w:szCs w:val="20"/>
                <w:lang w:val="sr-Cyrl-RS"/>
              </w:rPr>
            </w:pPr>
            <w:r w:rsidRPr="00A37BCE">
              <w:rPr>
                <w:rFonts w:eastAsia="Times New Roman" w:cstheme="minorHAnsi"/>
                <w:color w:val="002060"/>
                <w:sz w:val="18"/>
                <w:szCs w:val="20"/>
                <w:lang w:val="sr-Cyrl-RS"/>
              </w:rPr>
              <w:t>10.000.000</w:t>
            </w:r>
          </w:p>
        </w:tc>
      </w:tr>
      <w:tr w:rsidR="00BA4876" w:rsidRPr="00A37BCE" w14:paraId="516AB970" w14:textId="77777777" w:rsidTr="00BA4876">
        <w:trPr>
          <w:trHeight w:val="20"/>
          <w:jc w:val="center"/>
        </w:trPr>
        <w:tc>
          <w:tcPr>
            <w:tcW w:w="410" w:type="pct"/>
            <w:shd w:val="clear" w:color="auto" w:fill="E7E6E6" w:themeFill="background2"/>
            <w:vAlign w:val="bottom"/>
          </w:tcPr>
          <w:p w14:paraId="68F2B069" w14:textId="77777777" w:rsidR="00BA4876" w:rsidRPr="00A37BCE" w:rsidRDefault="00BA4876" w:rsidP="00357300">
            <w:pPr>
              <w:spacing w:after="0" w:line="240" w:lineRule="auto"/>
              <w:ind w:right="223"/>
              <w:rPr>
                <w:rFonts w:eastAsia="Times New Roman" w:cstheme="minorHAnsi"/>
                <w:color w:val="002060"/>
                <w:sz w:val="18"/>
                <w:szCs w:val="20"/>
                <w:lang w:val="sr-Cyrl-RS"/>
              </w:rPr>
            </w:pPr>
            <w:r w:rsidRPr="00A37BCE">
              <w:rPr>
                <w:rFonts w:eastAsia="Times New Roman" w:cstheme="minorHAnsi"/>
                <w:color w:val="002060"/>
                <w:sz w:val="18"/>
                <w:szCs w:val="20"/>
                <w:lang w:val="sr-Cyrl-RS"/>
              </w:rPr>
              <w:t xml:space="preserve"> V </w:t>
            </w:r>
          </w:p>
        </w:tc>
        <w:tc>
          <w:tcPr>
            <w:tcW w:w="2090" w:type="pct"/>
            <w:tcBorders>
              <w:left w:val="nil"/>
              <w:right w:val="nil"/>
            </w:tcBorders>
            <w:shd w:val="clear" w:color="auto" w:fill="E7E6E6" w:themeFill="background2"/>
            <w:vAlign w:val="center"/>
            <w:hideMark/>
          </w:tcPr>
          <w:p w14:paraId="4166A202" w14:textId="77777777" w:rsidR="00BA4876" w:rsidRPr="00A37BCE" w:rsidRDefault="00BA4876" w:rsidP="00357300">
            <w:pPr>
              <w:spacing w:after="0" w:line="240" w:lineRule="auto"/>
              <w:ind w:right="223"/>
              <w:rPr>
                <w:rFonts w:eastAsia="Times New Roman" w:cstheme="minorHAnsi"/>
                <w:color w:val="002060"/>
                <w:sz w:val="18"/>
                <w:szCs w:val="20"/>
                <w:lang w:val="sr-Cyrl-RS"/>
              </w:rPr>
            </w:pPr>
            <w:r w:rsidRPr="00A37BCE">
              <w:rPr>
                <w:rFonts w:eastAsia="Times New Roman" w:cstheme="minorHAnsi"/>
                <w:color w:val="002060"/>
                <w:sz w:val="18"/>
                <w:szCs w:val="20"/>
                <w:lang w:val="sr-Cyrl-RS"/>
              </w:rPr>
              <w:t>Кувајтски фонд за арапски економски развој</w:t>
            </w:r>
          </w:p>
        </w:tc>
        <w:tc>
          <w:tcPr>
            <w:tcW w:w="763" w:type="pct"/>
            <w:tcBorders>
              <w:left w:val="nil"/>
              <w:right w:val="nil"/>
            </w:tcBorders>
            <w:shd w:val="clear" w:color="auto" w:fill="E7E6E6" w:themeFill="background2"/>
            <w:vAlign w:val="bottom"/>
            <w:hideMark/>
          </w:tcPr>
          <w:p w14:paraId="1961F5DB" w14:textId="77777777" w:rsidR="00BA4876" w:rsidRPr="00A37BCE" w:rsidRDefault="00BA4876" w:rsidP="00357300">
            <w:pPr>
              <w:spacing w:after="0" w:line="240" w:lineRule="auto"/>
              <w:ind w:right="-10"/>
              <w:jc w:val="right"/>
              <w:rPr>
                <w:rFonts w:eastAsia="Times New Roman" w:cstheme="minorHAnsi"/>
                <w:color w:val="002060"/>
                <w:sz w:val="18"/>
                <w:szCs w:val="20"/>
                <w:lang w:val="sr-Cyrl-RS"/>
              </w:rPr>
            </w:pPr>
          </w:p>
        </w:tc>
        <w:tc>
          <w:tcPr>
            <w:tcW w:w="850" w:type="pct"/>
            <w:tcBorders>
              <w:left w:val="nil"/>
              <w:right w:val="nil"/>
            </w:tcBorders>
            <w:shd w:val="clear" w:color="auto" w:fill="E7E6E6" w:themeFill="background2"/>
            <w:vAlign w:val="bottom"/>
            <w:hideMark/>
          </w:tcPr>
          <w:p w14:paraId="5E217ED7" w14:textId="77777777" w:rsidR="00BA4876" w:rsidRPr="00A37BCE" w:rsidRDefault="00BA4876" w:rsidP="008366FA">
            <w:pPr>
              <w:tabs>
                <w:tab w:val="left" w:pos="852"/>
                <w:tab w:val="left" w:pos="1452"/>
              </w:tabs>
              <w:spacing w:after="0" w:line="240" w:lineRule="auto"/>
              <w:ind w:right="12"/>
              <w:jc w:val="center"/>
              <w:rPr>
                <w:rFonts w:eastAsia="Times New Roman" w:cstheme="minorHAnsi"/>
                <w:color w:val="002060"/>
                <w:sz w:val="18"/>
                <w:szCs w:val="20"/>
                <w:lang w:val="sr-Cyrl-RS"/>
              </w:rPr>
            </w:pPr>
          </w:p>
        </w:tc>
        <w:tc>
          <w:tcPr>
            <w:tcW w:w="887" w:type="pct"/>
            <w:tcBorders>
              <w:left w:val="nil"/>
              <w:right w:val="nil"/>
            </w:tcBorders>
            <w:shd w:val="clear" w:color="auto" w:fill="E7E6E6" w:themeFill="background2"/>
            <w:vAlign w:val="bottom"/>
            <w:hideMark/>
          </w:tcPr>
          <w:p w14:paraId="460BE55B" w14:textId="77777777" w:rsidR="00BA4876" w:rsidRPr="00A37BCE" w:rsidRDefault="00BA4876" w:rsidP="00357300">
            <w:pPr>
              <w:spacing w:after="0" w:line="240" w:lineRule="auto"/>
              <w:ind w:right="-10"/>
              <w:jc w:val="right"/>
              <w:rPr>
                <w:rFonts w:eastAsia="Times New Roman" w:cstheme="minorHAnsi"/>
                <w:color w:val="002060"/>
                <w:sz w:val="18"/>
                <w:szCs w:val="20"/>
                <w:lang w:val="sr-Cyrl-RS"/>
              </w:rPr>
            </w:pPr>
          </w:p>
        </w:tc>
      </w:tr>
      <w:tr w:rsidR="00BA4876" w:rsidRPr="00A37BCE" w14:paraId="77827B7D" w14:textId="77777777" w:rsidTr="00BA4876">
        <w:trPr>
          <w:trHeight w:val="20"/>
          <w:jc w:val="center"/>
        </w:trPr>
        <w:tc>
          <w:tcPr>
            <w:tcW w:w="410" w:type="pct"/>
          </w:tcPr>
          <w:p w14:paraId="0658CE50" w14:textId="77777777" w:rsidR="00BA4876" w:rsidRPr="00A37BCE" w:rsidRDefault="00BA4876" w:rsidP="00357300">
            <w:pPr>
              <w:spacing w:after="0" w:line="240" w:lineRule="auto"/>
              <w:rPr>
                <w:rFonts w:eastAsia="Times New Roman" w:cstheme="minorHAnsi"/>
                <w:color w:val="002060"/>
                <w:sz w:val="18"/>
                <w:szCs w:val="20"/>
                <w:lang w:val="sr-Cyrl-RS"/>
              </w:rPr>
            </w:pPr>
            <w:r w:rsidRPr="00A37BCE">
              <w:rPr>
                <w:rFonts w:eastAsia="Times New Roman" w:cstheme="minorHAnsi"/>
                <w:color w:val="002060"/>
                <w:sz w:val="18"/>
                <w:szCs w:val="20"/>
                <w:lang w:val="sr-Cyrl-RS"/>
              </w:rPr>
              <w:t>1.</w:t>
            </w:r>
          </w:p>
        </w:tc>
        <w:tc>
          <w:tcPr>
            <w:tcW w:w="2090" w:type="pct"/>
            <w:tcBorders>
              <w:left w:val="nil"/>
              <w:right w:val="nil"/>
            </w:tcBorders>
            <w:hideMark/>
          </w:tcPr>
          <w:p w14:paraId="17EF97A0" w14:textId="6CC9734A" w:rsidR="00BA4876" w:rsidRPr="00A37BCE" w:rsidRDefault="00BA4876" w:rsidP="00357300">
            <w:pPr>
              <w:spacing w:after="0" w:line="240" w:lineRule="auto"/>
              <w:ind w:right="223"/>
              <w:rPr>
                <w:rFonts w:eastAsia="Times New Roman" w:cstheme="minorHAnsi"/>
                <w:color w:val="002060"/>
                <w:sz w:val="18"/>
                <w:szCs w:val="20"/>
                <w:lang w:val="sr-Cyrl-RS"/>
              </w:rPr>
            </w:pPr>
            <w:r w:rsidRPr="00A37BCE">
              <w:rPr>
                <w:rFonts w:eastAsia="Times New Roman" w:cstheme="minorHAnsi"/>
                <w:color w:val="002060"/>
                <w:sz w:val="18"/>
                <w:szCs w:val="20"/>
                <w:lang w:val="sr-Cyrl-RS"/>
              </w:rPr>
              <w:t>,,Инфраструктура железнице Србије” а.</w:t>
            </w:r>
            <w:r w:rsidR="00956C60">
              <w:rPr>
                <w:rFonts w:eastAsia="Times New Roman" w:cstheme="minorHAnsi"/>
                <w:color w:val="002060"/>
                <w:sz w:val="18"/>
                <w:szCs w:val="20"/>
                <w:lang w:val="sr-Cyrl-RS"/>
              </w:rPr>
              <w:t xml:space="preserve"> </w:t>
            </w:r>
            <w:r w:rsidRPr="00A37BCE">
              <w:rPr>
                <w:rFonts w:eastAsia="Times New Roman" w:cstheme="minorHAnsi"/>
                <w:color w:val="002060"/>
                <w:sz w:val="18"/>
                <w:szCs w:val="20"/>
                <w:lang w:val="sr-Cyrl-RS"/>
              </w:rPr>
              <w:t>д. – Изградња станичне зграде железничке станице Београд Центар – Фаза II</w:t>
            </w:r>
          </w:p>
        </w:tc>
        <w:tc>
          <w:tcPr>
            <w:tcW w:w="763" w:type="pct"/>
            <w:tcBorders>
              <w:left w:val="nil"/>
              <w:right w:val="nil"/>
            </w:tcBorders>
            <w:vAlign w:val="bottom"/>
            <w:hideMark/>
          </w:tcPr>
          <w:p w14:paraId="5D989051" w14:textId="77777777" w:rsidR="00BA4876" w:rsidRPr="00A37BCE" w:rsidRDefault="00BA4876" w:rsidP="00357300">
            <w:pPr>
              <w:spacing w:after="0" w:line="240" w:lineRule="auto"/>
              <w:ind w:right="-5"/>
              <w:jc w:val="right"/>
              <w:rPr>
                <w:rFonts w:eastAsia="Times New Roman" w:cstheme="minorHAnsi"/>
                <w:color w:val="002060"/>
                <w:sz w:val="18"/>
                <w:szCs w:val="20"/>
                <w:highlight w:val="yellow"/>
                <w:lang w:val="sr-Cyrl-RS"/>
              </w:rPr>
            </w:pPr>
            <w:r w:rsidRPr="00A37BCE">
              <w:rPr>
                <w:rFonts w:eastAsia="Times New Roman" w:cstheme="minorHAnsi"/>
                <w:color w:val="002060"/>
                <w:sz w:val="18"/>
                <w:szCs w:val="20"/>
                <w:lang w:val="sr-Cyrl-RS"/>
              </w:rPr>
              <w:t>6.030.000.000</w:t>
            </w:r>
          </w:p>
        </w:tc>
        <w:tc>
          <w:tcPr>
            <w:tcW w:w="850" w:type="pct"/>
            <w:tcBorders>
              <w:left w:val="nil"/>
              <w:right w:val="nil"/>
            </w:tcBorders>
            <w:vAlign w:val="bottom"/>
            <w:hideMark/>
          </w:tcPr>
          <w:p w14:paraId="40E5604C" w14:textId="77777777" w:rsidR="00BA4876" w:rsidRPr="00A37BCE" w:rsidRDefault="00BA4876" w:rsidP="008366FA">
            <w:pPr>
              <w:tabs>
                <w:tab w:val="left" w:pos="852"/>
                <w:tab w:val="left" w:pos="1452"/>
              </w:tabs>
              <w:spacing w:after="0" w:line="240" w:lineRule="auto"/>
              <w:ind w:right="12"/>
              <w:jc w:val="center"/>
              <w:rPr>
                <w:rFonts w:eastAsia="Times New Roman" w:cstheme="minorHAnsi"/>
                <w:color w:val="002060"/>
                <w:sz w:val="18"/>
                <w:szCs w:val="20"/>
                <w:lang w:val="sr-Cyrl-RS"/>
              </w:rPr>
            </w:pPr>
            <w:r w:rsidRPr="00A37BCE">
              <w:rPr>
                <w:rFonts w:eastAsia="Times New Roman" w:cstheme="minorHAnsi"/>
                <w:color w:val="002060"/>
                <w:sz w:val="18"/>
                <w:szCs w:val="20"/>
                <w:lang w:val="sr-Cyrl-RS"/>
              </w:rPr>
              <w:t>KWD</w:t>
            </w:r>
          </w:p>
        </w:tc>
        <w:tc>
          <w:tcPr>
            <w:tcW w:w="887" w:type="pct"/>
            <w:tcBorders>
              <w:left w:val="nil"/>
              <w:right w:val="nil"/>
            </w:tcBorders>
            <w:vAlign w:val="bottom"/>
            <w:hideMark/>
          </w:tcPr>
          <w:p w14:paraId="3AAC1A87" w14:textId="77777777" w:rsidR="00BA4876" w:rsidRPr="00A37BCE" w:rsidRDefault="00BA4876" w:rsidP="00357300">
            <w:pPr>
              <w:tabs>
                <w:tab w:val="left" w:pos="2193"/>
              </w:tabs>
              <w:spacing w:after="0" w:line="240" w:lineRule="auto"/>
              <w:jc w:val="right"/>
              <w:rPr>
                <w:rFonts w:eastAsia="Times New Roman" w:cstheme="minorHAnsi"/>
                <w:color w:val="002060"/>
                <w:sz w:val="18"/>
                <w:szCs w:val="20"/>
                <w:lang w:val="sr-Cyrl-RS"/>
              </w:rPr>
            </w:pPr>
            <w:r w:rsidRPr="00A37BCE">
              <w:rPr>
                <w:rFonts w:eastAsia="Times New Roman" w:cstheme="minorHAnsi"/>
                <w:color w:val="002060"/>
                <w:sz w:val="18"/>
                <w:szCs w:val="20"/>
                <w:lang w:val="sr-Cyrl-RS"/>
              </w:rPr>
              <w:t>18.000.000</w:t>
            </w:r>
          </w:p>
        </w:tc>
      </w:tr>
      <w:tr w:rsidR="00BA4876" w:rsidRPr="00A37BCE" w14:paraId="09864B73" w14:textId="77777777" w:rsidTr="00BA4876">
        <w:trPr>
          <w:trHeight w:val="20"/>
          <w:jc w:val="center"/>
        </w:trPr>
        <w:tc>
          <w:tcPr>
            <w:tcW w:w="410" w:type="pct"/>
            <w:vAlign w:val="bottom"/>
          </w:tcPr>
          <w:p w14:paraId="63C8716E" w14:textId="77777777" w:rsidR="00BA4876" w:rsidRPr="00A37BCE" w:rsidRDefault="00BA4876" w:rsidP="00357300">
            <w:pPr>
              <w:spacing w:after="0" w:line="240" w:lineRule="auto"/>
              <w:ind w:right="223"/>
              <w:rPr>
                <w:rFonts w:eastAsia="Times New Roman" w:cstheme="minorHAnsi"/>
                <w:color w:val="002060"/>
                <w:sz w:val="18"/>
                <w:szCs w:val="20"/>
                <w:lang w:val="sr-Cyrl-RS"/>
              </w:rPr>
            </w:pPr>
          </w:p>
        </w:tc>
        <w:tc>
          <w:tcPr>
            <w:tcW w:w="2090" w:type="pct"/>
            <w:tcBorders>
              <w:left w:val="nil"/>
              <w:right w:val="nil"/>
            </w:tcBorders>
            <w:vAlign w:val="bottom"/>
            <w:hideMark/>
          </w:tcPr>
          <w:p w14:paraId="1BB46F17" w14:textId="77777777" w:rsidR="00BA4876" w:rsidRPr="00A37BCE" w:rsidRDefault="00BA4876" w:rsidP="00357300">
            <w:pPr>
              <w:spacing w:after="0" w:line="240" w:lineRule="auto"/>
              <w:ind w:right="223"/>
              <w:rPr>
                <w:rFonts w:eastAsia="Times New Roman" w:cstheme="minorHAnsi"/>
                <w:color w:val="002060"/>
                <w:sz w:val="18"/>
                <w:szCs w:val="20"/>
                <w:lang w:val="sr-Cyrl-RS"/>
              </w:rPr>
            </w:pPr>
            <w:r w:rsidRPr="00A37BCE">
              <w:rPr>
                <w:rFonts w:eastAsia="Times New Roman" w:cstheme="minorHAnsi"/>
                <w:color w:val="002060"/>
                <w:sz w:val="18"/>
                <w:szCs w:val="20"/>
                <w:lang w:val="sr-Cyrl-RS"/>
              </w:rPr>
              <w:t>Укупно:</w:t>
            </w:r>
          </w:p>
        </w:tc>
        <w:tc>
          <w:tcPr>
            <w:tcW w:w="763" w:type="pct"/>
            <w:tcBorders>
              <w:left w:val="nil"/>
              <w:right w:val="nil"/>
            </w:tcBorders>
            <w:vAlign w:val="bottom"/>
            <w:hideMark/>
          </w:tcPr>
          <w:p w14:paraId="74168EEF" w14:textId="77777777" w:rsidR="00BA4876" w:rsidRPr="00A37BCE" w:rsidRDefault="00BA4876" w:rsidP="00357300">
            <w:pPr>
              <w:spacing w:after="0" w:line="240" w:lineRule="auto"/>
              <w:ind w:right="-10"/>
              <w:jc w:val="right"/>
              <w:rPr>
                <w:rFonts w:eastAsia="Times New Roman" w:cstheme="minorHAnsi"/>
                <w:color w:val="002060"/>
                <w:sz w:val="18"/>
                <w:szCs w:val="20"/>
                <w:highlight w:val="yellow"/>
                <w:lang w:val="sr-Cyrl-RS"/>
              </w:rPr>
            </w:pPr>
            <w:r w:rsidRPr="00A37BCE">
              <w:rPr>
                <w:rFonts w:eastAsia="Times New Roman" w:cstheme="minorHAnsi"/>
                <w:color w:val="002060"/>
                <w:sz w:val="18"/>
                <w:szCs w:val="20"/>
                <w:lang w:val="sr-Cyrl-RS"/>
              </w:rPr>
              <w:t>6.030.000.000</w:t>
            </w:r>
          </w:p>
        </w:tc>
        <w:tc>
          <w:tcPr>
            <w:tcW w:w="850" w:type="pct"/>
            <w:tcBorders>
              <w:left w:val="nil"/>
              <w:right w:val="nil"/>
            </w:tcBorders>
            <w:vAlign w:val="bottom"/>
            <w:hideMark/>
          </w:tcPr>
          <w:p w14:paraId="20764EE7" w14:textId="77777777" w:rsidR="00BA4876" w:rsidRPr="00A37BCE" w:rsidRDefault="00BA4876" w:rsidP="008366FA">
            <w:pPr>
              <w:tabs>
                <w:tab w:val="left" w:pos="852"/>
                <w:tab w:val="left" w:pos="1452"/>
              </w:tabs>
              <w:spacing w:after="0" w:line="240" w:lineRule="auto"/>
              <w:ind w:right="12"/>
              <w:jc w:val="center"/>
              <w:rPr>
                <w:rFonts w:eastAsia="Times New Roman" w:cstheme="minorHAnsi"/>
                <w:color w:val="002060"/>
                <w:sz w:val="18"/>
                <w:szCs w:val="20"/>
                <w:lang w:val="sr-Cyrl-RS"/>
              </w:rPr>
            </w:pPr>
            <w:r w:rsidRPr="00A37BCE">
              <w:rPr>
                <w:rFonts w:eastAsia="Times New Roman" w:cstheme="minorHAnsi"/>
                <w:color w:val="002060"/>
                <w:sz w:val="18"/>
                <w:szCs w:val="20"/>
                <w:lang w:val="sr-Cyrl-RS"/>
              </w:rPr>
              <w:t>KWD</w:t>
            </w:r>
          </w:p>
        </w:tc>
        <w:tc>
          <w:tcPr>
            <w:tcW w:w="887" w:type="pct"/>
            <w:tcBorders>
              <w:left w:val="nil"/>
              <w:right w:val="nil"/>
            </w:tcBorders>
            <w:vAlign w:val="bottom"/>
            <w:hideMark/>
          </w:tcPr>
          <w:p w14:paraId="75BDB2EE" w14:textId="77777777" w:rsidR="00BA4876" w:rsidRPr="00A37BCE" w:rsidRDefault="00BA4876" w:rsidP="00357300">
            <w:pPr>
              <w:spacing w:after="0" w:line="240" w:lineRule="auto"/>
              <w:ind w:right="-10"/>
              <w:jc w:val="right"/>
              <w:rPr>
                <w:rFonts w:eastAsia="Times New Roman" w:cstheme="minorHAnsi"/>
                <w:color w:val="002060"/>
                <w:sz w:val="18"/>
                <w:szCs w:val="20"/>
                <w:lang w:val="sr-Cyrl-RS"/>
              </w:rPr>
            </w:pPr>
            <w:r w:rsidRPr="00A37BCE">
              <w:rPr>
                <w:rFonts w:eastAsia="Times New Roman" w:cstheme="minorHAnsi"/>
                <w:color w:val="002060"/>
                <w:sz w:val="18"/>
                <w:szCs w:val="20"/>
                <w:lang w:val="sr-Cyrl-RS"/>
              </w:rPr>
              <w:t>18.000.000</w:t>
            </w:r>
          </w:p>
        </w:tc>
      </w:tr>
      <w:tr w:rsidR="00BA4876" w:rsidRPr="00A37BCE" w14:paraId="646ACBD7" w14:textId="77777777" w:rsidTr="00F96DF2">
        <w:trPr>
          <w:trHeight w:val="20"/>
          <w:jc w:val="center"/>
        </w:trPr>
        <w:tc>
          <w:tcPr>
            <w:tcW w:w="410" w:type="pct"/>
            <w:vAlign w:val="bottom"/>
          </w:tcPr>
          <w:p w14:paraId="00093F57" w14:textId="77777777" w:rsidR="00BA4876" w:rsidRPr="00A37BCE" w:rsidRDefault="00BA4876" w:rsidP="00357300">
            <w:pPr>
              <w:spacing w:after="0" w:line="240" w:lineRule="auto"/>
              <w:ind w:right="223"/>
              <w:rPr>
                <w:rFonts w:eastAsia="Times New Roman" w:cstheme="minorHAnsi"/>
                <w:color w:val="002060"/>
                <w:sz w:val="18"/>
                <w:szCs w:val="20"/>
                <w:lang w:val="sr-Cyrl-RS"/>
              </w:rPr>
            </w:pPr>
          </w:p>
        </w:tc>
        <w:tc>
          <w:tcPr>
            <w:tcW w:w="2090" w:type="pct"/>
            <w:tcBorders>
              <w:left w:val="nil"/>
              <w:right w:val="nil"/>
            </w:tcBorders>
            <w:vAlign w:val="bottom"/>
            <w:hideMark/>
          </w:tcPr>
          <w:p w14:paraId="7DCFA7CC" w14:textId="77777777" w:rsidR="00BA4876" w:rsidRPr="00A37BCE" w:rsidRDefault="00BA4876" w:rsidP="00357300">
            <w:pPr>
              <w:spacing w:after="0" w:line="240" w:lineRule="auto"/>
              <w:ind w:right="223"/>
              <w:rPr>
                <w:rFonts w:eastAsia="Times New Roman" w:cstheme="minorHAnsi"/>
                <w:color w:val="002060"/>
                <w:sz w:val="18"/>
                <w:szCs w:val="20"/>
                <w:lang w:val="sr-Cyrl-RS"/>
              </w:rPr>
            </w:pPr>
            <w:r w:rsidRPr="00A37BCE">
              <w:rPr>
                <w:rFonts w:eastAsia="Times New Roman" w:cstheme="minorHAnsi"/>
                <w:color w:val="002060"/>
                <w:sz w:val="18"/>
                <w:szCs w:val="20"/>
                <w:lang w:val="sr-Cyrl-RS"/>
              </w:rPr>
              <w:t>УКУПНО:</w:t>
            </w:r>
          </w:p>
        </w:tc>
        <w:tc>
          <w:tcPr>
            <w:tcW w:w="763" w:type="pct"/>
            <w:tcBorders>
              <w:left w:val="nil"/>
              <w:right w:val="nil"/>
            </w:tcBorders>
            <w:vAlign w:val="bottom"/>
            <w:hideMark/>
          </w:tcPr>
          <w:p w14:paraId="226529FC" w14:textId="77777777" w:rsidR="00BA4876" w:rsidRPr="00A37BCE" w:rsidRDefault="00BA4876" w:rsidP="00357300">
            <w:pPr>
              <w:spacing w:after="0" w:line="240" w:lineRule="auto"/>
              <w:ind w:right="-10"/>
              <w:jc w:val="right"/>
              <w:rPr>
                <w:rFonts w:eastAsia="Times New Roman" w:cstheme="minorHAnsi"/>
                <w:color w:val="002060"/>
                <w:sz w:val="18"/>
                <w:szCs w:val="20"/>
                <w:highlight w:val="yellow"/>
                <w:lang w:val="sr-Cyrl-RS"/>
              </w:rPr>
            </w:pPr>
          </w:p>
        </w:tc>
        <w:tc>
          <w:tcPr>
            <w:tcW w:w="850" w:type="pct"/>
            <w:tcBorders>
              <w:left w:val="nil"/>
              <w:right w:val="nil"/>
            </w:tcBorders>
            <w:vAlign w:val="bottom"/>
            <w:hideMark/>
          </w:tcPr>
          <w:p w14:paraId="1E0866D1" w14:textId="77777777" w:rsidR="00BA4876" w:rsidRPr="00A37BCE" w:rsidRDefault="00BA4876" w:rsidP="008366FA">
            <w:pPr>
              <w:tabs>
                <w:tab w:val="left" w:pos="852"/>
                <w:tab w:val="left" w:pos="1452"/>
              </w:tabs>
              <w:spacing w:after="0" w:line="240" w:lineRule="auto"/>
              <w:ind w:right="12"/>
              <w:jc w:val="center"/>
              <w:rPr>
                <w:rFonts w:eastAsia="Times New Roman" w:cstheme="minorHAnsi"/>
                <w:color w:val="002060"/>
                <w:sz w:val="18"/>
                <w:szCs w:val="20"/>
                <w:lang w:val="sr-Cyrl-RS"/>
              </w:rPr>
            </w:pPr>
            <w:r w:rsidRPr="00A37BCE">
              <w:rPr>
                <w:rFonts w:eastAsia="Times New Roman" w:cstheme="minorHAnsi"/>
                <w:color w:val="002060"/>
                <w:sz w:val="18"/>
                <w:szCs w:val="20"/>
                <w:lang w:val="sr-Cyrl-RS"/>
              </w:rPr>
              <w:t>EUR</w:t>
            </w:r>
          </w:p>
        </w:tc>
        <w:tc>
          <w:tcPr>
            <w:tcW w:w="887" w:type="pct"/>
            <w:tcBorders>
              <w:left w:val="nil"/>
              <w:right w:val="nil"/>
            </w:tcBorders>
            <w:vAlign w:val="bottom"/>
            <w:hideMark/>
          </w:tcPr>
          <w:p w14:paraId="435D113B" w14:textId="77777777" w:rsidR="00BA4876" w:rsidRPr="00A37BCE" w:rsidRDefault="00BA4876" w:rsidP="00357300">
            <w:pPr>
              <w:spacing w:after="0" w:line="240" w:lineRule="auto"/>
              <w:ind w:right="-10"/>
              <w:jc w:val="right"/>
              <w:rPr>
                <w:rFonts w:eastAsia="Times New Roman" w:cstheme="minorHAnsi"/>
                <w:color w:val="002060"/>
                <w:sz w:val="18"/>
                <w:szCs w:val="20"/>
                <w:lang w:val="sr-Cyrl-RS"/>
              </w:rPr>
            </w:pPr>
            <w:r w:rsidRPr="00A37BCE">
              <w:rPr>
                <w:rFonts w:eastAsia="Times New Roman" w:cstheme="minorHAnsi"/>
                <w:color w:val="002060"/>
                <w:sz w:val="18"/>
                <w:szCs w:val="20"/>
                <w:lang w:val="sr-Cyrl-RS"/>
              </w:rPr>
              <w:t>432.000.000</w:t>
            </w:r>
          </w:p>
        </w:tc>
      </w:tr>
      <w:tr w:rsidR="00BA4876" w:rsidRPr="00A37BCE" w14:paraId="4E95474A" w14:textId="77777777" w:rsidTr="00F96DF2">
        <w:trPr>
          <w:trHeight w:val="80"/>
          <w:jc w:val="center"/>
        </w:trPr>
        <w:tc>
          <w:tcPr>
            <w:tcW w:w="410" w:type="pct"/>
            <w:tcBorders>
              <w:bottom w:val="single" w:sz="4" w:space="0" w:color="002060"/>
            </w:tcBorders>
            <w:vAlign w:val="bottom"/>
          </w:tcPr>
          <w:p w14:paraId="701AD4EA" w14:textId="77777777" w:rsidR="00BA4876" w:rsidRPr="00A37BCE" w:rsidRDefault="00BA4876" w:rsidP="00357300">
            <w:pPr>
              <w:spacing w:after="0" w:line="240" w:lineRule="auto"/>
              <w:ind w:right="223"/>
              <w:jc w:val="both"/>
              <w:rPr>
                <w:rFonts w:eastAsia="Times New Roman" w:cstheme="minorHAnsi"/>
                <w:color w:val="002060"/>
                <w:sz w:val="18"/>
                <w:szCs w:val="20"/>
                <w:lang w:val="sr-Cyrl-RS"/>
              </w:rPr>
            </w:pPr>
          </w:p>
        </w:tc>
        <w:tc>
          <w:tcPr>
            <w:tcW w:w="2090" w:type="pct"/>
            <w:tcBorders>
              <w:left w:val="nil"/>
              <w:bottom w:val="single" w:sz="4" w:space="0" w:color="002060"/>
              <w:right w:val="nil"/>
            </w:tcBorders>
            <w:vAlign w:val="bottom"/>
          </w:tcPr>
          <w:p w14:paraId="5066FEBB" w14:textId="77777777" w:rsidR="00BA4876" w:rsidRPr="00A37BCE" w:rsidRDefault="00BA4876" w:rsidP="00357300">
            <w:pPr>
              <w:spacing w:after="0" w:line="240" w:lineRule="auto"/>
              <w:ind w:right="223"/>
              <w:jc w:val="both"/>
              <w:rPr>
                <w:rFonts w:eastAsia="Times New Roman" w:cstheme="minorHAnsi"/>
                <w:color w:val="002060"/>
                <w:sz w:val="18"/>
                <w:szCs w:val="20"/>
                <w:lang w:val="sr-Cyrl-RS"/>
              </w:rPr>
            </w:pPr>
          </w:p>
        </w:tc>
        <w:tc>
          <w:tcPr>
            <w:tcW w:w="763" w:type="pct"/>
            <w:tcBorders>
              <w:left w:val="nil"/>
              <w:bottom w:val="single" w:sz="4" w:space="0" w:color="002060"/>
              <w:right w:val="nil"/>
            </w:tcBorders>
            <w:vAlign w:val="bottom"/>
          </w:tcPr>
          <w:p w14:paraId="1A47312A" w14:textId="77777777" w:rsidR="00BA4876" w:rsidRPr="00A37BCE" w:rsidRDefault="00BA4876" w:rsidP="00357300">
            <w:pPr>
              <w:spacing w:after="0" w:line="240" w:lineRule="auto"/>
              <w:ind w:right="-10"/>
              <w:jc w:val="right"/>
              <w:rPr>
                <w:rFonts w:eastAsia="Times New Roman" w:cstheme="minorHAnsi"/>
                <w:color w:val="002060"/>
                <w:sz w:val="18"/>
                <w:szCs w:val="20"/>
                <w:highlight w:val="yellow"/>
                <w:lang w:val="sr-Cyrl-RS"/>
              </w:rPr>
            </w:pPr>
            <w:r w:rsidRPr="00A37BCE">
              <w:rPr>
                <w:rFonts w:eastAsia="Times New Roman" w:cstheme="minorHAnsi"/>
                <w:color w:val="002060"/>
                <w:sz w:val="18"/>
                <w:szCs w:val="20"/>
                <w:lang w:val="sr-Cyrl-RS"/>
              </w:rPr>
              <w:t>58.604.400.000</w:t>
            </w:r>
          </w:p>
        </w:tc>
        <w:tc>
          <w:tcPr>
            <w:tcW w:w="850" w:type="pct"/>
            <w:tcBorders>
              <w:left w:val="nil"/>
              <w:bottom w:val="single" w:sz="4" w:space="0" w:color="002060"/>
              <w:right w:val="nil"/>
            </w:tcBorders>
            <w:vAlign w:val="bottom"/>
          </w:tcPr>
          <w:p w14:paraId="3835DAF2" w14:textId="77777777" w:rsidR="00BA4876" w:rsidRPr="00A37BCE" w:rsidRDefault="00BA4876" w:rsidP="008366FA">
            <w:pPr>
              <w:tabs>
                <w:tab w:val="left" w:pos="852"/>
                <w:tab w:val="left" w:pos="1452"/>
              </w:tabs>
              <w:spacing w:after="0" w:line="240" w:lineRule="auto"/>
              <w:ind w:right="12"/>
              <w:jc w:val="center"/>
              <w:rPr>
                <w:rFonts w:eastAsia="Times New Roman" w:cstheme="minorHAnsi"/>
                <w:color w:val="002060"/>
                <w:sz w:val="18"/>
                <w:szCs w:val="20"/>
                <w:lang w:val="sr-Cyrl-RS"/>
              </w:rPr>
            </w:pPr>
            <w:r w:rsidRPr="00A37BCE">
              <w:rPr>
                <w:rFonts w:eastAsia="Times New Roman" w:cstheme="minorHAnsi"/>
                <w:color w:val="002060"/>
                <w:sz w:val="18"/>
                <w:szCs w:val="20"/>
                <w:lang w:val="sr-Cyrl-RS"/>
              </w:rPr>
              <w:t>KWD</w:t>
            </w:r>
          </w:p>
        </w:tc>
        <w:tc>
          <w:tcPr>
            <w:tcW w:w="887" w:type="pct"/>
            <w:tcBorders>
              <w:left w:val="nil"/>
              <w:bottom w:val="single" w:sz="4" w:space="0" w:color="002060"/>
              <w:right w:val="nil"/>
            </w:tcBorders>
            <w:vAlign w:val="bottom"/>
          </w:tcPr>
          <w:p w14:paraId="051D42B8" w14:textId="77777777" w:rsidR="00BA4876" w:rsidRPr="00A37BCE" w:rsidRDefault="00BA4876" w:rsidP="00357300">
            <w:pPr>
              <w:spacing w:after="0" w:line="240" w:lineRule="auto"/>
              <w:ind w:right="-10"/>
              <w:jc w:val="right"/>
              <w:rPr>
                <w:rFonts w:eastAsia="Times New Roman" w:cstheme="minorHAnsi"/>
                <w:color w:val="002060"/>
                <w:sz w:val="18"/>
                <w:szCs w:val="20"/>
                <w:lang w:val="sr-Cyrl-RS"/>
              </w:rPr>
            </w:pPr>
            <w:r w:rsidRPr="00A37BCE">
              <w:rPr>
                <w:rFonts w:eastAsia="Times New Roman" w:cstheme="minorHAnsi"/>
                <w:color w:val="002060"/>
                <w:sz w:val="18"/>
                <w:szCs w:val="20"/>
                <w:lang w:val="sr-Cyrl-RS"/>
              </w:rPr>
              <w:t>18.000.000</w:t>
            </w:r>
          </w:p>
        </w:tc>
      </w:tr>
    </w:tbl>
    <w:p w14:paraId="4FDCAF6F" w14:textId="77777777" w:rsidR="00BA4876" w:rsidRPr="00A37BCE" w:rsidRDefault="00BA4876" w:rsidP="00BA4876">
      <w:pPr>
        <w:spacing w:after="120" w:line="276" w:lineRule="auto"/>
        <w:jc w:val="both"/>
        <w:rPr>
          <w:rFonts w:eastAsia="Calibri" w:cstheme="minorHAnsi"/>
          <w:color w:val="44546A" w:themeColor="text2"/>
          <w:sz w:val="16"/>
          <w:lang w:val="sr-Cyrl-RS"/>
        </w:rPr>
      </w:pPr>
      <w:r w:rsidRPr="00315856">
        <w:rPr>
          <w:rFonts w:eastAsia="Calibri" w:cstheme="minorHAnsi"/>
          <w:color w:val="44546A" w:themeColor="text2"/>
          <w:sz w:val="16"/>
          <w:lang w:val="sr-Cyrl-RS"/>
        </w:rPr>
        <w:t>Извор: Министарство</w:t>
      </w:r>
      <w:r w:rsidRPr="00A37BCE">
        <w:rPr>
          <w:rFonts w:eastAsia="Calibri" w:cstheme="minorHAnsi"/>
          <w:color w:val="44546A" w:themeColor="text2"/>
          <w:sz w:val="16"/>
          <w:lang w:val="sr-Cyrl-RS"/>
        </w:rPr>
        <w:t xml:space="preserve"> финансија</w:t>
      </w:r>
    </w:p>
    <w:p w14:paraId="07A6B010" w14:textId="5DBBAEF8" w:rsidR="00BA4876" w:rsidRPr="00A37BCE" w:rsidRDefault="00BA4876" w:rsidP="00F97319">
      <w:pPr>
        <w:spacing w:line="276" w:lineRule="auto"/>
        <w:rPr>
          <w:rFonts w:eastAsia="MS PGothic" w:cstheme="minorHAnsi"/>
          <w:b/>
          <w:color w:val="44546A" w:themeColor="text2"/>
          <w:sz w:val="16"/>
          <w:lang w:val="sr-Cyrl-RS" w:eastAsia="ja-JP"/>
        </w:rPr>
        <w:sectPr w:rsidR="00BA4876" w:rsidRPr="00A37BCE" w:rsidSect="00BA4876">
          <w:type w:val="continuous"/>
          <w:pgSz w:w="12240" w:h="15840"/>
          <w:pgMar w:top="1440" w:right="1440" w:bottom="1440" w:left="1440" w:header="720" w:footer="720" w:gutter="0"/>
          <w:cols w:space="720"/>
          <w:docGrid w:linePitch="360"/>
        </w:sectPr>
      </w:pPr>
    </w:p>
    <w:p w14:paraId="20BD0CF6" w14:textId="215E80E5" w:rsidR="00BA4876" w:rsidRPr="00A37BCE" w:rsidRDefault="00BA4876" w:rsidP="00BA4876">
      <w:pPr>
        <w:spacing w:after="120" w:line="276" w:lineRule="auto"/>
        <w:jc w:val="both"/>
        <w:rPr>
          <w:rFonts w:eastAsia="MS PGothic" w:cstheme="minorHAnsi"/>
          <w:color w:val="44546A" w:themeColor="text2"/>
          <w:sz w:val="20"/>
          <w:lang w:val="sr-Cyrl-RS" w:eastAsia="ja-JP"/>
        </w:rPr>
      </w:pPr>
      <w:r w:rsidRPr="00A37BCE">
        <w:rPr>
          <w:rFonts w:eastAsia="Calibri" w:cstheme="minorHAnsi"/>
          <w:color w:val="44546A" w:themeColor="text2"/>
          <w:sz w:val="20"/>
          <w:szCs w:val="20"/>
          <w:lang w:val="sr-Cyrl-RS" w:eastAsia="ja-JP"/>
        </w:rPr>
        <w:lastRenderedPageBreak/>
        <w:t>Стање и структура јавног дуга по основу индиректних обавеза, те растући буџетски трошкови по основу гаранција указују да постоје одређени фискални ризици који се могу материјализовати у наредних неколико година</w:t>
      </w:r>
      <w:r w:rsidRPr="00A37BCE">
        <w:rPr>
          <w:rFonts w:eastAsia="MS PGothic" w:cstheme="minorHAnsi"/>
          <w:color w:val="2F5496" w:themeColor="accent1" w:themeShade="BF"/>
          <w:sz w:val="20"/>
          <w:lang w:val="sr-Cyrl-RS" w:eastAsia="ja-JP"/>
        </w:rPr>
        <w:t xml:space="preserve">. </w:t>
      </w:r>
      <w:r w:rsidRPr="00A37BCE">
        <w:rPr>
          <w:rFonts w:eastAsia="MS PGothic" w:cstheme="minorHAnsi"/>
          <w:color w:val="44546A" w:themeColor="text2"/>
          <w:sz w:val="20"/>
          <w:lang w:val="sr-Cyrl-RS" w:eastAsia="ja-JP"/>
        </w:rPr>
        <w:t xml:space="preserve">У наредним годинама такође је планирана отплата по основу гаранција, али са опадајућим трендом </w:t>
      </w:r>
      <w:r w:rsidRPr="00A37BCE">
        <w:rPr>
          <w:rFonts w:eastAsia="MS PGothic" w:cstheme="minorHAnsi"/>
          <w:color w:val="44546A" w:themeColor="text2"/>
          <w:sz w:val="20"/>
          <w:lang w:val="sr-Cyrl-RS" w:eastAsia="ja-JP"/>
        </w:rPr>
        <w:lastRenderedPageBreak/>
        <w:t>тако да њихово учешће у БДП опада са 0,4% БДП у 2018. години на 0,1% БДП у 2021. години. Захваљујући предузетим мерама у претходном периоду, као и преговорима са домаћим пословним банкама у којима су снижене каматне стопе по основу гарантованих обавеза ЈП „Србијагасˮ и „Галеникаˮ а.</w:t>
      </w:r>
      <w:r w:rsidR="00956C60">
        <w:rPr>
          <w:rFonts w:eastAsia="MS PGothic" w:cstheme="minorHAnsi"/>
          <w:color w:val="44546A" w:themeColor="text2"/>
          <w:sz w:val="20"/>
          <w:lang w:val="sr-Cyrl-RS" w:eastAsia="ja-JP"/>
        </w:rPr>
        <w:t xml:space="preserve"> </w:t>
      </w:r>
      <w:r w:rsidRPr="00A37BCE">
        <w:rPr>
          <w:rFonts w:eastAsia="MS PGothic" w:cstheme="minorHAnsi"/>
          <w:color w:val="44546A" w:themeColor="text2"/>
          <w:sz w:val="20"/>
          <w:lang w:val="sr-Cyrl-RS" w:eastAsia="ja-JP"/>
        </w:rPr>
        <w:t>д</w:t>
      </w:r>
      <w:r w:rsidR="00956C60">
        <w:rPr>
          <w:rFonts w:eastAsia="MS PGothic" w:cstheme="minorHAnsi"/>
          <w:color w:val="44546A" w:themeColor="text2"/>
          <w:sz w:val="20"/>
          <w:lang w:val="sr-Cyrl-RS" w:eastAsia="ja-JP"/>
        </w:rPr>
        <w:t>.</w:t>
      </w:r>
      <w:r w:rsidRPr="00A37BCE">
        <w:rPr>
          <w:rFonts w:eastAsia="MS PGothic" w:cstheme="minorHAnsi"/>
          <w:color w:val="44546A" w:themeColor="text2"/>
          <w:sz w:val="20"/>
          <w:lang w:val="sr-Cyrl-RS" w:eastAsia="ja-JP"/>
        </w:rPr>
        <w:t xml:space="preserve">, смањена је </w:t>
      </w:r>
      <w:r w:rsidRPr="00A37BCE">
        <w:rPr>
          <w:rFonts w:eastAsia="MS PGothic" w:cstheme="minorHAnsi"/>
          <w:color w:val="44546A" w:themeColor="text2"/>
          <w:sz w:val="20"/>
          <w:lang w:val="sr-Cyrl-RS" w:eastAsia="ja-JP"/>
        </w:rPr>
        <w:lastRenderedPageBreak/>
        <w:t>изложеност српских јавних финансија према овом ризику</w:t>
      </w:r>
      <w:r w:rsidRPr="00A37BCE">
        <w:rPr>
          <w:rFonts w:eastAsia="MS PGothic" w:cstheme="minorHAnsi"/>
          <w:color w:val="44546A" w:themeColor="text2"/>
          <w:sz w:val="20"/>
          <w:vertAlign w:val="superscript"/>
          <w:lang w:val="sr-Cyrl-RS" w:eastAsia="ja-JP"/>
        </w:rPr>
        <w:footnoteReference w:id="14"/>
      </w:r>
      <w:r w:rsidR="00A70F3C">
        <w:rPr>
          <w:rFonts w:eastAsia="MS PGothic" w:cstheme="minorHAnsi"/>
          <w:color w:val="44546A" w:themeColor="text2"/>
          <w:sz w:val="20"/>
          <w:lang w:val="sr-Cyrl-RS" w:eastAsia="ja-JP"/>
        </w:rPr>
        <w:t>.</w:t>
      </w:r>
    </w:p>
    <w:p w14:paraId="0FA70739" w14:textId="7D6600AB"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Структурне реформе јавних и државних предузећа, њихово оспособљавање за тржишну утакмицу и финансијску одрживост, с једне стране, и ограничено и циљано издавање нових гаранција, с друге стране, допринеће умањењу фискалних ризика по овом основу и одржавању расхода у планираним, тј. пројектованим оквирима у</w:t>
      </w:r>
      <w:r w:rsidR="00D82D2A">
        <w:rPr>
          <w:rFonts w:eastAsia="Calibri" w:cstheme="minorHAnsi"/>
          <w:color w:val="44546A" w:themeColor="text2"/>
          <w:sz w:val="20"/>
          <w:szCs w:val="20"/>
          <w:lang w:val="sr-Cyrl-RS" w:eastAsia="ja-JP"/>
        </w:rPr>
        <w:t xml:space="preserve"> наредном средњорочном периоду.</w:t>
      </w:r>
    </w:p>
    <w:p w14:paraId="15CCBE9F" w14:textId="77777777" w:rsidR="00BA4876" w:rsidRPr="00A37BCE" w:rsidRDefault="00BA4876" w:rsidP="00BA4876">
      <w:pPr>
        <w:spacing w:after="120" w:line="276" w:lineRule="auto"/>
        <w:jc w:val="center"/>
        <w:rPr>
          <w:rFonts w:cstheme="minorHAnsi"/>
          <w:b/>
          <w:bCs/>
          <w:color w:val="2F5496" w:themeColor="accent1" w:themeShade="BF"/>
          <w:szCs w:val="20"/>
          <w:lang w:val="sr-Cyrl-RS"/>
        </w:rPr>
      </w:pPr>
      <w:r w:rsidRPr="00A37BCE">
        <w:rPr>
          <w:rFonts w:cstheme="minorHAnsi"/>
          <w:b/>
          <w:bCs/>
          <w:color w:val="2F5496" w:themeColor="accent1" w:themeShade="BF"/>
          <w:szCs w:val="20"/>
          <w:lang w:val="sr-Cyrl-RS"/>
        </w:rPr>
        <w:t>Јавна предузећа</w:t>
      </w:r>
    </w:p>
    <w:p w14:paraId="6AB993FB" w14:textId="42D255EA"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 xml:space="preserve">Пословање јавних предузећа представља значајан извор фискалних ризика, како на страни буџетских прихода, тако и на страни расхода. Јавна предузећа се у пословању суочавају са бројним проблемима, од наплате потраживања, до редовног измиривања обавеза према повериоцима, држави и запосленима и сл. Држава као оснивач и њихов једини власник је одговорна за пословање и њихово је последње уточиште у случају неликвидности. Постоји неколико канала кроз које се могу материјализовати фискални ризици везани за пословање јавних предузећа. Највећи, али не и једини ризик, су државне гаранције дате за кредите јавних предузећа. </w:t>
      </w:r>
      <w:r w:rsidRPr="00A37BCE">
        <w:rPr>
          <w:rFonts w:eastAsia="Calibri" w:cstheme="minorHAnsi"/>
          <w:color w:val="44546A" w:themeColor="text2"/>
          <w:sz w:val="20"/>
          <w:szCs w:val="20"/>
          <w:lang w:val="sr-Cyrl-RS" w:eastAsia="ja-JP"/>
        </w:rPr>
        <w:lastRenderedPageBreak/>
        <w:t>Одрживост, ефикасност и профитабилност јавних предузећа утичу на приходе буџета, односно на износ добити коју уплаћују у буџет. Квалитет производа и услуга које обезбеђују јавна предузећа утичу на ефикасност и профитабилност приватног сектора и у крајњој инстанци на нив</w:t>
      </w:r>
      <w:r w:rsidR="00A70F3C">
        <w:rPr>
          <w:rFonts w:eastAsia="Calibri" w:cstheme="minorHAnsi"/>
          <w:color w:val="44546A" w:themeColor="text2"/>
          <w:sz w:val="20"/>
          <w:szCs w:val="20"/>
          <w:lang w:val="sr-Cyrl-RS" w:eastAsia="ja-JP"/>
        </w:rPr>
        <w:t>о пореза које уплаћују у буџет.</w:t>
      </w:r>
    </w:p>
    <w:p w14:paraId="6C6EE331" w14:textId="77777777"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Јавна предузећа представљају значајан сегмент српске привреде који запошљава око 71 хиљаду људи. Јавна предузећа се оснивају као друштва за обављање делатности од општег интереса. Њихов рад уређен је Законом о јавним предузећима, усвојеним у фебруару 2016. године, као и подсекторским законима који дефинишу специфична подручја која нису обухваћена Законом о јавним предузећима (Закон о енергетици, Закон о привредним друштвима и др).</w:t>
      </w:r>
    </w:p>
    <w:p w14:paraId="750EB4ED" w14:textId="77777777" w:rsidR="00BA4876" w:rsidRPr="00A37BCE" w:rsidRDefault="00BA4876" w:rsidP="00BA4876">
      <w:pPr>
        <w:spacing w:after="120" w:line="276" w:lineRule="auto"/>
        <w:jc w:val="center"/>
        <w:rPr>
          <w:rFonts w:cstheme="minorHAnsi"/>
          <w:b/>
          <w:bCs/>
          <w:color w:val="2F5496" w:themeColor="accent1" w:themeShade="BF"/>
          <w:szCs w:val="20"/>
          <w:lang w:val="sr-Cyrl-RS"/>
        </w:rPr>
      </w:pPr>
      <w:r w:rsidRPr="00A37BCE">
        <w:rPr>
          <w:rFonts w:cstheme="minorHAnsi"/>
          <w:b/>
          <w:bCs/>
          <w:color w:val="2F5496" w:themeColor="accent1" w:themeShade="BF"/>
          <w:szCs w:val="20"/>
          <w:lang w:val="sr-Cyrl-RS"/>
        </w:rPr>
        <w:t>Кључни финансијски показатељи пословања јавних предузећа</w:t>
      </w:r>
    </w:p>
    <w:p w14:paraId="503FD81D" w14:textId="77777777" w:rsidR="00BA4876" w:rsidRPr="00A37BCE" w:rsidRDefault="00BA4876" w:rsidP="00BA4876">
      <w:pPr>
        <w:spacing w:after="120" w:line="276" w:lineRule="auto"/>
        <w:jc w:val="both"/>
        <w:rPr>
          <w:rFonts w:cstheme="minorHAnsi"/>
          <w:b/>
          <w:bCs/>
          <w:color w:val="2F5496" w:themeColor="accent1" w:themeShade="BF"/>
          <w:szCs w:val="20"/>
          <w:lang w:val="sr-Cyrl-RS"/>
        </w:rPr>
      </w:pPr>
      <w:r w:rsidRPr="00A37BCE">
        <w:rPr>
          <w:rFonts w:cstheme="minorHAnsi"/>
          <w:b/>
          <w:bCs/>
          <w:color w:val="2F5496" w:themeColor="accent1" w:themeShade="BF"/>
          <w:szCs w:val="20"/>
          <w:lang w:val="sr-Cyrl-RS"/>
        </w:rPr>
        <w:t>Резултати пословања јавних предузећа у 2017. години</w:t>
      </w:r>
    </w:p>
    <w:p w14:paraId="3C52BFA8" w14:textId="77777777" w:rsidR="00BA4876" w:rsidRPr="00A37BCE" w:rsidRDefault="00BA4876" w:rsidP="00BA4876">
      <w:pPr>
        <w:spacing w:after="120" w:line="276" w:lineRule="auto"/>
        <w:jc w:val="both"/>
        <w:rPr>
          <w:rFonts w:eastAsia="MS PGothic" w:cstheme="minorHAnsi"/>
          <w:color w:val="44546A" w:themeColor="text2"/>
          <w:sz w:val="20"/>
          <w:lang w:val="sr-Cyrl-RS"/>
        </w:rPr>
      </w:pPr>
      <w:r w:rsidRPr="00A37BCE">
        <w:rPr>
          <w:rFonts w:eastAsia="MS PGothic" w:cstheme="minorHAnsi"/>
          <w:color w:val="44546A" w:themeColor="text2"/>
          <w:sz w:val="20"/>
          <w:lang w:val="sr-Cyrl-RS"/>
        </w:rPr>
        <w:t>Укупан капитал републичких јавних предузећа на крају 2017. године износио је 1.673 млрд динара, док је као крајњи резултат остварена нето добит у износу од 23,7 млрд динара.</w:t>
      </w:r>
    </w:p>
    <w:p w14:paraId="0E42AB33" w14:textId="636E4E2F" w:rsidR="00BA4876" w:rsidRPr="00A37BCE" w:rsidRDefault="00BA4876" w:rsidP="00F97319">
      <w:pPr>
        <w:spacing w:line="276" w:lineRule="auto"/>
        <w:rPr>
          <w:rFonts w:eastAsia="MS PGothic" w:cstheme="minorHAnsi"/>
          <w:color w:val="44546A" w:themeColor="text2"/>
          <w:sz w:val="20"/>
          <w:lang w:val="sr-Cyrl-RS"/>
        </w:rPr>
        <w:sectPr w:rsidR="00BA4876" w:rsidRPr="00A37BCE" w:rsidSect="00BA4876">
          <w:type w:val="continuous"/>
          <w:pgSz w:w="12240" w:h="15840"/>
          <w:pgMar w:top="1440" w:right="1440" w:bottom="1440" w:left="1440" w:header="720" w:footer="720" w:gutter="0"/>
          <w:cols w:num="2" w:space="720"/>
          <w:docGrid w:linePitch="360"/>
          <w15:footnoteColumns w:val="1"/>
        </w:sectPr>
      </w:pPr>
    </w:p>
    <w:p w14:paraId="2EAE8910" w14:textId="18C654D7" w:rsidR="00BA4876" w:rsidRPr="00A37BCE" w:rsidRDefault="00BA4876" w:rsidP="00F97319">
      <w:pPr>
        <w:spacing w:after="0" w:line="276" w:lineRule="auto"/>
        <w:contextualSpacing/>
        <w:jc w:val="center"/>
        <w:rPr>
          <w:rFonts w:eastAsia="MS PGothic" w:cstheme="minorHAnsi"/>
          <w:b/>
          <w:bCs/>
          <w:color w:val="002060"/>
          <w:sz w:val="20"/>
          <w:lang w:val="sr-Cyrl-RS"/>
        </w:rPr>
      </w:pPr>
      <w:r w:rsidRPr="00A37BCE">
        <w:rPr>
          <w:rFonts w:eastAsia="MS PGothic" w:cstheme="minorHAnsi"/>
          <w:b/>
          <w:bCs/>
          <w:color w:val="002060"/>
          <w:sz w:val="20"/>
          <w:lang w:val="sr-Cyrl-RS"/>
        </w:rPr>
        <w:lastRenderedPageBreak/>
        <w:t>Табела 1</w:t>
      </w:r>
      <w:r w:rsidR="005B01D9" w:rsidRPr="00A37BCE">
        <w:rPr>
          <w:rFonts w:eastAsia="MS PGothic" w:cstheme="minorHAnsi"/>
          <w:b/>
          <w:bCs/>
          <w:color w:val="002060"/>
          <w:sz w:val="20"/>
          <w:lang w:val="sr-Cyrl-RS"/>
        </w:rPr>
        <w:t>5</w:t>
      </w:r>
      <w:r w:rsidRPr="00A37BCE">
        <w:rPr>
          <w:rFonts w:eastAsia="MS PGothic" w:cstheme="minorHAnsi"/>
          <w:b/>
          <w:bCs/>
          <w:color w:val="002060"/>
          <w:sz w:val="20"/>
          <w:lang w:val="sr-Cyrl-RS"/>
        </w:rPr>
        <w:t>. Главни финансијски показатељи пословања јавних предузећа*, млрд дин.</w:t>
      </w:r>
    </w:p>
    <w:tbl>
      <w:tblPr>
        <w:tblStyle w:val="LightShading-Accent336"/>
        <w:tblW w:w="5000" w:type="pct"/>
        <w:jc w:val="center"/>
        <w:tblLook w:val="04A0" w:firstRow="1" w:lastRow="0" w:firstColumn="1" w:lastColumn="0" w:noHBand="0" w:noVBand="1"/>
      </w:tblPr>
      <w:tblGrid>
        <w:gridCol w:w="6777"/>
        <w:gridCol w:w="1318"/>
        <w:gridCol w:w="1265"/>
      </w:tblGrid>
      <w:tr w:rsidR="00BA4876" w:rsidRPr="00A37BCE" w14:paraId="24B55D2F" w14:textId="77777777" w:rsidTr="00BA4876">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3620" w:type="pct"/>
            <w:tcBorders>
              <w:top w:val="single" w:sz="4" w:space="0" w:color="002060"/>
              <w:bottom w:val="single" w:sz="4" w:space="0" w:color="002060"/>
            </w:tcBorders>
            <w:shd w:val="clear" w:color="auto" w:fill="auto"/>
            <w:noWrap/>
            <w:hideMark/>
          </w:tcPr>
          <w:p w14:paraId="78CCF3DD" w14:textId="77777777" w:rsidR="00BA4876" w:rsidRPr="00A37BCE" w:rsidRDefault="00BA4876" w:rsidP="00BA4876">
            <w:pPr>
              <w:spacing w:line="276" w:lineRule="auto"/>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Опис</w:t>
            </w:r>
          </w:p>
        </w:tc>
        <w:tc>
          <w:tcPr>
            <w:tcW w:w="704" w:type="pct"/>
            <w:tcBorders>
              <w:top w:val="single" w:sz="4" w:space="0" w:color="002060"/>
              <w:bottom w:val="single" w:sz="4" w:space="0" w:color="002060"/>
            </w:tcBorders>
            <w:shd w:val="clear" w:color="auto" w:fill="auto"/>
            <w:noWrap/>
            <w:hideMark/>
          </w:tcPr>
          <w:p w14:paraId="69B4694E" w14:textId="77777777" w:rsidR="00BA4876" w:rsidRPr="00DA51C2" w:rsidRDefault="00BA4876" w:rsidP="00BA4876">
            <w:pPr>
              <w:spacing w:line="276" w:lineRule="auto"/>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val="0"/>
                <w:color w:val="002060"/>
                <w:sz w:val="18"/>
                <w:lang w:val="sr-Cyrl-RS"/>
              </w:rPr>
            </w:pPr>
            <w:r w:rsidRPr="00DA51C2">
              <w:rPr>
                <w:rFonts w:asciiTheme="minorHAnsi" w:eastAsia="Times New Roman" w:hAnsiTheme="minorHAnsi" w:cstheme="minorHAnsi"/>
                <w:b w:val="0"/>
                <w:color w:val="002060"/>
                <w:sz w:val="18"/>
                <w:lang w:val="sr-Cyrl-RS"/>
              </w:rPr>
              <w:t>2016</w:t>
            </w:r>
          </w:p>
        </w:tc>
        <w:tc>
          <w:tcPr>
            <w:tcW w:w="676" w:type="pct"/>
            <w:tcBorders>
              <w:top w:val="single" w:sz="4" w:space="0" w:color="002060"/>
              <w:bottom w:val="single" w:sz="4" w:space="0" w:color="002060"/>
            </w:tcBorders>
            <w:shd w:val="clear" w:color="auto" w:fill="auto"/>
            <w:noWrap/>
            <w:hideMark/>
          </w:tcPr>
          <w:p w14:paraId="4938D7A3" w14:textId="77777777" w:rsidR="00BA4876" w:rsidRPr="00DA51C2" w:rsidRDefault="00BA4876" w:rsidP="00BA4876">
            <w:pPr>
              <w:spacing w:line="276" w:lineRule="auto"/>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val="0"/>
                <w:color w:val="002060"/>
                <w:sz w:val="18"/>
                <w:lang w:val="sr-Cyrl-RS"/>
              </w:rPr>
            </w:pPr>
            <w:r w:rsidRPr="00DA51C2">
              <w:rPr>
                <w:rFonts w:asciiTheme="minorHAnsi" w:eastAsia="Times New Roman" w:hAnsiTheme="minorHAnsi" w:cstheme="minorHAnsi"/>
                <w:b w:val="0"/>
                <w:color w:val="002060"/>
                <w:sz w:val="18"/>
                <w:lang w:val="sr-Cyrl-RS"/>
              </w:rPr>
              <w:t xml:space="preserve">2017 </w:t>
            </w:r>
          </w:p>
        </w:tc>
      </w:tr>
      <w:tr w:rsidR="00BA4876" w:rsidRPr="00A37BCE" w14:paraId="7CC64F24" w14:textId="77777777" w:rsidTr="00BA4876">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620" w:type="pct"/>
            <w:tcBorders>
              <w:top w:val="single" w:sz="4" w:space="0" w:color="002060"/>
            </w:tcBorders>
            <w:shd w:val="clear" w:color="auto" w:fill="auto"/>
            <w:noWrap/>
            <w:hideMark/>
          </w:tcPr>
          <w:p w14:paraId="5CC4AD2A" w14:textId="77777777" w:rsidR="00BA4876" w:rsidRPr="00A37BCE" w:rsidRDefault="00BA4876" w:rsidP="00BA4876">
            <w:pPr>
              <w:spacing w:line="276" w:lineRule="auto"/>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Укупна имовина</w:t>
            </w:r>
          </w:p>
        </w:tc>
        <w:tc>
          <w:tcPr>
            <w:tcW w:w="704" w:type="pct"/>
            <w:tcBorders>
              <w:top w:val="single" w:sz="4" w:space="0" w:color="002060"/>
            </w:tcBorders>
            <w:shd w:val="clear" w:color="auto" w:fill="auto"/>
            <w:noWrap/>
            <w:hideMark/>
          </w:tcPr>
          <w:p w14:paraId="0033FCFA"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lang w:val="sr-Cyrl-RS"/>
              </w:rPr>
            </w:pPr>
            <w:r w:rsidRPr="00A37BCE">
              <w:rPr>
                <w:rFonts w:asciiTheme="minorHAnsi" w:eastAsia="Times New Roman" w:hAnsiTheme="minorHAnsi" w:cstheme="minorHAnsi"/>
                <w:color w:val="002060"/>
                <w:sz w:val="18"/>
                <w:lang w:val="sr-Cyrl-RS"/>
              </w:rPr>
              <w:t>2.714</w:t>
            </w:r>
          </w:p>
        </w:tc>
        <w:tc>
          <w:tcPr>
            <w:tcW w:w="676" w:type="pct"/>
            <w:tcBorders>
              <w:top w:val="single" w:sz="4" w:space="0" w:color="002060"/>
            </w:tcBorders>
            <w:shd w:val="clear" w:color="auto" w:fill="auto"/>
            <w:noWrap/>
            <w:hideMark/>
          </w:tcPr>
          <w:p w14:paraId="657CB8B1"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lang w:val="sr-Cyrl-RS"/>
              </w:rPr>
            </w:pPr>
            <w:r w:rsidRPr="00A37BCE">
              <w:rPr>
                <w:rFonts w:asciiTheme="minorHAnsi" w:eastAsia="Times New Roman" w:hAnsiTheme="minorHAnsi" w:cstheme="minorHAnsi"/>
                <w:color w:val="002060"/>
                <w:sz w:val="18"/>
                <w:lang w:val="sr-Cyrl-RS"/>
              </w:rPr>
              <w:t>2.731</w:t>
            </w:r>
          </w:p>
        </w:tc>
      </w:tr>
      <w:tr w:rsidR="00BA4876" w:rsidRPr="00A37BCE" w14:paraId="0FA37732" w14:textId="77777777" w:rsidTr="00BA4876">
        <w:trPr>
          <w:trHeight w:val="20"/>
          <w:jc w:val="center"/>
        </w:trPr>
        <w:tc>
          <w:tcPr>
            <w:cnfStyle w:val="001000000000" w:firstRow="0" w:lastRow="0" w:firstColumn="1" w:lastColumn="0" w:oddVBand="0" w:evenVBand="0" w:oddHBand="0" w:evenHBand="0" w:firstRowFirstColumn="0" w:firstRowLastColumn="0" w:lastRowFirstColumn="0" w:lastRowLastColumn="0"/>
            <w:tcW w:w="3620" w:type="pct"/>
            <w:shd w:val="clear" w:color="auto" w:fill="auto"/>
            <w:noWrap/>
            <w:hideMark/>
          </w:tcPr>
          <w:p w14:paraId="5ED7156E" w14:textId="77777777" w:rsidR="00BA4876" w:rsidRPr="00A37BCE" w:rsidRDefault="00BA4876" w:rsidP="00BA4876">
            <w:pPr>
              <w:spacing w:line="276" w:lineRule="auto"/>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Сопствени капитал</w:t>
            </w:r>
          </w:p>
        </w:tc>
        <w:tc>
          <w:tcPr>
            <w:tcW w:w="704" w:type="pct"/>
            <w:shd w:val="clear" w:color="auto" w:fill="auto"/>
            <w:noWrap/>
            <w:hideMark/>
          </w:tcPr>
          <w:p w14:paraId="7C5E18D0"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lang w:val="sr-Cyrl-RS"/>
              </w:rPr>
            </w:pPr>
            <w:r w:rsidRPr="00A37BCE">
              <w:rPr>
                <w:rFonts w:asciiTheme="minorHAnsi" w:eastAsia="Times New Roman" w:hAnsiTheme="minorHAnsi" w:cstheme="minorHAnsi"/>
                <w:color w:val="002060"/>
                <w:sz w:val="18"/>
                <w:lang w:val="sr-Cyrl-RS"/>
              </w:rPr>
              <w:t>1.680</w:t>
            </w:r>
          </w:p>
        </w:tc>
        <w:tc>
          <w:tcPr>
            <w:tcW w:w="676" w:type="pct"/>
            <w:shd w:val="clear" w:color="auto" w:fill="auto"/>
            <w:noWrap/>
            <w:hideMark/>
          </w:tcPr>
          <w:p w14:paraId="40EAED6E"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lang w:val="sr-Cyrl-RS"/>
              </w:rPr>
            </w:pPr>
            <w:r w:rsidRPr="00A37BCE">
              <w:rPr>
                <w:rFonts w:asciiTheme="minorHAnsi" w:eastAsia="Times New Roman" w:hAnsiTheme="minorHAnsi" w:cstheme="minorHAnsi"/>
                <w:color w:val="002060"/>
                <w:sz w:val="18"/>
                <w:lang w:val="sr-Cyrl-RS"/>
              </w:rPr>
              <w:t>1.673</w:t>
            </w:r>
          </w:p>
        </w:tc>
      </w:tr>
      <w:tr w:rsidR="00BA4876" w:rsidRPr="00A37BCE" w14:paraId="04D47864" w14:textId="77777777" w:rsidTr="00BA4876">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620" w:type="pct"/>
            <w:shd w:val="clear" w:color="auto" w:fill="auto"/>
            <w:noWrap/>
            <w:hideMark/>
          </w:tcPr>
          <w:p w14:paraId="0D2071AA" w14:textId="77777777" w:rsidR="00BA4876" w:rsidRPr="00A37BCE" w:rsidRDefault="00BA4876" w:rsidP="00BA4876">
            <w:pPr>
              <w:spacing w:line="276" w:lineRule="auto"/>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Укупни приходи</w:t>
            </w:r>
          </w:p>
        </w:tc>
        <w:tc>
          <w:tcPr>
            <w:tcW w:w="704" w:type="pct"/>
            <w:shd w:val="clear" w:color="auto" w:fill="auto"/>
            <w:noWrap/>
            <w:hideMark/>
          </w:tcPr>
          <w:p w14:paraId="30B53896"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lang w:val="sr-Cyrl-RS"/>
              </w:rPr>
            </w:pPr>
            <w:r w:rsidRPr="00A37BCE">
              <w:rPr>
                <w:rFonts w:asciiTheme="minorHAnsi" w:eastAsia="Times New Roman" w:hAnsiTheme="minorHAnsi" w:cstheme="minorHAnsi"/>
                <w:color w:val="002060"/>
                <w:sz w:val="18"/>
                <w:lang w:val="sr-Cyrl-RS"/>
              </w:rPr>
              <w:t>517</w:t>
            </w:r>
          </w:p>
        </w:tc>
        <w:tc>
          <w:tcPr>
            <w:tcW w:w="676" w:type="pct"/>
            <w:shd w:val="clear" w:color="auto" w:fill="auto"/>
            <w:noWrap/>
            <w:hideMark/>
          </w:tcPr>
          <w:p w14:paraId="3348A451"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lang w:val="sr-Cyrl-RS"/>
              </w:rPr>
            </w:pPr>
            <w:r w:rsidRPr="00A37BCE">
              <w:rPr>
                <w:rFonts w:asciiTheme="minorHAnsi" w:eastAsia="Times New Roman" w:hAnsiTheme="minorHAnsi" w:cstheme="minorHAnsi"/>
                <w:color w:val="002060"/>
                <w:sz w:val="18"/>
                <w:lang w:val="sr-Cyrl-RS"/>
              </w:rPr>
              <w:t>517</w:t>
            </w:r>
          </w:p>
        </w:tc>
      </w:tr>
      <w:tr w:rsidR="00BA4876" w:rsidRPr="00A37BCE" w14:paraId="2A39F4B5" w14:textId="77777777" w:rsidTr="00BA4876">
        <w:trPr>
          <w:trHeight w:val="20"/>
          <w:jc w:val="center"/>
        </w:trPr>
        <w:tc>
          <w:tcPr>
            <w:cnfStyle w:val="001000000000" w:firstRow="0" w:lastRow="0" w:firstColumn="1" w:lastColumn="0" w:oddVBand="0" w:evenVBand="0" w:oddHBand="0" w:evenHBand="0" w:firstRowFirstColumn="0" w:firstRowLastColumn="0" w:lastRowFirstColumn="0" w:lastRowLastColumn="0"/>
            <w:tcW w:w="3620" w:type="pct"/>
            <w:shd w:val="clear" w:color="auto" w:fill="auto"/>
            <w:noWrap/>
            <w:hideMark/>
          </w:tcPr>
          <w:p w14:paraId="661B5A4F" w14:textId="77777777" w:rsidR="00BA4876" w:rsidRPr="00A37BCE" w:rsidRDefault="00BA4876" w:rsidP="00BA4876">
            <w:pPr>
              <w:spacing w:line="276" w:lineRule="auto"/>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Нето добитак</w:t>
            </w:r>
          </w:p>
        </w:tc>
        <w:tc>
          <w:tcPr>
            <w:tcW w:w="704" w:type="pct"/>
            <w:shd w:val="clear" w:color="auto" w:fill="auto"/>
            <w:noWrap/>
            <w:hideMark/>
          </w:tcPr>
          <w:p w14:paraId="42647B91"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lang w:val="sr-Cyrl-RS"/>
              </w:rPr>
            </w:pPr>
            <w:r w:rsidRPr="00A37BCE">
              <w:rPr>
                <w:rFonts w:asciiTheme="minorHAnsi" w:eastAsia="Times New Roman" w:hAnsiTheme="minorHAnsi" w:cstheme="minorHAnsi"/>
                <w:color w:val="002060"/>
                <w:sz w:val="18"/>
                <w:lang w:val="sr-Cyrl-RS"/>
              </w:rPr>
              <w:t>4,4</w:t>
            </w:r>
          </w:p>
        </w:tc>
        <w:tc>
          <w:tcPr>
            <w:tcW w:w="676" w:type="pct"/>
            <w:shd w:val="clear" w:color="auto" w:fill="auto"/>
            <w:noWrap/>
            <w:hideMark/>
          </w:tcPr>
          <w:p w14:paraId="23E52E9D"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lang w:val="sr-Cyrl-RS"/>
              </w:rPr>
            </w:pPr>
            <w:r w:rsidRPr="00A37BCE">
              <w:rPr>
                <w:rFonts w:asciiTheme="minorHAnsi" w:eastAsia="Times New Roman" w:hAnsiTheme="minorHAnsi" w:cstheme="minorHAnsi"/>
                <w:color w:val="002060"/>
                <w:sz w:val="18"/>
                <w:lang w:val="sr-Cyrl-RS"/>
              </w:rPr>
              <w:t>23,7</w:t>
            </w:r>
          </w:p>
        </w:tc>
      </w:tr>
      <w:tr w:rsidR="00BA4876" w:rsidRPr="00A37BCE" w14:paraId="76757B4F" w14:textId="77777777" w:rsidTr="00BA4876">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620" w:type="pct"/>
            <w:shd w:val="clear" w:color="auto" w:fill="auto"/>
            <w:noWrap/>
            <w:hideMark/>
          </w:tcPr>
          <w:p w14:paraId="0C6D9C06" w14:textId="77777777" w:rsidR="00BA4876" w:rsidRPr="00A37BCE" w:rsidRDefault="00BA4876" w:rsidP="00BA4876">
            <w:pPr>
              <w:spacing w:line="276" w:lineRule="auto"/>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Субвенције</w:t>
            </w:r>
          </w:p>
        </w:tc>
        <w:tc>
          <w:tcPr>
            <w:tcW w:w="704" w:type="pct"/>
            <w:shd w:val="clear" w:color="auto" w:fill="auto"/>
            <w:noWrap/>
            <w:hideMark/>
          </w:tcPr>
          <w:p w14:paraId="6407449B"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lang w:val="sr-Cyrl-RS"/>
              </w:rPr>
            </w:pPr>
            <w:r w:rsidRPr="00A37BCE">
              <w:rPr>
                <w:rFonts w:asciiTheme="minorHAnsi" w:eastAsia="Times New Roman" w:hAnsiTheme="minorHAnsi" w:cstheme="minorHAnsi"/>
                <w:color w:val="002060"/>
                <w:sz w:val="18"/>
                <w:lang w:val="sr-Cyrl-RS"/>
              </w:rPr>
              <w:t>29,6</w:t>
            </w:r>
          </w:p>
        </w:tc>
        <w:tc>
          <w:tcPr>
            <w:tcW w:w="676" w:type="pct"/>
            <w:shd w:val="clear" w:color="auto" w:fill="auto"/>
            <w:noWrap/>
            <w:hideMark/>
          </w:tcPr>
          <w:p w14:paraId="05DFD184"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lang w:val="sr-Cyrl-RS"/>
              </w:rPr>
            </w:pPr>
            <w:r w:rsidRPr="00A37BCE">
              <w:rPr>
                <w:rFonts w:asciiTheme="minorHAnsi" w:eastAsia="Times New Roman" w:hAnsiTheme="minorHAnsi" w:cstheme="minorHAnsi"/>
                <w:color w:val="002060"/>
                <w:sz w:val="18"/>
                <w:lang w:val="sr-Cyrl-RS"/>
              </w:rPr>
              <w:t>28,6</w:t>
            </w:r>
          </w:p>
        </w:tc>
      </w:tr>
      <w:tr w:rsidR="00BA4876" w:rsidRPr="00A37BCE" w14:paraId="0AD3A746" w14:textId="77777777" w:rsidTr="00BA4876">
        <w:trPr>
          <w:trHeight w:val="20"/>
          <w:jc w:val="center"/>
        </w:trPr>
        <w:tc>
          <w:tcPr>
            <w:cnfStyle w:val="001000000000" w:firstRow="0" w:lastRow="0" w:firstColumn="1" w:lastColumn="0" w:oddVBand="0" w:evenVBand="0" w:oddHBand="0" w:evenHBand="0" w:firstRowFirstColumn="0" w:firstRowLastColumn="0" w:lastRowFirstColumn="0" w:lastRowLastColumn="0"/>
            <w:tcW w:w="3620" w:type="pct"/>
            <w:shd w:val="clear" w:color="auto" w:fill="auto"/>
            <w:noWrap/>
            <w:hideMark/>
          </w:tcPr>
          <w:p w14:paraId="1408750C" w14:textId="77777777" w:rsidR="00BA4876" w:rsidRPr="00A37BCE" w:rsidRDefault="00BA4876" w:rsidP="00BA4876">
            <w:pPr>
              <w:spacing w:line="276" w:lineRule="auto"/>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Субвенције, без ЈП Путеви Србије</w:t>
            </w:r>
          </w:p>
        </w:tc>
        <w:tc>
          <w:tcPr>
            <w:tcW w:w="704" w:type="pct"/>
            <w:shd w:val="clear" w:color="auto" w:fill="auto"/>
            <w:noWrap/>
            <w:hideMark/>
          </w:tcPr>
          <w:p w14:paraId="237EFDD7"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lang w:val="sr-Cyrl-RS"/>
              </w:rPr>
            </w:pPr>
            <w:r w:rsidRPr="00A37BCE">
              <w:rPr>
                <w:rFonts w:asciiTheme="minorHAnsi" w:eastAsia="Times New Roman" w:hAnsiTheme="minorHAnsi" w:cstheme="minorHAnsi"/>
                <w:color w:val="002060"/>
                <w:sz w:val="18"/>
                <w:lang w:val="sr-Cyrl-RS"/>
              </w:rPr>
              <w:t>22,5</w:t>
            </w:r>
          </w:p>
        </w:tc>
        <w:tc>
          <w:tcPr>
            <w:tcW w:w="676" w:type="pct"/>
            <w:shd w:val="clear" w:color="auto" w:fill="auto"/>
            <w:noWrap/>
            <w:hideMark/>
          </w:tcPr>
          <w:p w14:paraId="59DCE896"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lang w:val="sr-Cyrl-RS"/>
              </w:rPr>
            </w:pPr>
            <w:r w:rsidRPr="00A37BCE">
              <w:rPr>
                <w:rFonts w:asciiTheme="minorHAnsi" w:eastAsia="Times New Roman" w:hAnsiTheme="minorHAnsi" w:cstheme="minorHAnsi"/>
                <w:color w:val="002060"/>
                <w:sz w:val="18"/>
                <w:lang w:val="sr-Cyrl-RS"/>
              </w:rPr>
              <w:t>21,7</w:t>
            </w:r>
          </w:p>
        </w:tc>
      </w:tr>
      <w:tr w:rsidR="00BA4876" w:rsidRPr="00A37BCE" w14:paraId="0FDAD6D7" w14:textId="77777777" w:rsidTr="00BA4876">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620" w:type="pct"/>
            <w:shd w:val="clear" w:color="auto" w:fill="auto"/>
            <w:noWrap/>
            <w:hideMark/>
          </w:tcPr>
          <w:p w14:paraId="74C4E7AB" w14:textId="77777777" w:rsidR="00BA4876" w:rsidRPr="00A37BCE" w:rsidRDefault="00BA4876" w:rsidP="00BA4876">
            <w:pPr>
              <w:spacing w:line="276" w:lineRule="auto"/>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Принос на сопствени капитал (ROE), у %</w:t>
            </w:r>
          </w:p>
        </w:tc>
        <w:tc>
          <w:tcPr>
            <w:tcW w:w="704" w:type="pct"/>
            <w:shd w:val="clear" w:color="auto" w:fill="auto"/>
            <w:noWrap/>
            <w:hideMark/>
          </w:tcPr>
          <w:p w14:paraId="40F870A6"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lang w:val="sr-Cyrl-RS"/>
              </w:rPr>
            </w:pPr>
            <w:r w:rsidRPr="00A37BCE">
              <w:rPr>
                <w:rFonts w:asciiTheme="minorHAnsi" w:eastAsia="Times New Roman" w:hAnsiTheme="minorHAnsi" w:cstheme="minorHAnsi"/>
                <w:color w:val="002060"/>
                <w:sz w:val="18"/>
                <w:lang w:val="sr-Cyrl-RS"/>
              </w:rPr>
              <w:t>0,3%</w:t>
            </w:r>
          </w:p>
        </w:tc>
        <w:tc>
          <w:tcPr>
            <w:tcW w:w="676" w:type="pct"/>
            <w:shd w:val="clear" w:color="auto" w:fill="auto"/>
            <w:noWrap/>
            <w:hideMark/>
          </w:tcPr>
          <w:p w14:paraId="16066EF1"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lang w:val="sr-Cyrl-RS"/>
              </w:rPr>
            </w:pPr>
            <w:r w:rsidRPr="00A37BCE">
              <w:rPr>
                <w:rFonts w:asciiTheme="minorHAnsi" w:eastAsia="Times New Roman" w:hAnsiTheme="minorHAnsi" w:cstheme="minorHAnsi"/>
                <w:color w:val="002060"/>
                <w:sz w:val="18"/>
                <w:lang w:val="sr-Cyrl-RS"/>
              </w:rPr>
              <w:t>1,4%</w:t>
            </w:r>
          </w:p>
        </w:tc>
      </w:tr>
      <w:tr w:rsidR="00BA4876" w:rsidRPr="00A37BCE" w14:paraId="1AF61F46" w14:textId="77777777" w:rsidTr="00BA4876">
        <w:trPr>
          <w:trHeight w:val="20"/>
          <w:jc w:val="center"/>
        </w:trPr>
        <w:tc>
          <w:tcPr>
            <w:cnfStyle w:val="001000000000" w:firstRow="0" w:lastRow="0" w:firstColumn="1" w:lastColumn="0" w:oddVBand="0" w:evenVBand="0" w:oddHBand="0" w:evenHBand="0" w:firstRowFirstColumn="0" w:firstRowLastColumn="0" w:lastRowFirstColumn="0" w:lastRowLastColumn="0"/>
            <w:tcW w:w="3620" w:type="pct"/>
            <w:shd w:val="clear" w:color="auto" w:fill="auto"/>
            <w:noWrap/>
            <w:hideMark/>
          </w:tcPr>
          <w:p w14:paraId="5970ADED" w14:textId="77777777" w:rsidR="00BA4876" w:rsidRPr="00A37BCE" w:rsidRDefault="00BA4876" w:rsidP="00BA4876">
            <w:pPr>
              <w:spacing w:line="276" w:lineRule="auto"/>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Принос на укупна средства (ROA), у %</w:t>
            </w:r>
          </w:p>
        </w:tc>
        <w:tc>
          <w:tcPr>
            <w:tcW w:w="704" w:type="pct"/>
            <w:shd w:val="clear" w:color="auto" w:fill="auto"/>
            <w:noWrap/>
            <w:hideMark/>
          </w:tcPr>
          <w:p w14:paraId="52CD434D"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lang w:val="sr-Cyrl-RS"/>
              </w:rPr>
            </w:pPr>
            <w:r w:rsidRPr="00A37BCE">
              <w:rPr>
                <w:rFonts w:asciiTheme="minorHAnsi" w:eastAsia="Times New Roman" w:hAnsiTheme="minorHAnsi" w:cstheme="minorHAnsi"/>
                <w:color w:val="002060"/>
                <w:sz w:val="18"/>
                <w:lang w:val="sr-Cyrl-RS"/>
              </w:rPr>
              <w:t>0,2%</w:t>
            </w:r>
          </w:p>
        </w:tc>
        <w:tc>
          <w:tcPr>
            <w:tcW w:w="676" w:type="pct"/>
            <w:shd w:val="clear" w:color="auto" w:fill="auto"/>
            <w:noWrap/>
            <w:hideMark/>
          </w:tcPr>
          <w:p w14:paraId="279BB186" w14:textId="77777777" w:rsidR="00BA4876" w:rsidRPr="00A37BCE" w:rsidRDefault="00BA4876" w:rsidP="00BA4876">
            <w:pPr>
              <w:spacing w:line="276"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2060"/>
                <w:sz w:val="18"/>
                <w:lang w:val="sr-Cyrl-RS"/>
              </w:rPr>
            </w:pPr>
            <w:r w:rsidRPr="00A37BCE">
              <w:rPr>
                <w:rFonts w:asciiTheme="minorHAnsi" w:eastAsia="Times New Roman" w:hAnsiTheme="minorHAnsi" w:cstheme="minorHAnsi"/>
                <w:color w:val="002060"/>
                <w:sz w:val="18"/>
                <w:lang w:val="sr-Cyrl-RS"/>
              </w:rPr>
              <w:t>0,9%</w:t>
            </w:r>
          </w:p>
        </w:tc>
      </w:tr>
      <w:tr w:rsidR="00BA4876" w:rsidRPr="00A37BCE" w14:paraId="1D903F2C" w14:textId="77777777" w:rsidTr="00BA4876">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3620" w:type="pct"/>
            <w:tcBorders>
              <w:bottom w:val="single" w:sz="4" w:space="0" w:color="002060"/>
            </w:tcBorders>
            <w:shd w:val="clear" w:color="auto" w:fill="auto"/>
            <w:noWrap/>
            <w:hideMark/>
          </w:tcPr>
          <w:p w14:paraId="6F1A7FBE" w14:textId="77777777" w:rsidR="00BA4876" w:rsidRPr="00A37BCE" w:rsidRDefault="00BA4876" w:rsidP="00BA4876">
            <w:pPr>
              <w:spacing w:line="276" w:lineRule="auto"/>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Субвенције, % укупних прихода</w:t>
            </w:r>
          </w:p>
        </w:tc>
        <w:tc>
          <w:tcPr>
            <w:tcW w:w="704" w:type="pct"/>
            <w:tcBorders>
              <w:bottom w:val="single" w:sz="4" w:space="0" w:color="002060"/>
            </w:tcBorders>
            <w:shd w:val="clear" w:color="auto" w:fill="auto"/>
            <w:noWrap/>
            <w:hideMark/>
          </w:tcPr>
          <w:p w14:paraId="66A38884"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lang w:val="sr-Cyrl-RS"/>
              </w:rPr>
            </w:pPr>
            <w:r w:rsidRPr="00A37BCE">
              <w:rPr>
                <w:rFonts w:asciiTheme="minorHAnsi" w:eastAsia="Times New Roman" w:hAnsiTheme="minorHAnsi" w:cstheme="minorHAnsi"/>
                <w:color w:val="002060"/>
                <w:sz w:val="18"/>
                <w:lang w:val="sr-Cyrl-RS"/>
              </w:rPr>
              <w:t>5,7%</w:t>
            </w:r>
          </w:p>
        </w:tc>
        <w:tc>
          <w:tcPr>
            <w:tcW w:w="676" w:type="pct"/>
            <w:tcBorders>
              <w:bottom w:val="single" w:sz="4" w:space="0" w:color="002060"/>
            </w:tcBorders>
            <w:shd w:val="clear" w:color="auto" w:fill="auto"/>
            <w:noWrap/>
            <w:hideMark/>
          </w:tcPr>
          <w:p w14:paraId="2AB930C2" w14:textId="77777777" w:rsidR="00BA4876" w:rsidRPr="00A37BCE" w:rsidRDefault="00BA4876" w:rsidP="00BA4876">
            <w:pPr>
              <w:spacing w:line="276" w:lineRule="auto"/>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2060"/>
                <w:sz w:val="18"/>
                <w:lang w:val="sr-Cyrl-RS"/>
              </w:rPr>
            </w:pPr>
            <w:r w:rsidRPr="00A37BCE">
              <w:rPr>
                <w:rFonts w:asciiTheme="minorHAnsi" w:eastAsia="Times New Roman" w:hAnsiTheme="minorHAnsi" w:cstheme="minorHAnsi"/>
                <w:color w:val="002060"/>
                <w:sz w:val="18"/>
                <w:lang w:val="sr-Cyrl-RS"/>
              </w:rPr>
              <w:t>5,5%</w:t>
            </w:r>
          </w:p>
        </w:tc>
      </w:tr>
    </w:tbl>
    <w:p w14:paraId="41D43368" w14:textId="77777777" w:rsidR="00BA4876" w:rsidRPr="00A37BCE" w:rsidRDefault="00BA4876" w:rsidP="00BA4876">
      <w:pPr>
        <w:spacing w:after="120" w:line="276" w:lineRule="auto"/>
        <w:jc w:val="both"/>
        <w:rPr>
          <w:rFonts w:eastAsia="MS PGothic" w:cstheme="minorHAnsi"/>
          <w:color w:val="44546A" w:themeColor="text2"/>
          <w:sz w:val="16"/>
          <w:szCs w:val="18"/>
          <w:lang w:val="sr-Cyrl-RS"/>
        </w:rPr>
      </w:pPr>
      <w:r w:rsidRPr="00315856">
        <w:rPr>
          <w:rFonts w:eastAsia="MS PGothic" w:cstheme="minorHAnsi"/>
          <w:color w:val="44546A" w:themeColor="text2"/>
          <w:sz w:val="16"/>
          <w:szCs w:val="18"/>
          <w:lang w:val="sr-Cyrl-RS"/>
        </w:rPr>
        <w:t>Извор:</w:t>
      </w:r>
      <w:r w:rsidRPr="00A37BCE">
        <w:rPr>
          <w:rFonts w:eastAsia="MS PGothic" w:cstheme="minorHAnsi"/>
          <w:color w:val="44546A" w:themeColor="text2"/>
          <w:sz w:val="16"/>
          <w:szCs w:val="18"/>
          <w:lang w:val="sr-Cyrl-RS"/>
        </w:rPr>
        <w:t xml:space="preserve"> Финансијски извештаји за 2016. и 2017. годину</w:t>
      </w:r>
    </w:p>
    <w:p w14:paraId="04C4EE02" w14:textId="77777777" w:rsidR="00BA4876" w:rsidRPr="00A37BCE" w:rsidRDefault="00BA4876" w:rsidP="00BA4876">
      <w:pPr>
        <w:spacing w:after="120" w:line="276" w:lineRule="auto"/>
        <w:ind w:firstLine="720"/>
        <w:jc w:val="both"/>
        <w:rPr>
          <w:rFonts w:eastAsia="MS PGothic" w:cstheme="minorHAnsi"/>
          <w:b/>
          <w:color w:val="44546A" w:themeColor="text2"/>
          <w:sz w:val="20"/>
          <w:lang w:val="sr-Cyrl-RS"/>
        </w:rPr>
        <w:sectPr w:rsidR="00BA4876" w:rsidRPr="00A37BCE" w:rsidSect="00BA4876">
          <w:type w:val="continuous"/>
          <w:pgSz w:w="12240" w:h="15840"/>
          <w:pgMar w:top="1440" w:right="1440" w:bottom="1440" w:left="1440" w:header="720" w:footer="720" w:gutter="0"/>
          <w:cols w:space="720"/>
          <w:docGrid w:linePitch="360"/>
        </w:sectPr>
      </w:pPr>
    </w:p>
    <w:p w14:paraId="11EB724F" w14:textId="77777777" w:rsidR="00BA4876" w:rsidRPr="00A37BCE" w:rsidRDefault="00BA4876" w:rsidP="00BA4876">
      <w:pPr>
        <w:spacing w:after="120" w:line="276" w:lineRule="auto"/>
        <w:jc w:val="both"/>
        <w:rPr>
          <w:rFonts w:eastAsia="MS PGothic" w:cstheme="minorHAnsi"/>
          <w:color w:val="44546A" w:themeColor="text2"/>
          <w:sz w:val="20"/>
          <w:lang w:val="sr-Cyrl-RS"/>
        </w:rPr>
      </w:pPr>
      <w:r w:rsidRPr="00A37BCE">
        <w:rPr>
          <w:rFonts w:eastAsia="Calibri" w:cstheme="minorHAnsi"/>
          <w:color w:val="44546A" w:themeColor="text2"/>
          <w:sz w:val="20"/>
          <w:szCs w:val="20"/>
          <w:lang w:val="sr-Cyrl-RS" w:eastAsia="ja-JP"/>
        </w:rPr>
        <w:lastRenderedPageBreak/>
        <w:t>Пословање републичких јавних предузећа је додатно унапређено у 2017. години. Јавна предузећа су, збирно посматрано, остварила</w:t>
      </w:r>
      <w:r w:rsidRPr="00A37BCE">
        <w:rPr>
          <w:rFonts w:eastAsia="MS PGothic" w:cstheme="minorHAnsi"/>
          <w:color w:val="44546A" w:themeColor="text2"/>
          <w:sz w:val="20"/>
          <w:lang w:val="sr-Cyrl-RS"/>
        </w:rPr>
        <w:t xml:space="preserve"> нето </w:t>
      </w:r>
      <w:r w:rsidRPr="00A37BCE">
        <w:rPr>
          <w:rFonts w:eastAsia="MS PGothic" w:cstheme="minorHAnsi"/>
          <w:color w:val="44546A" w:themeColor="text2"/>
          <w:sz w:val="20"/>
          <w:lang w:val="sr-Cyrl-RS"/>
        </w:rPr>
        <w:lastRenderedPageBreak/>
        <w:t xml:space="preserve">добит у износу од 23,7 млрд динара, што је велики напредак поредећи са добити у износу од 4,4 млрд динара у 2016. години. Утицај на бољу </w:t>
      </w:r>
      <w:r w:rsidRPr="00A37BCE">
        <w:rPr>
          <w:rFonts w:eastAsia="MS PGothic" w:cstheme="minorHAnsi"/>
          <w:color w:val="44546A" w:themeColor="text2"/>
          <w:sz w:val="20"/>
          <w:lang w:val="sr-Cyrl-RS"/>
        </w:rPr>
        <w:lastRenderedPageBreak/>
        <w:t>профитабилност имале су и обрачунске категорије прихода и расхода, пре свега позитивне курсне разлике, али и нижи трошкови обезвређења потраживања од купаца, што је резултат побољшане наплате, посебно код Србијагаса.</w:t>
      </w:r>
    </w:p>
    <w:p w14:paraId="108D014A" w14:textId="74C801B1" w:rsidR="00BA4876" w:rsidRPr="00A37BCE" w:rsidRDefault="00BA4876" w:rsidP="00BA4876">
      <w:pPr>
        <w:spacing w:after="120" w:line="276" w:lineRule="auto"/>
        <w:jc w:val="both"/>
        <w:rPr>
          <w:rFonts w:eastAsia="MS PGothic" w:cstheme="minorHAnsi"/>
          <w:color w:val="44546A" w:themeColor="text2"/>
          <w:sz w:val="20"/>
          <w:lang w:val="sr-Cyrl-RS"/>
        </w:rPr>
      </w:pPr>
      <w:r w:rsidRPr="00A37BCE">
        <w:rPr>
          <w:rFonts w:eastAsia="MS PGothic" w:cstheme="minorHAnsi"/>
          <w:color w:val="44546A" w:themeColor="text2"/>
          <w:sz w:val="20"/>
          <w:lang w:val="sr-Cyrl-RS"/>
        </w:rPr>
        <w:t>Највећи допринос позитивном пословању ЈП дао је резултат ЈП „Србијагас</w:t>
      </w:r>
      <w:r w:rsidR="00624634" w:rsidRPr="00A37BCE">
        <w:rPr>
          <w:rFonts w:cstheme="minorHAnsi"/>
          <w:bCs/>
          <w:color w:val="44546A" w:themeColor="text2"/>
          <w:sz w:val="20"/>
          <w:szCs w:val="72"/>
          <w:lang w:val="sr-Cyrl-RS"/>
        </w:rPr>
        <w:t>ˮ</w:t>
      </w:r>
      <w:r w:rsidRPr="00A37BCE">
        <w:rPr>
          <w:rFonts w:eastAsia="MS PGothic" w:cstheme="minorHAnsi"/>
          <w:color w:val="44546A" w:themeColor="text2"/>
          <w:sz w:val="20"/>
          <w:lang w:val="sr-Cyrl-RS"/>
        </w:rPr>
        <w:t xml:space="preserve"> који је у 2017. години остварио добит у износу од 16,7 млрд динара. На другом месту је ЕПС група са 6,4 млрд динара добити, а на трећем „Југоимпорт СДПР</w:t>
      </w:r>
      <w:r w:rsidR="00624634" w:rsidRPr="00A37BCE">
        <w:rPr>
          <w:rFonts w:cstheme="minorHAnsi"/>
          <w:bCs/>
          <w:color w:val="44546A" w:themeColor="text2"/>
          <w:sz w:val="20"/>
          <w:szCs w:val="72"/>
          <w:lang w:val="sr-Cyrl-RS"/>
        </w:rPr>
        <w:t>ˮ</w:t>
      </w:r>
      <w:r w:rsidRPr="00A37BCE">
        <w:rPr>
          <w:rFonts w:eastAsia="MS PGothic" w:cstheme="minorHAnsi"/>
          <w:color w:val="44546A" w:themeColor="text2"/>
          <w:sz w:val="20"/>
          <w:lang w:val="sr-Cyrl-RS"/>
        </w:rPr>
        <w:t xml:space="preserve"> са 3,1 млрд добити.</w:t>
      </w:r>
    </w:p>
    <w:p w14:paraId="0C773D64" w14:textId="1942E68B" w:rsidR="00BA4876" w:rsidRPr="00A37BCE" w:rsidRDefault="00BA4876" w:rsidP="00BA4876">
      <w:pPr>
        <w:spacing w:after="120" w:line="276" w:lineRule="auto"/>
        <w:jc w:val="both"/>
        <w:rPr>
          <w:rFonts w:eastAsia="MS PGothic" w:cstheme="minorHAnsi"/>
          <w:color w:val="44546A" w:themeColor="text2"/>
          <w:sz w:val="20"/>
          <w:lang w:val="sr-Cyrl-RS"/>
        </w:rPr>
      </w:pPr>
      <w:r w:rsidRPr="00A37BCE">
        <w:rPr>
          <w:rFonts w:eastAsia="MS PGothic" w:cstheme="minorHAnsi"/>
          <w:color w:val="44546A" w:themeColor="text2"/>
          <w:sz w:val="20"/>
          <w:lang w:val="sr-Cyrl-RS"/>
        </w:rPr>
        <w:t>У 2017. години субвенције су, изражене у проценту укупних прихода, на нешто нижем нивоу у односу на претходну годину и чине 5,5% укупних прихода јавних предузећа. Одређене субвенције имају капитални карактер као што су субвенције за ЈП „Путеви Србије</w:t>
      </w:r>
      <w:r w:rsidR="00624634" w:rsidRPr="00A37BCE">
        <w:rPr>
          <w:rFonts w:cstheme="minorHAnsi"/>
          <w:bCs/>
          <w:color w:val="44546A" w:themeColor="text2"/>
          <w:sz w:val="20"/>
          <w:szCs w:val="72"/>
          <w:lang w:val="sr-Cyrl-RS"/>
        </w:rPr>
        <w:t>ˮ</w:t>
      </w:r>
      <w:r w:rsidRPr="00A37BCE">
        <w:rPr>
          <w:rFonts w:eastAsia="MS PGothic" w:cstheme="minorHAnsi"/>
          <w:color w:val="44546A" w:themeColor="text2"/>
          <w:sz w:val="20"/>
          <w:lang w:val="sr-Cyrl-RS"/>
        </w:rPr>
        <w:t>, у износу од 6,3 млрд динара, које су намењене рекон</w:t>
      </w:r>
      <w:r w:rsidR="00A70F3C">
        <w:rPr>
          <w:rFonts w:eastAsia="MS PGothic" w:cstheme="minorHAnsi"/>
          <w:color w:val="44546A" w:themeColor="text2"/>
          <w:sz w:val="20"/>
          <w:lang w:val="sr-Cyrl-RS"/>
        </w:rPr>
        <w:t>струкцији путне инфраструктуре.</w:t>
      </w:r>
    </w:p>
    <w:p w14:paraId="557AE012" w14:textId="27BE726B" w:rsidR="00BA4876" w:rsidRPr="00A37BCE" w:rsidRDefault="00BA4876" w:rsidP="00BA4876">
      <w:pPr>
        <w:spacing w:after="120" w:line="276" w:lineRule="auto"/>
        <w:jc w:val="both"/>
        <w:rPr>
          <w:rFonts w:eastAsia="MS PGothic" w:cstheme="minorHAnsi"/>
          <w:color w:val="44546A" w:themeColor="text2"/>
          <w:sz w:val="20"/>
          <w:lang w:val="sr-Cyrl-RS"/>
        </w:rPr>
      </w:pPr>
      <w:r w:rsidRPr="00A37BCE">
        <w:rPr>
          <w:rFonts w:eastAsia="MS PGothic" w:cstheme="minorHAnsi"/>
          <w:color w:val="44546A" w:themeColor="text2"/>
          <w:sz w:val="20"/>
          <w:lang w:val="sr-Cyrl-RS"/>
        </w:rPr>
        <w:lastRenderedPageBreak/>
        <w:t>Највећи губитак у 2017. години забележен је код ЈП „Путеви Србије</w:t>
      </w:r>
      <w:r w:rsidR="00624634" w:rsidRPr="00A37BCE">
        <w:rPr>
          <w:rFonts w:cstheme="minorHAnsi"/>
          <w:bCs/>
          <w:color w:val="44546A" w:themeColor="text2"/>
          <w:sz w:val="20"/>
          <w:szCs w:val="72"/>
          <w:lang w:val="sr-Cyrl-RS"/>
        </w:rPr>
        <w:t>ˮ</w:t>
      </w:r>
      <w:r w:rsidRPr="00A37BCE">
        <w:rPr>
          <w:rFonts w:eastAsia="MS PGothic" w:cstheme="minorHAnsi"/>
          <w:color w:val="44546A" w:themeColor="text2"/>
          <w:sz w:val="20"/>
          <w:lang w:val="sr-Cyrl-RS"/>
        </w:rPr>
        <w:t xml:space="preserve"> у износу од 8,1 млрд динара. Како су путарине повећане почетком 2017. године, то је утицало на веће приходе од продаје код овог предузећа и, последично, на мањи губитак у односу на 2016. годину (-11,6 млрд динара). Највећи генератор губитка код овог предузећа су високи трошкови амортизације (11,6 млрд динара у 2017. години). Изузимајући ове трошкове предузеће би завршило 2017. годину са позитивним резултатом</w:t>
      </w:r>
      <w:r w:rsidRPr="00A37BCE">
        <w:rPr>
          <w:rFonts w:eastAsia="MS PGothic" w:cstheme="minorHAnsi"/>
          <w:color w:val="44546A" w:themeColor="text2"/>
          <w:sz w:val="20"/>
          <w:vertAlign w:val="superscript"/>
          <w:lang w:val="sr-Cyrl-RS"/>
        </w:rPr>
        <w:footnoteReference w:id="15"/>
      </w:r>
      <w:r w:rsidR="00A70F3C">
        <w:rPr>
          <w:rFonts w:eastAsia="MS PGothic" w:cstheme="minorHAnsi"/>
          <w:color w:val="44546A" w:themeColor="text2"/>
          <w:sz w:val="20"/>
          <w:lang w:val="sr-Cyrl-RS"/>
        </w:rPr>
        <w:t>.</w:t>
      </w:r>
    </w:p>
    <w:p w14:paraId="65F2FBF6" w14:textId="77777777" w:rsidR="00BA4876" w:rsidRPr="00A37BCE" w:rsidRDefault="00BA4876" w:rsidP="00BA4876">
      <w:pPr>
        <w:spacing w:after="120" w:line="276" w:lineRule="auto"/>
        <w:jc w:val="both"/>
        <w:rPr>
          <w:rFonts w:cstheme="minorHAnsi"/>
          <w:b/>
          <w:bCs/>
          <w:color w:val="2F5496" w:themeColor="accent1" w:themeShade="BF"/>
          <w:szCs w:val="20"/>
          <w:lang w:val="sr-Cyrl-RS"/>
        </w:rPr>
      </w:pPr>
      <w:r w:rsidRPr="00A37BCE">
        <w:rPr>
          <w:rFonts w:cstheme="minorHAnsi"/>
          <w:b/>
          <w:bCs/>
          <w:color w:val="2F5496" w:themeColor="accent1" w:themeShade="BF"/>
          <w:szCs w:val="20"/>
          <w:lang w:val="sr-Cyrl-RS"/>
        </w:rPr>
        <w:t>Резултати пословања јавних предузећа у 2018. години</w:t>
      </w:r>
    </w:p>
    <w:p w14:paraId="35B8FC03" w14:textId="5198BC10" w:rsidR="00BA4876" w:rsidRPr="00A37BCE" w:rsidRDefault="00BA4876" w:rsidP="00BA4876">
      <w:pPr>
        <w:spacing w:after="120" w:line="276" w:lineRule="auto"/>
        <w:jc w:val="both"/>
        <w:rPr>
          <w:rFonts w:eastAsia="MS PGothic" w:cstheme="minorHAnsi"/>
          <w:color w:val="44546A" w:themeColor="text2"/>
          <w:sz w:val="20"/>
          <w:lang w:val="sr-Cyrl-RS"/>
        </w:rPr>
        <w:sectPr w:rsidR="00BA4876" w:rsidRPr="00A37BCE" w:rsidSect="00BA4876">
          <w:type w:val="continuous"/>
          <w:pgSz w:w="12240" w:h="15840"/>
          <w:pgMar w:top="1440" w:right="1440" w:bottom="1440" w:left="1440" w:header="720" w:footer="720" w:gutter="0"/>
          <w:cols w:num="2" w:space="720"/>
          <w:docGrid w:linePitch="360"/>
          <w15:footnoteColumns w:val="1"/>
        </w:sectPr>
      </w:pPr>
      <w:r w:rsidRPr="00A37BCE">
        <w:rPr>
          <w:rFonts w:eastAsia="Calibri" w:cstheme="minorHAnsi"/>
          <w:color w:val="44546A" w:themeColor="text2"/>
          <w:sz w:val="20"/>
          <w:szCs w:val="20"/>
          <w:lang w:val="sr-Cyrl-RS" w:eastAsia="ja-JP"/>
        </w:rPr>
        <w:t>У 2018. години је настављен позитиван тренд пословања републичких јавних предузећа, збирно посматрано. Укупан нето резултат</w:t>
      </w:r>
      <w:r w:rsidRPr="00A37BCE">
        <w:rPr>
          <w:rFonts w:eastAsia="MS PGothic" w:cstheme="minorHAnsi"/>
          <w:color w:val="44546A" w:themeColor="text2"/>
          <w:sz w:val="20"/>
          <w:lang w:val="sr-Cyrl-RS"/>
        </w:rPr>
        <w:t xml:space="preserve"> утврђен у првој половини године је добит у износу од 15,1 млрд динара. Резултат текуће године је прецењен за трошкове </w:t>
      </w:r>
      <w:r w:rsidR="00D82D2A">
        <w:rPr>
          <w:rFonts w:eastAsia="MS PGothic" w:cstheme="minorHAnsi"/>
          <w:color w:val="44546A" w:themeColor="text2"/>
          <w:sz w:val="20"/>
          <w:lang w:val="sr-Cyrl-RS"/>
        </w:rPr>
        <w:t>амортизације ЈП „Путеви Србије</w:t>
      </w:r>
      <w:r w:rsidR="00624634" w:rsidRPr="00A37BCE">
        <w:rPr>
          <w:rFonts w:cstheme="minorHAnsi"/>
          <w:bCs/>
          <w:color w:val="44546A" w:themeColor="text2"/>
          <w:sz w:val="20"/>
          <w:szCs w:val="72"/>
          <w:lang w:val="sr-Cyrl-RS"/>
        </w:rPr>
        <w:t>ˮ</w:t>
      </w:r>
      <w:r w:rsidRPr="00A37BCE">
        <w:rPr>
          <w:rFonts w:eastAsia="MS PGothic" w:cstheme="minorHAnsi"/>
          <w:color w:val="44546A" w:themeColor="text2"/>
          <w:sz w:val="20"/>
          <w:lang w:val="sr-Cyrl-RS"/>
        </w:rPr>
        <w:t xml:space="preserve">, јер предузеће ове трошкове књижи тек на крају године у целокупном износу за дату годину. </w:t>
      </w:r>
    </w:p>
    <w:p w14:paraId="2A8BCBAC" w14:textId="6E5FF086" w:rsidR="00BA4876" w:rsidRPr="00A37BCE" w:rsidRDefault="00BA4876" w:rsidP="00BA4876">
      <w:pPr>
        <w:spacing w:after="0" w:line="276" w:lineRule="auto"/>
        <w:contextualSpacing/>
        <w:jc w:val="center"/>
        <w:rPr>
          <w:rFonts w:eastAsia="MS PGothic" w:cstheme="minorHAnsi"/>
          <w:b/>
          <w:bCs/>
          <w:color w:val="002060"/>
          <w:sz w:val="20"/>
          <w:lang w:val="sr-Cyrl-RS"/>
        </w:rPr>
      </w:pPr>
      <w:r w:rsidRPr="00A37BCE">
        <w:rPr>
          <w:rFonts w:eastAsia="MS PGothic" w:cstheme="minorHAnsi"/>
          <w:b/>
          <w:bCs/>
          <w:color w:val="002060"/>
          <w:sz w:val="20"/>
          <w:lang w:val="sr-Cyrl-RS"/>
        </w:rPr>
        <w:lastRenderedPageBreak/>
        <w:t>Табела 1</w:t>
      </w:r>
      <w:r w:rsidR="005B01D9" w:rsidRPr="00A37BCE">
        <w:rPr>
          <w:rFonts w:eastAsia="MS PGothic" w:cstheme="minorHAnsi"/>
          <w:b/>
          <w:bCs/>
          <w:color w:val="002060"/>
          <w:sz w:val="20"/>
          <w:lang w:val="sr-Cyrl-RS"/>
        </w:rPr>
        <w:t>6</w:t>
      </w:r>
      <w:r w:rsidRPr="00A37BCE">
        <w:rPr>
          <w:rFonts w:eastAsia="MS PGothic" w:cstheme="minorHAnsi"/>
          <w:b/>
          <w:bCs/>
          <w:color w:val="002060"/>
          <w:sz w:val="20"/>
          <w:lang w:val="sr-Cyrl-RS"/>
        </w:rPr>
        <w:t>. Основни показатељи пословања ЈП</w:t>
      </w:r>
      <w:r w:rsidR="00480402">
        <w:rPr>
          <w:rFonts w:eastAsia="MS PGothic" w:cstheme="minorHAnsi"/>
          <w:b/>
          <w:bCs/>
          <w:color w:val="002060"/>
          <w:sz w:val="20"/>
          <w:lang w:val="sr-Cyrl-RS"/>
        </w:rPr>
        <w:t xml:space="preserve"> на дан 30.06.2018. год, у млрд</w:t>
      </w:r>
      <w:r w:rsidRPr="00A37BCE">
        <w:rPr>
          <w:rFonts w:eastAsia="MS PGothic" w:cstheme="minorHAnsi"/>
          <w:b/>
          <w:bCs/>
          <w:color w:val="002060"/>
          <w:sz w:val="20"/>
          <w:lang w:val="sr-Cyrl-RS"/>
        </w:rPr>
        <w:t xml:space="preserve"> динара</w:t>
      </w:r>
    </w:p>
    <w:tbl>
      <w:tblPr>
        <w:tblW w:w="5000" w:type="pct"/>
        <w:tblLook w:val="04A0" w:firstRow="1" w:lastRow="0" w:firstColumn="1" w:lastColumn="0" w:noHBand="0" w:noVBand="1"/>
      </w:tblPr>
      <w:tblGrid>
        <w:gridCol w:w="4633"/>
        <w:gridCol w:w="1572"/>
        <w:gridCol w:w="1572"/>
        <w:gridCol w:w="1583"/>
      </w:tblGrid>
      <w:tr w:rsidR="00BA4876" w:rsidRPr="00A37BCE" w14:paraId="3B76FB61" w14:textId="77777777" w:rsidTr="00642DA6">
        <w:trPr>
          <w:trHeight w:val="20"/>
          <w:tblHeader/>
        </w:trPr>
        <w:tc>
          <w:tcPr>
            <w:tcW w:w="2476" w:type="pct"/>
            <w:tcBorders>
              <w:top w:val="single" w:sz="4" w:space="0" w:color="002060"/>
              <w:bottom w:val="single" w:sz="4" w:space="0" w:color="002060"/>
            </w:tcBorders>
            <w:shd w:val="clear" w:color="auto" w:fill="auto"/>
            <w:noWrap/>
            <w:vAlign w:val="center"/>
            <w:hideMark/>
          </w:tcPr>
          <w:p w14:paraId="50114DA4" w14:textId="77777777" w:rsidR="00BA4876" w:rsidRPr="00A37BCE" w:rsidRDefault="00BA4876" w:rsidP="00BA4876">
            <w:pPr>
              <w:spacing w:after="0" w:line="276" w:lineRule="auto"/>
              <w:jc w:val="both"/>
              <w:rPr>
                <w:rFonts w:eastAsia="Times New Roman" w:cstheme="minorHAnsi"/>
                <w:bCs/>
                <w:color w:val="002060"/>
                <w:sz w:val="18"/>
                <w:lang w:val="sr-Cyrl-RS"/>
              </w:rPr>
            </w:pPr>
            <w:r w:rsidRPr="00A37BCE">
              <w:rPr>
                <w:rFonts w:eastAsia="Times New Roman" w:cstheme="minorHAnsi"/>
                <w:bCs/>
                <w:color w:val="002060"/>
                <w:sz w:val="18"/>
                <w:lang w:val="sr-Cyrl-RS"/>
              </w:rPr>
              <w:t>Показатељи пословања</w:t>
            </w:r>
          </w:p>
        </w:tc>
        <w:tc>
          <w:tcPr>
            <w:tcW w:w="841" w:type="pct"/>
            <w:tcBorders>
              <w:top w:val="single" w:sz="4" w:space="0" w:color="002060"/>
              <w:bottom w:val="single" w:sz="4" w:space="0" w:color="002060"/>
            </w:tcBorders>
            <w:shd w:val="clear" w:color="auto" w:fill="auto"/>
            <w:noWrap/>
            <w:vAlign w:val="center"/>
            <w:hideMark/>
          </w:tcPr>
          <w:p w14:paraId="42DC6358" w14:textId="77777777" w:rsidR="00BA4876" w:rsidRPr="00A37BCE" w:rsidRDefault="00BA4876" w:rsidP="00BA4876">
            <w:pPr>
              <w:spacing w:after="0" w:line="276" w:lineRule="auto"/>
              <w:jc w:val="right"/>
              <w:rPr>
                <w:rFonts w:eastAsia="Times New Roman" w:cstheme="minorHAnsi"/>
                <w:bCs/>
                <w:color w:val="002060"/>
                <w:sz w:val="18"/>
                <w:lang w:val="sr-Cyrl-RS"/>
              </w:rPr>
            </w:pPr>
            <w:r w:rsidRPr="00A37BCE">
              <w:rPr>
                <w:rFonts w:eastAsia="Times New Roman" w:cstheme="minorHAnsi"/>
                <w:bCs/>
                <w:color w:val="002060"/>
                <w:sz w:val="18"/>
                <w:lang w:val="sr-Cyrl-RS"/>
              </w:rPr>
              <w:t>2016</w:t>
            </w:r>
          </w:p>
        </w:tc>
        <w:tc>
          <w:tcPr>
            <w:tcW w:w="841" w:type="pct"/>
            <w:tcBorders>
              <w:top w:val="single" w:sz="4" w:space="0" w:color="002060"/>
              <w:bottom w:val="single" w:sz="4" w:space="0" w:color="002060"/>
            </w:tcBorders>
            <w:shd w:val="clear" w:color="auto" w:fill="auto"/>
            <w:noWrap/>
            <w:vAlign w:val="center"/>
            <w:hideMark/>
          </w:tcPr>
          <w:p w14:paraId="1BDC0DD9" w14:textId="77777777" w:rsidR="00BA4876" w:rsidRPr="00A37BCE" w:rsidRDefault="00BA4876" w:rsidP="00BA4876">
            <w:pPr>
              <w:spacing w:after="0" w:line="276" w:lineRule="auto"/>
              <w:jc w:val="right"/>
              <w:rPr>
                <w:rFonts w:eastAsia="Times New Roman" w:cstheme="minorHAnsi"/>
                <w:bCs/>
                <w:color w:val="002060"/>
                <w:sz w:val="18"/>
                <w:lang w:val="sr-Cyrl-RS"/>
              </w:rPr>
            </w:pPr>
            <w:r w:rsidRPr="00A37BCE">
              <w:rPr>
                <w:rFonts w:eastAsia="Times New Roman" w:cstheme="minorHAnsi"/>
                <w:bCs/>
                <w:color w:val="002060"/>
                <w:sz w:val="18"/>
                <w:lang w:val="sr-Cyrl-RS"/>
              </w:rPr>
              <w:t>2017</w:t>
            </w:r>
          </w:p>
        </w:tc>
        <w:tc>
          <w:tcPr>
            <w:tcW w:w="841" w:type="pct"/>
            <w:tcBorders>
              <w:top w:val="single" w:sz="4" w:space="0" w:color="002060"/>
              <w:bottom w:val="single" w:sz="4" w:space="0" w:color="002060"/>
            </w:tcBorders>
            <w:shd w:val="clear" w:color="auto" w:fill="auto"/>
            <w:noWrap/>
            <w:vAlign w:val="center"/>
            <w:hideMark/>
          </w:tcPr>
          <w:p w14:paraId="640C005E" w14:textId="74E50869" w:rsidR="00BA4876" w:rsidRPr="00A37BCE" w:rsidRDefault="00BA4876" w:rsidP="00BA4876">
            <w:pPr>
              <w:spacing w:after="0" w:line="276" w:lineRule="auto"/>
              <w:jc w:val="center"/>
              <w:rPr>
                <w:rFonts w:eastAsia="Times New Roman" w:cstheme="minorHAnsi"/>
                <w:bCs/>
                <w:color w:val="002060"/>
                <w:sz w:val="18"/>
                <w:lang w:val="sr-Cyrl-RS"/>
              </w:rPr>
            </w:pPr>
            <w:r w:rsidRPr="00A37BCE">
              <w:rPr>
                <w:rFonts w:eastAsia="Times New Roman" w:cstheme="minorHAnsi"/>
                <w:bCs/>
                <w:color w:val="002060"/>
                <w:sz w:val="18"/>
                <w:lang w:val="sr-Cyrl-RS"/>
              </w:rPr>
              <w:t>01.01</w:t>
            </w:r>
            <w:r w:rsidR="00642DA6" w:rsidRPr="00A37BCE">
              <w:rPr>
                <w:rFonts w:eastAsia="Times New Roman" w:cstheme="minorHAnsi"/>
                <w:bCs/>
                <w:color w:val="002060"/>
                <w:sz w:val="18"/>
                <w:lang w:val="sr-Cyrl-RS"/>
              </w:rPr>
              <w:t>–</w:t>
            </w:r>
            <w:r w:rsidRPr="00A37BCE">
              <w:rPr>
                <w:rFonts w:eastAsia="Times New Roman" w:cstheme="minorHAnsi"/>
                <w:bCs/>
                <w:color w:val="002060"/>
                <w:sz w:val="18"/>
                <w:lang w:val="sr-Cyrl-RS"/>
              </w:rPr>
              <w:t>30.06.2018.</w:t>
            </w:r>
          </w:p>
        </w:tc>
      </w:tr>
      <w:tr w:rsidR="00BA4876" w:rsidRPr="00A37BCE" w14:paraId="1A63A802" w14:textId="77777777" w:rsidTr="00642DA6">
        <w:trPr>
          <w:trHeight w:val="20"/>
        </w:trPr>
        <w:tc>
          <w:tcPr>
            <w:tcW w:w="2476" w:type="pct"/>
            <w:tcBorders>
              <w:top w:val="single" w:sz="4" w:space="0" w:color="002060"/>
            </w:tcBorders>
            <w:shd w:val="clear" w:color="auto" w:fill="auto"/>
            <w:noWrap/>
            <w:vAlign w:val="center"/>
            <w:hideMark/>
          </w:tcPr>
          <w:p w14:paraId="5E967AEC" w14:textId="77777777" w:rsidR="00BA4876" w:rsidRPr="00A37BCE" w:rsidRDefault="00BA4876" w:rsidP="00BA4876">
            <w:pPr>
              <w:spacing w:after="0" w:line="276" w:lineRule="auto"/>
              <w:jc w:val="both"/>
              <w:rPr>
                <w:rFonts w:eastAsia="Times New Roman" w:cstheme="minorHAnsi"/>
                <w:color w:val="002060"/>
                <w:sz w:val="18"/>
                <w:lang w:val="sr-Cyrl-RS"/>
              </w:rPr>
            </w:pPr>
            <w:r w:rsidRPr="00A37BCE">
              <w:rPr>
                <w:rFonts w:eastAsia="Times New Roman" w:cstheme="minorHAnsi"/>
                <w:color w:val="002060"/>
                <w:sz w:val="18"/>
                <w:lang w:val="sr-Cyrl-RS"/>
              </w:rPr>
              <w:t>Пословни приходи</w:t>
            </w:r>
          </w:p>
        </w:tc>
        <w:tc>
          <w:tcPr>
            <w:tcW w:w="841" w:type="pct"/>
            <w:tcBorders>
              <w:top w:val="single" w:sz="4" w:space="0" w:color="002060"/>
            </w:tcBorders>
            <w:shd w:val="clear" w:color="auto" w:fill="auto"/>
            <w:noWrap/>
            <w:vAlign w:val="center"/>
            <w:hideMark/>
          </w:tcPr>
          <w:p w14:paraId="4DF6A2E6" w14:textId="77777777" w:rsidR="00BA4876" w:rsidRPr="00A37BCE" w:rsidRDefault="00BA4876" w:rsidP="00BA4876">
            <w:pPr>
              <w:spacing w:after="0" w:line="276" w:lineRule="auto"/>
              <w:jc w:val="right"/>
              <w:rPr>
                <w:rFonts w:eastAsia="Times New Roman" w:cstheme="minorHAnsi"/>
                <w:color w:val="002060"/>
                <w:sz w:val="18"/>
                <w:lang w:val="sr-Cyrl-RS"/>
              </w:rPr>
            </w:pPr>
            <w:r w:rsidRPr="00A37BCE">
              <w:rPr>
                <w:rFonts w:eastAsia="Times New Roman" w:cstheme="minorHAnsi"/>
                <w:color w:val="002060"/>
                <w:sz w:val="18"/>
                <w:lang w:val="sr-Cyrl-RS"/>
              </w:rPr>
              <w:t>450,1</w:t>
            </w:r>
          </w:p>
        </w:tc>
        <w:tc>
          <w:tcPr>
            <w:tcW w:w="841" w:type="pct"/>
            <w:tcBorders>
              <w:top w:val="single" w:sz="4" w:space="0" w:color="002060"/>
            </w:tcBorders>
            <w:shd w:val="clear" w:color="auto" w:fill="auto"/>
            <w:noWrap/>
            <w:vAlign w:val="center"/>
            <w:hideMark/>
          </w:tcPr>
          <w:p w14:paraId="09D4325E" w14:textId="77777777" w:rsidR="00BA4876" w:rsidRPr="00A37BCE" w:rsidRDefault="00BA4876" w:rsidP="00BA4876">
            <w:pPr>
              <w:spacing w:after="0" w:line="276" w:lineRule="auto"/>
              <w:jc w:val="right"/>
              <w:rPr>
                <w:rFonts w:eastAsia="Times New Roman" w:cstheme="minorHAnsi"/>
                <w:color w:val="002060"/>
                <w:sz w:val="18"/>
                <w:lang w:val="sr-Cyrl-RS"/>
              </w:rPr>
            </w:pPr>
            <w:r w:rsidRPr="00A37BCE">
              <w:rPr>
                <w:rFonts w:eastAsia="Times New Roman" w:cstheme="minorHAnsi"/>
                <w:color w:val="002060"/>
                <w:sz w:val="18"/>
                <w:lang w:val="sr-Cyrl-RS"/>
              </w:rPr>
              <w:t>455,6</w:t>
            </w:r>
          </w:p>
        </w:tc>
        <w:tc>
          <w:tcPr>
            <w:tcW w:w="841" w:type="pct"/>
            <w:tcBorders>
              <w:top w:val="single" w:sz="4" w:space="0" w:color="002060"/>
            </w:tcBorders>
            <w:shd w:val="clear" w:color="auto" w:fill="auto"/>
            <w:noWrap/>
            <w:vAlign w:val="center"/>
            <w:hideMark/>
          </w:tcPr>
          <w:p w14:paraId="2C9CE756" w14:textId="77777777" w:rsidR="00BA4876" w:rsidRPr="00A37BCE" w:rsidRDefault="00BA4876" w:rsidP="00BA4876">
            <w:pPr>
              <w:spacing w:after="0" w:line="276" w:lineRule="auto"/>
              <w:jc w:val="right"/>
              <w:rPr>
                <w:rFonts w:eastAsia="Times New Roman" w:cstheme="minorHAnsi"/>
                <w:color w:val="002060"/>
                <w:sz w:val="18"/>
                <w:lang w:val="sr-Cyrl-RS"/>
              </w:rPr>
            </w:pPr>
            <w:r w:rsidRPr="00A37BCE">
              <w:rPr>
                <w:rFonts w:eastAsia="Times New Roman" w:cstheme="minorHAnsi"/>
                <w:color w:val="002060"/>
                <w:sz w:val="18"/>
                <w:lang w:val="sr-Cyrl-RS"/>
              </w:rPr>
              <w:t>232,5</w:t>
            </w:r>
          </w:p>
        </w:tc>
      </w:tr>
      <w:tr w:rsidR="00BA4876" w:rsidRPr="00A37BCE" w14:paraId="45EDB98A" w14:textId="77777777" w:rsidTr="00642DA6">
        <w:trPr>
          <w:trHeight w:val="20"/>
        </w:trPr>
        <w:tc>
          <w:tcPr>
            <w:tcW w:w="2476" w:type="pct"/>
            <w:shd w:val="clear" w:color="auto" w:fill="auto"/>
            <w:noWrap/>
            <w:vAlign w:val="center"/>
            <w:hideMark/>
          </w:tcPr>
          <w:p w14:paraId="7C311F6D" w14:textId="77777777" w:rsidR="00BA4876" w:rsidRPr="00A37BCE" w:rsidRDefault="00BA4876" w:rsidP="00BA4876">
            <w:pPr>
              <w:spacing w:after="0" w:line="276" w:lineRule="auto"/>
              <w:jc w:val="both"/>
              <w:rPr>
                <w:rFonts w:eastAsia="Times New Roman" w:cstheme="minorHAnsi"/>
                <w:color w:val="002060"/>
                <w:sz w:val="18"/>
                <w:lang w:val="sr-Cyrl-RS"/>
              </w:rPr>
            </w:pPr>
            <w:r w:rsidRPr="00A37BCE">
              <w:rPr>
                <w:rFonts w:eastAsia="Times New Roman" w:cstheme="minorHAnsi"/>
                <w:color w:val="002060"/>
                <w:sz w:val="18"/>
                <w:lang w:val="sr-Cyrl-RS"/>
              </w:rPr>
              <w:t>Пословни расходи</w:t>
            </w:r>
          </w:p>
        </w:tc>
        <w:tc>
          <w:tcPr>
            <w:tcW w:w="841" w:type="pct"/>
            <w:shd w:val="clear" w:color="auto" w:fill="auto"/>
            <w:noWrap/>
            <w:vAlign w:val="center"/>
            <w:hideMark/>
          </w:tcPr>
          <w:p w14:paraId="038F9C7A" w14:textId="77777777" w:rsidR="00BA4876" w:rsidRPr="00A37BCE" w:rsidRDefault="00BA4876" w:rsidP="00BA4876">
            <w:pPr>
              <w:spacing w:after="0" w:line="276" w:lineRule="auto"/>
              <w:jc w:val="right"/>
              <w:rPr>
                <w:rFonts w:eastAsia="Times New Roman" w:cstheme="minorHAnsi"/>
                <w:color w:val="002060"/>
                <w:sz w:val="18"/>
                <w:lang w:val="sr-Cyrl-RS"/>
              </w:rPr>
            </w:pPr>
            <w:r w:rsidRPr="00A37BCE">
              <w:rPr>
                <w:rFonts w:eastAsia="Times New Roman" w:cstheme="minorHAnsi"/>
                <w:color w:val="002060"/>
                <w:sz w:val="18"/>
                <w:lang w:val="sr-Cyrl-RS"/>
              </w:rPr>
              <w:t>396,6</w:t>
            </w:r>
          </w:p>
        </w:tc>
        <w:tc>
          <w:tcPr>
            <w:tcW w:w="841" w:type="pct"/>
            <w:shd w:val="clear" w:color="auto" w:fill="auto"/>
            <w:noWrap/>
            <w:vAlign w:val="center"/>
            <w:hideMark/>
          </w:tcPr>
          <w:p w14:paraId="37729BCF" w14:textId="77777777" w:rsidR="00BA4876" w:rsidRPr="00A37BCE" w:rsidRDefault="00BA4876" w:rsidP="00BA4876">
            <w:pPr>
              <w:spacing w:after="0" w:line="276" w:lineRule="auto"/>
              <w:jc w:val="right"/>
              <w:rPr>
                <w:rFonts w:eastAsia="Times New Roman" w:cstheme="minorHAnsi"/>
                <w:color w:val="002060"/>
                <w:sz w:val="18"/>
                <w:lang w:val="sr-Cyrl-RS"/>
              </w:rPr>
            </w:pPr>
            <w:r w:rsidRPr="00A37BCE">
              <w:rPr>
                <w:rFonts w:eastAsia="Times New Roman" w:cstheme="minorHAnsi"/>
                <w:color w:val="002060"/>
                <w:sz w:val="18"/>
                <w:lang w:val="sr-Cyrl-RS"/>
              </w:rPr>
              <w:t>423,8</w:t>
            </w:r>
          </w:p>
        </w:tc>
        <w:tc>
          <w:tcPr>
            <w:tcW w:w="841" w:type="pct"/>
            <w:shd w:val="clear" w:color="auto" w:fill="auto"/>
            <w:noWrap/>
            <w:vAlign w:val="center"/>
            <w:hideMark/>
          </w:tcPr>
          <w:p w14:paraId="42D02379" w14:textId="77777777" w:rsidR="00BA4876" w:rsidRPr="00A37BCE" w:rsidRDefault="00BA4876" w:rsidP="00BA4876">
            <w:pPr>
              <w:spacing w:after="0" w:line="276" w:lineRule="auto"/>
              <w:jc w:val="right"/>
              <w:rPr>
                <w:rFonts w:eastAsia="Times New Roman" w:cstheme="minorHAnsi"/>
                <w:color w:val="002060"/>
                <w:sz w:val="18"/>
                <w:lang w:val="sr-Cyrl-RS"/>
              </w:rPr>
            </w:pPr>
            <w:r w:rsidRPr="00A37BCE">
              <w:rPr>
                <w:rFonts w:eastAsia="Times New Roman" w:cstheme="minorHAnsi"/>
                <w:color w:val="002060"/>
                <w:sz w:val="18"/>
                <w:lang w:val="sr-Cyrl-RS"/>
              </w:rPr>
              <w:t>206,1</w:t>
            </w:r>
          </w:p>
        </w:tc>
      </w:tr>
      <w:tr w:rsidR="00BA4876" w:rsidRPr="00A37BCE" w14:paraId="7053D184" w14:textId="77777777" w:rsidTr="00642DA6">
        <w:trPr>
          <w:trHeight w:val="20"/>
        </w:trPr>
        <w:tc>
          <w:tcPr>
            <w:tcW w:w="2476" w:type="pct"/>
            <w:shd w:val="clear" w:color="auto" w:fill="auto"/>
            <w:noWrap/>
            <w:vAlign w:val="center"/>
            <w:hideMark/>
          </w:tcPr>
          <w:p w14:paraId="4BF3C224" w14:textId="77777777" w:rsidR="00BA4876" w:rsidRPr="00A37BCE" w:rsidRDefault="00BA4876" w:rsidP="00BA4876">
            <w:pPr>
              <w:spacing w:after="0" w:line="276" w:lineRule="auto"/>
              <w:jc w:val="both"/>
              <w:rPr>
                <w:rFonts w:eastAsia="Times New Roman" w:cstheme="minorHAnsi"/>
                <w:color w:val="002060"/>
                <w:sz w:val="18"/>
                <w:lang w:val="sr-Cyrl-RS"/>
              </w:rPr>
            </w:pPr>
            <w:r w:rsidRPr="00A37BCE">
              <w:rPr>
                <w:rFonts w:eastAsia="Times New Roman" w:cstheme="minorHAnsi"/>
                <w:color w:val="002060"/>
                <w:sz w:val="18"/>
                <w:lang w:val="sr-Cyrl-RS"/>
              </w:rPr>
              <w:t>Пословна добит</w:t>
            </w:r>
          </w:p>
        </w:tc>
        <w:tc>
          <w:tcPr>
            <w:tcW w:w="841" w:type="pct"/>
            <w:shd w:val="clear" w:color="auto" w:fill="auto"/>
            <w:noWrap/>
            <w:vAlign w:val="center"/>
            <w:hideMark/>
          </w:tcPr>
          <w:p w14:paraId="616BC534" w14:textId="77777777" w:rsidR="00BA4876" w:rsidRPr="00A37BCE" w:rsidRDefault="00BA4876" w:rsidP="00BA4876">
            <w:pPr>
              <w:spacing w:after="0" w:line="276" w:lineRule="auto"/>
              <w:jc w:val="right"/>
              <w:rPr>
                <w:rFonts w:eastAsia="Times New Roman" w:cstheme="minorHAnsi"/>
                <w:color w:val="002060"/>
                <w:sz w:val="18"/>
                <w:lang w:val="sr-Cyrl-RS"/>
              </w:rPr>
            </w:pPr>
            <w:r w:rsidRPr="00A37BCE">
              <w:rPr>
                <w:rFonts w:eastAsia="Times New Roman" w:cstheme="minorHAnsi"/>
                <w:color w:val="002060"/>
                <w:sz w:val="18"/>
                <w:lang w:val="sr-Cyrl-RS"/>
              </w:rPr>
              <w:t>53,4</w:t>
            </w:r>
          </w:p>
        </w:tc>
        <w:tc>
          <w:tcPr>
            <w:tcW w:w="841" w:type="pct"/>
            <w:shd w:val="clear" w:color="auto" w:fill="auto"/>
            <w:noWrap/>
            <w:vAlign w:val="center"/>
            <w:hideMark/>
          </w:tcPr>
          <w:p w14:paraId="7E794BD4" w14:textId="77777777" w:rsidR="00BA4876" w:rsidRPr="00A37BCE" w:rsidRDefault="00BA4876" w:rsidP="00BA4876">
            <w:pPr>
              <w:spacing w:after="0" w:line="276" w:lineRule="auto"/>
              <w:jc w:val="right"/>
              <w:rPr>
                <w:rFonts w:eastAsia="Times New Roman" w:cstheme="minorHAnsi"/>
                <w:color w:val="002060"/>
                <w:sz w:val="18"/>
                <w:lang w:val="sr-Cyrl-RS"/>
              </w:rPr>
            </w:pPr>
            <w:r w:rsidRPr="00A37BCE">
              <w:rPr>
                <w:rFonts w:eastAsia="Times New Roman" w:cstheme="minorHAnsi"/>
                <w:color w:val="002060"/>
                <w:sz w:val="18"/>
                <w:lang w:val="sr-Cyrl-RS"/>
              </w:rPr>
              <w:t>31,8</w:t>
            </w:r>
          </w:p>
        </w:tc>
        <w:tc>
          <w:tcPr>
            <w:tcW w:w="841" w:type="pct"/>
            <w:shd w:val="clear" w:color="auto" w:fill="auto"/>
            <w:noWrap/>
            <w:vAlign w:val="center"/>
            <w:hideMark/>
          </w:tcPr>
          <w:p w14:paraId="0E5F1275" w14:textId="77777777" w:rsidR="00BA4876" w:rsidRPr="00A37BCE" w:rsidRDefault="00BA4876" w:rsidP="00BA4876">
            <w:pPr>
              <w:spacing w:after="0" w:line="276" w:lineRule="auto"/>
              <w:jc w:val="right"/>
              <w:rPr>
                <w:rFonts w:eastAsia="Times New Roman" w:cstheme="minorHAnsi"/>
                <w:color w:val="002060"/>
                <w:sz w:val="18"/>
                <w:lang w:val="sr-Cyrl-RS"/>
              </w:rPr>
            </w:pPr>
            <w:r w:rsidRPr="00A37BCE">
              <w:rPr>
                <w:rFonts w:eastAsia="Times New Roman" w:cstheme="minorHAnsi"/>
                <w:color w:val="002060"/>
                <w:sz w:val="18"/>
                <w:lang w:val="sr-Cyrl-RS"/>
              </w:rPr>
              <w:t>26,4</w:t>
            </w:r>
          </w:p>
        </w:tc>
      </w:tr>
      <w:tr w:rsidR="00BA4876" w:rsidRPr="00A37BCE" w14:paraId="396CD1F8" w14:textId="77777777" w:rsidTr="00642DA6">
        <w:trPr>
          <w:trHeight w:val="20"/>
        </w:trPr>
        <w:tc>
          <w:tcPr>
            <w:tcW w:w="2476" w:type="pct"/>
            <w:shd w:val="clear" w:color="auto" w:fill="auto"/>
            <w:noWrap/>
            <w:vAlign w:val="center"/>
            <w:hideMark/>
          </w:tcPr>
          <w:p w14:paraId="5A99ABF0" w14:textId="77777777" w:rsidR="00BA4876" w:rsidRPr="00A37BCE" w:rsidRDefault="00BA4876" w:rsidP="00BA4876">
            <w:pPr>
              <w:spacing w:after="0" w:line="276" w:lineRule="auto"/>
              <w:jc w:val="both"/>
              <w:rPr>
                <w:rFonts w:eastAsia="Times New Roman" w:cstheme="minorHAnsi"/>
                <w:color w:val="002060"/>
                <w:sz w:val="18"/>
                <w:lang w:val="sr-Cyrl-RS"/>
              </w:rPr>
            </w:pPr>
            <w:r w:rsidRPr="00A37BCE">
              <w:rPr>
                <w:rFonts w:eastAsia="Times New Roman" w:cstheme="minorHAnsi"/>
                <w:color w:val="002060"/>
                <w:sz w:val="18"/>
                <w:lang w:val="sr-Cyrl-RS"/>
              </w:rPr>
              <w:t>Нето добит</w:t>
            </w:r>
          </w:p>
        </w:tc>
        <w:tc>
          <w:tcPr>
            <w:tcW w:w="841" w:type="pct"/>
            <w:shd w:val="clear" w:color="auto" w:fill="auto"/>
            <w:noWrap/>
            <w:vAlign w:val="center"/>
            <w:hideMark/>
          </w:tcPr>
          <w:p w14:paraId="5466011C" w14:textId="77777777" w:rsidR="00BA4876" w:rsidRPr="00A37BCE" w:rsidRDefault="00BA4876" w:rsidP="00BA4876">
            <w:pPr>
              <w:spacing w:after="0" w:line="276" w:lineRule="auto"/>
              <w:jc w:val="right"/>
              <w:rPr>
                <w:rFonts w:eastAsia="Times New Roman" w:cstheme="minorHAnsi"/>
                <w:color w:val="002060"/>
                <w:sz w:val="18"/>
                <w:lang w:val="sr-Cyrl-RS"/>
              </w:rPr>
            </w:pPr>
            <w:r w:rsidRPr="00A37BCE">
              <w:rPr>
                <w:rFonts w:eastAsia="Times New Roman" w:cstheme="minorHAnsi"/>
                <w:color w:val="002060"/>
                <w:sz w:val="18"/>
                <w:lang w:val="sr-Cyrl-RS"/>
              </w:rPr>
              <w:t>4,4</w:t>
            </w:r>
          </w:p>
        </w:tc>
        <w:tc>
          <w:tcPr>
            <w:tcW w:w="841" w:type="pct"/>
            <w:shd w:val="clear" w:color="auto" w:fill="auto"/>
            <w:noWrap/>
            <w:vAlign w:val="center"/>
            <w:hideMark/>
          </w:tcPr>
          <w:p w14:paraId="684570BA" w14:textId="77777777" w:rsidR="00BA4876" w:rsidRPr="00A37BCE" w:rsidRDefault="00BA4876" w:rsidP="00BA4876">
            <w:pPr>
              <w:spacing w:after="0" w:line="276" w:lineRule="auto"/>
              <w:jc w:val="right"/>
              <w:rPr>
                <w:rFonts w:eastAsia="Times New Roman" w:cstheme="minorHAnsi"/>
                <w:color w:val="002060"/>
                <w:sz w:val="18"/>
                <w:lang w:val="sr-Cyrl-RS"/>
              </w:rPr>
            </w:pPr>
            <w:r w:rsidRPr="00A37BCE">
              <w:rPr>
                <w:rFonts w:eastAsia="Times New Roman" w:cstheme="minorHAnsi"/>
                <w:color w:val="002060"/>
                <w:sz w:val="18"/>
                <w:lang w:val="sr-Cyrl-RS"/>
              </w:rPr>
              <w:t>23,7</w:t>
            </w:r>
          </w:p>
        </w:tc>
        <w:tc>
          <w:tcPr>
            <w:tcW w:w="841" w:type="pct"/>
            <w:shd w:val="clear" w:color="auto" w:fill="auto"/>
            <w:noWrap/>
            <w:vAlign w:val="center"/>
            <w:hideMark/>
          </w:tcPr>
          <w:p w14:paraId="4B027C71" w14:textId="77777777" w:rsidR="00BA4876" w:rsidRPr="00A37BCE" w:rsidRDefault="00BA4876" w:rsidP="00BA4876">
            <w:pPr>
              <w:spacing w:after="0" w:line="276" w:lineRule="auto"/>
              <w:jc w:val="right"/>
              <w:rPr>
                <w:rFonts w:eastAsia="Times New Roman" w:cstheme="minorHAnsi"/>
                <w:color w:val="002060"/>
                <w:sz w:val="18"/>
                <w:lang w:val="sr-Cyrl-RS"/>
              </w:rPr>
            </w:pPr>
            <w:r w:rsidRPr="00A37BCE">
              <w:rPr>
                <w:rFonts w:eastAsia="Times New Roman" w:cstheme="minorHAnsi"/>
                <w:color w:val="002060"/>
                <w:sz w:val="18"/>
                <w:lang w:val="sr-Cyrl-RS"/>
              </w:rPr>
              <w:t>15,1</w:t>
            </w:r>
          </w:p>
        </w:tc>
      </w:tr>
      <w:tr w:rsidR="00BA4876" w:rsidRPr="00A37BCE" w14:paraId="02D84ABC" w14:textId="77777777" w:rsidTr="00642DA6">
        <w:trPr>
          <w:trHeight w:val="20"/>
        </w:trPr>
        <w:tc>
          <w:tcPr>
            <w:tcW w:w="2476" w:type="pct"/>
            <w:shd w:val="clear" w:color="auto" w:fill="auto"/>
            <w:noWrap/>
            <w:vAlign w:val="center"/>
            <w:hideMark/>
          </w:tcPr>
          <w:p w14:paraId="1EBFE58C" w14:textId="77777777" w:rsidR="00BA4876" w:rsidRPr="00A37BCE" w:rsidRDefault="00BA4876" w:rsidP="00BA4876">
            <w:pPr>
              <w:spacing w:after="0" w:line="276" w:lineRule="auto"/>
              <w:jc w:val="both"/>
              <w:rPr>
                <w:rFonts w:eastAsia="Times New Roman" w:cstheme="minorHAnsi"/>
                <w:color w:val="002060"/>
                <w:sz w:val="18"/>
                <w:lang w:val="sr-Cyrl-RS"/>
              </w:rPr>
            </w:pPr>
            <w:r w:rsidRPr="00A37BCE">
              <w:rPr>
                <w:rFonts w:eastAsia="Times New Roman" w:cstheme="minorHAnsi"/>
                <w:color w:val="002060"/>
                <w:sz w:val="18"/>
                <w:lang w:val="sr-Cyrl-RS"/>
              </w:rPr>
              <w:t>Трошкови зарада*</w:t>
            </w:r>
          </w:p>
        </w:tc>
        <w:tc>
          <w:tcPr>
            <w:tcW w:w="841" w:type="pct"/>
            <w:shd w:val="clear" w:color="auto" w:fill="auto"/>
            <w:noWrap/>
            <w:vAlign w:val="center"/>
            <w:hideMark/>
          </w:tcPr>
          <w:p w14:paraId="42D5E627" w14:textId="77777777" w:rsidR="00BA4876" w:rsidRPr="00A37BCE" w:rsidRDefault="00BA4876" w:rsidP="00BA4876">
            <w:pPr>
              <w:spacing w:after="0" w:line="276" w:lineRule="auto"/>
              <w:jc w:val="right"/>
              <w:rPr>
                <w:rFonts w:eastAsia="Times New Roman" w:cstheme="minorHAnsi"/>
                <w:color w:val="002060"/>
                <w:sz w:val="18"/>
                <w:lang w:val="sr-Cyrl-RS"/>
              </w:rPr>
            </w:pPr>
            <w:r w:rsidRPr="00A37BCE">
              <w:rPr>
                <w:rFonts w:eastAsia="Times New Roman" w:cstheme="minorHAnsi"/>
                <w:color w:val="002060"/>
                <w:sz w:val="18"/>
                <w:lang w:val="sr-Cyrl-RS"/>
              </w:rPr>
              <w:t>113,7</w:t>
            </w:r>
          </w:p>
        </w:tc>
        <w:tc>
          <w:tcPr>
            <w:tcW w:w="841" w:type="pct"/>
            <w:shd w:val="clear" w:color="auto" w:fill="auto"/>
            <w:noWrap/>
            <w:vAlign w:val="center"/>
            <w:hideMark/>
          </w:tcPr>
          <w:p w14:paraId="22EB4C26" w14:textId="77777777" w:rsidR="00BA4876" w:rsidRPr="00A37BCE" w:rsidRDefault="00BA4876" w:rsidP="00BA4876">
            <w:pPr>
              <w:spacing w:after="0" w:line="276" w:lineRule="auto"/>
              <w:jc w:val="right"/>
              <w:rPr>
                <w:rFonts w:eastAsia="Times New Roman" w:cstheme="minorHAnsi"/>
                <w:color w:val="002060"/>
                <w:sz w:val="18"/>
                <w:lang w:val="sr-Cyrl-RS"/>
              </w:rPr>
            </w:pPr>
            <w:r w:rsidRPr="00A37BCE">
              <w:rPr>
                <w:rFonts w:eastAsia="Times New Roman" w:cstheme="minorHAnsi"/>
                <w:color w:val="002060"/>
                <w:sz w:val="18"/>
                <w:lang w:val="sr-Cyrl-RS"/>
              </w:rPr>
              <w:t>115,7</w:t>
            </w:r>
          </w:p>
        </w:tc>
        <w:tc>
          <w:tcPr>
            <w:tcW w:w="841" w:type="pct"/>
            <w:shd w:val="clear" w:color="auto" w:fill="auto"/>
            <w:noWrap/>
            <w:vAlign w:val="center"/>
            <w:hideMark/>
          </w:tcPr>
          <w:p w14:paraId="37D50973" w14:textId="77777777" w:rsidR="00BA4876" w:rsidRPr="00A37BCE" w:rsidRDefault="00BA4876" w:rsidP="00BA4876">
            <w:pPr>
              <w:spacing w:after="0" w:line="276" w:lineRule="auto"/>
              <w:jc w:val="right"/>
              <w:rPr>
                <w:rFonts w:eastAsia="Times New Roman" w:cstheme="minorHAnsi"/>
                <w:color w:val="002060"/>
                <w:sz w:val="18"/>
                <w:lang w:val="sr-Cyrl-RS"/>
              </w:rPr>
            </w:pPr>
            <w:r w:rsidRPr="00A37BCE">
              <w:rPr>
                <w:rFonts w:eastAsia="Times New Roman" w:cstheme="minorHAnsi"/>
                <w:color w:val="002060"/>
                <w:sz w:val="18"/>
                <w:lang w:val="sr-Cyrl-RS"/>
              </w:rPr>
              <w:t>52,5</w:t>
            </w:r>
          </w:p>
        </w:tc>
      </w:tr>
      <w:tr w:rsidR="00BA4876" w:rsidRPr="00A37BCE" w14:paraId="6159758B" w14:textId="77777777" w:rsidTr="00642DA6">
        <w:trPr>
          <w:trHeight w:val="20"/>
        </w:trPr>
        <w:tc>
          <w:tcPr>
            <w:tcW w:w="2476" w:type="pct"/>
            <w:shd w:val="clear" w:color="auto" w:fill="auto"/>
            <w:noWrap/>
            <w:vAlign w:val="center"/>
            <w:hideMark/>
          </w:tcPr>
          <w:p w14:paraId="3EB7CC7D" w14:textId="77777777" w:rsidR="00BA4876" w:rsidRPr="00A37BCE" w:rsidRDefault="00BA4876" w:rsidP="00BA4876">
            <w:pPr>
              <w:spacing w:after="0" w:line="276" w:lineRule="auto"/>
              <w:jc w:val="both"/>
              <w:rPr>
                <w:rFonts w:eastAsia="Times New Roman" w:cstheme="minorHAnsi"/>
                <w:color w:val="002060"/>
                <w:sz w:val="18"/>
                <w:lang w:val="sr-Cyrl-RS"/>
              </w:rPr>
            </w:pPr>
            <w:r w:rsidRPr="00A37BCE">
              <w:rPr>
                <w:rFonts w:eastAsia="Times New Roman" w:cstheme="minorHAnsi"/>
                <w:color w:val="002060"/>
                <w:sz w:val="18"/>
                <w:lang w:val="sr-Cyrl-RS"/>
              </w:rPr>
              <w:t>Оперативни новчани ток (нето)</w:t>
            </w:r>
          </w:p>
        </w:tc>
        <w:tc>
          <w:tcPr>
            <w:tcW w:w="841" w:type="pct"/>
            <w:shd w:val="clear" w:color="auto" w:fill="auto"/>
            <w:noWrap/>
            <w:vAlign w:val="center"/>
            <w:hideMark/>
          </w:tcPr>
          <w:p w14:paraId="2C2CA81D" w14:textId="77777777" w:rsidR="00BA4876" w:rsidRPr="00A37BCE" w:rsidRDefault="00BA4876" w:rsidP="00BA4876">
            <w:pPr>
              <w:spacing w:after="0" w:line="276" w:lineRule="auto"/>
              <w:jc w:val="right"/>
              <w:rPr>
                <w:rFonts w:eastAsia="Times New Roman" w:cstheme="minorHAnsi"/>
                <w:color w:val="002060"/>
                <w:sz w:val="18"/>
                <w:lang w:val="sr-Cyrl-RS"/>
              </w:rPr>
            </w:pPr>
            <w:r w:rsidRPr="00A37BCE">
              <w:rPr>
                <w:rFonts w:eastAsia="Times New Roman" w:cstheme="minorHAnsi"/>
                <w:color w:val="002060"/>
                <w:sz w:val="18"/>
                <w:lang w:val="sr-Cyrl-RS"/>
              </w:rPr>
              <w:t>53,8</w:t>
            </w:r>
          </w:p>
        </w:tc>
        <w:tc>
          <w:tcPr>
            <w:tcW w:w="841" w:type="pct"/>
            <w:shd w:val="clear" w:color="auto" w:fill="auto"/>
            <w:noWrap/>
            <w:vAlign w:val="center"/>
            <w:hideMark/>
          </w:tcPr>
          <w:p w14:paraId="483A1CB4" w14:textId="77777777" w:rsidR="00BA4876" w:rsidRPr="00A37BCE" w:rsidRDefault="00BA4876" w:rsidP="00BA4876">
            <w:pPr>
              <w:spacing w:after="0" w:line="276" w:lineRule="auto"/>
              <w:jc w:val="right"/>
              <w:rPr>
                <w:rFonts w:eastAsia="Times New Roman" w:cstheme="minorHAnsi"/>
                <w:color w:val="002060"/>
                <w:sz w:val="18"/>
                <w:lang w:val="sr-Cyrl-RS"/>
              </w:rPr>
            </w:pPr>
            <w:r w:rsidRPr="00A37BCE">
              <w:rPr>
                <w:rFonts w:eastAsia="Times New Roman" w:cstheme="minorHAnsi"/>
                <w:color w:val="002060"/>
                <w:sz w:val="18"/>
                <w:lang w:val="sr-Cyrl-RS"/>
              </w:rPr>
              <w:t>38,3</w:t>
            </w:r>
          </w:p>
        </w:tc>
        <w:tc>
          <w:tcPr>
            <w:tcW w:w="841" w:type="pct"/>
            <w:shd w:val="clear" w:color="auto" w:fill="auto"/>
            <w:noWrap/>
            <w:vAlign w:val="center"/>
            <w:hideMark/>
          </w:tcPr>
          <w:p w14:paraId="786BF9C2" w14:textId="77777777" w:rsidR="00BA4876" w:rsidRPr="00A37BCE" w:rsidRDefault="00BA4876" w:rsidP="00BA4876">
            <w:pPr>
              <w:spacing w:after="0" w:line="276" w:lineRule="auto"/>
              <w:jc w:val="right"/>
              <w:rPr>
                <w:rFonts w:eastAsia="Times New Roman" w:cstheme="minorHAnsi"/>
                <w:color w:val="002060"/>
                <w:sz w:val="18"/>
                <w:lang w:val="sr-Cyrl-RS"/>
              </w:rPr>
            </w:pPr>
            <w:r w:rsidRPr="00A37BCE">
              <w:rPr>
                <w:rFonts w:eastAsia="Times New Roman" w:cstheme="minorHAnsi"/>
                <w:color w:val="002060"/>
                <w:sz w:val="18"/>
                <w:lang w:val="sr-Cyrl-RS"/>
              </w:rPr>
              <w:t>20,6</w:t>
            </w:r>
          </w:p>
        </w:tc>
      </w:tr>
      <w:tr w:rsidR="00BA4876" w:rsidRPr="00A37BCE" w14:paraId="391BF140" w14:textId="77777777" w:rsidTr="00642DA6">
        <w:trPr>
          <w:trHeight w:val="20"/>
        </w:trPr>
        <w:tc>
          <w:tcPr>
            <w:tcW w:w="2476" w:type="pct"/>
            <w:tcBorders>
              <w:bottom w:val="single" w:sz="4" w:space="0" w:color="002060"/>
            </w:tcBorders>
            <w:shd w:val="clear" w:color="auto" w:fill="auto"/>
            <w:noWrap/>
            <w:vAlign w:val="center"/>
            <w:hideMark/>
          </w:tcPr>
          <w:p w14:paraId="3FFF4F41" w14:textId="77777777" w:rsidR="00BA4876" w:rsidRPr="00A37BCE" w:rsidRDefault="00BA4876" w:rsidP="00BA4876">
            <w:pPr>
              <w:spacing w:after="0" w:line="276" w:lineRule="auto"/>
              <w:jc w:val="both"/>
              <w:rPr>
                <w:rFonts w:eastAsia="Times New Roman" w:cstheme="minorHAnsi"/>
                <w:color w:val="002060"/>
                <w:sz w:val="18"/>
                <w:lang w:val="sr-Cyrl-RS"/>
              </w:rPr>
            </w:pPr>
            <w:r w:rsidRPr="00A37BCE">
              <w:rPr>
                <w:rFonts w:eastAsia="Times New Roman" w:cstheme="minorHAnsi"/>
                <w:color w:val="002060"/>
                <w:sz w:val="18"/>
                <w:lang w:val="sr-Cyrl-RS"/>
              </w:rPr>
              <w:t>Број ЈП која су остварила добит</w:t>
            </w:r>
          </w:p>
        </w:tc>
        <w:tc>
          <w:tcPr>
            <w:tcW w:w="841" w:type="pct"/>
            <w:tcBorders>
              <w:bottom w:val="single" w:sz="4" w:space="0" w:color="002060"/>
            </w:tcBorders>
            <w:shd w:val="clear" w:color="auto" w:fill="auto"/>
            <w:noWrap/>
            <w:vAlign w:val="center"/>
            <w:hideMark/>
          </w:tcPr>
          <w:p w14:paraId="409050D2" w14:textId="77777777" w:rsidR="00BA4876" w:rsidRPr="00A37BCE" w:rsidRDefault="00BA4876" w:rsidP="00BA4876">
            <w:pPr>
              <w:spacing w:after="0" w:line="276" w:lineRule="auto"/>
              <w:jc w:val="right"/>
              <w:rPr>
                <w:rFonts w:eastAsia="Times New Roman" w:cstheme="minorHAnsi"/>
                <w:color w:val="002060"/>
                <w:sz w:val="18"/>
                <w:lang w:val="sr-Cyrl-RS"/>
              </w:rPr>
            </w:pPr>
            <w:r w:rsidRPr="00A37BCE">
              <w:rPr>
                <w:rFonts w:eastAsia="Times New Roman" w:cstheme="minorHAnsi"/>
                <w:color w:val="002060"/>
                <w:sz w:val="18"/>
                <w:lang w:val="sr-Cyrl-RS"/>
              </w:rPr>
              <w:t>27</w:t>
            </w:r>
          </w:p>
        </w:tc>
        <w:tc>
          <w:tcPr>
            <w:tcW w:w="841" w:type="pct"/>
            <w:tcBorders>
              <w:bottom w:val="single" w:sz="4" w:space="0" w:color="002060"/>
            </w:tcBorders>
            <w:shd w:val="clear" w:color="auto" w:fill="auto"/>
            <w:noWrap/>
            <w:vAlign w:val="center"/>
            <w:hideMark/>
          </w:tcPr>
          <w:p w14:paraId="7B796AD1" w14:textId="77777777" w:rsidR="00BA4876" w:rsidRPr="00A37BCE" w:rsidRDefault="00BA4876" w:rsidP="00BA4876">
            <w:pPr>
              <w:spacing w:after="0" w:line="276" w:lineRule="auto"/>
              <w:jc w:val="right"/>
              <w:rPr>
                <w:rFonts w:eastAsia="Times New Roman" w:cstheme="minorHAnsi"/>
                <w:color w:val="002060"/>
                <w:sz w:val="18"/>
                <w:lang w:val="sr-Cyrl-RS"/>
              </w:rPr>
            </w:pPr>
            <w:r w:rsidRPr="00A37BCE">
              <w:rPr>
                <w:rFonts w:eastAsia="Times New Roman" w:cstheme="minorHAnsi"/>
                <w:color w:val="002060"/>
                <w:sz w:val="18"/>
                <w:lang w:val="sr-Cyrl-RS"/>
              </w:rPr>
              <w:t>28</w:t>
            </w:r>
          </w:p>
        </w:tc>
        <w:tc>
          <w:tcPr>
            <w:tcW w:w="841" w:type="pct"/>
            <w:tcBorders>
              <w:bottom w:val="single" w:sz="4" w:space="0" w:color="002060"/>
            </w:tcBorders>
            <w:shd w:val="clear" w:color="auto" w:fill="auto"/>
            <w:noWrap/>
            <w:vAlign w:val="center"/>
            <w:hideMark/>
          </w:tcPr>
          <w:p w14:paraId="7C03CEA8" w14:textId="77777777" w:rsidR="00BA4876" w:rsidRPr="00A37BCE" w:rsidRDefault="00BA4876" w:rsidP="00BA4876">
            <w:pPr>
              <w:spacing w:after="0" w:line="276" w:lineRule="auto"/>
              <w:jc w:val="right"/>
              <w:rPr>
                <w:rFonts w:eastAsia="Times New Roman" w:cstheme="minorHAnsi"/>
                <w:color w:val="002060"/>
                <w:sz w:val="18"/>
                <w:lang w:val="sr-Cyrl-RS"/>
              </w:rPr>
            </w:pPr>
            <w:r w:rsidRPr="00A37BCE">
              <w:rPr>
                <w:rFonts w:eastAsia="Times New Roman" w:cstheme="minorHAnsi"/>
                <w:color w:val="002060"/>
                <w:sz w:val="18"/>
                <w:lang w:val="sr-Cyrl-RS"/>
              </w:rPr>
              <w:t>25</w:t>
            </w:r>
          </w:p>
        </w:tc>
      </w:tr>
    </w:tbl>
    <w:p w14:paraId="00030596" w14:textId="77777777" w:rsidR="00BA4876" w:rsidRPr="00A37BCE" w:rsidRDefault="00BA4876" w:rsidP="00BA4876">
      <w:pPr>
        <w:spacing w:after="0" w:line="276" w:lineRule="auto"/>
        <w:jc w:val="both"/>
        <w:rPr>
          <w:rFonts w:eastAsia="Times New Roman" w:cstheme="minorHAnsi"/>
          <w:color w:val="44546A" w:themeColor="text2"/>
          <w:sz w:val="16"/>
          <w:szCs w:val="20"/>
          <w:lang w:val="sr-Cyrl-RS"/>
        </w:rPr>
      </w:pPr>
      <w:r w:rsidRPr="00A37BCE">
        <w:rPr>
          <w:rFonts w:eastAsia="Times New Roman" w:cstheme="minorHAnsi"/>
          <w:color w:val="44546A" w:themeColor="text2"/>
          <w:sz w:val="16"/>
          <w:szCs w:val="20"/>
          <w:lang w:val="sr-Cyrl-RS"/>
        </w:rPr>
        <w:t>*Трошкови зарада, накнада зарада и остали лични расходи</w:t>
      </w:r>
    </w:p>
    <w:p w14:paraId="0EF9FD19" w14:textId="77777777" w:rsidR="00BA4876" w:rsidRPr="00A37BCE" w:rsidRDefault="00BA4876" w:rsidP="00BA4876">
      <w:pPr>
        <w:spacing w:after="0" w:line="276" w:lineRule="auto"/>
        <w:jc w:val="both"/>
        <w:rPr>
          <w:rFonts w:eastAsia="Times New Roman" w:cstheme="minorHAnsi"/>
          <w:color w:val="44546A" w:themeColor="text2"/>
          <w:sz w:val="16"/>
          <w:szCs w:val="20"/>
          <w:lang w:val="sr-Cyrl-RS"/>
        </w:rPr>
      </w:pPr>
      <w:r w:rsidRPr="00A37BCE">
        <w:rPr>
          <w:rFonts w:eastAsia="Times New Roman" w:cstheme="minorHAnsi"/>
          <w:color w:val="44546A" w:themeColor="text2"/>
          <w:sz w:val="16"/>
          <w:szCs w:val="20"/>
          <w:lang w:val="sr-Cyrl-RS"/>
        </w:rPr>
        <w:t>Извор: Финансијски извештаји за 2017. годину и квартални извештаји Министарства привреде за 2018. годину</w:t>
      </w:r>
    </w:p>
    <w:p w14:paraId="276F6501" w14:textId="77777777" w:rsidR="00BA4876" w:rsidRPr="00A37BCE" w:rsidRDefault="00BA4876" w:rsidP="00BA4876">
      <w:pPr>
        <w:spacing w:after="120" w:line="276" w:lineRule="auto"/>
        <w:ind w:firstLine="720"/>
        <w:jc w:val="both"/>
        <w:rPr>
          <w:rFonts w:eastAsia="MS PGothic" w:cstheme="minorHAnsi"/>
          <w:color w:val="44546A" w:themeColor="text2"/>
          <w:sz w:val="20"/>
          <w:lang w:val="sr-Cyrl-RS"/>
        </w:rPr>
      </w:pPr>
    </w:p>
    <w:p w14:paraId="77828C26" w14:textId="77777777" w:rsidR="00BA4876" w:rsidRPr="00A37BCE" w:rsidRDefault="00BA4876" w:rsidP="00BA4876">
      <w:pPr>
        <w:spacing w:after="120" w:line="276" w:lineRule="auto"/>
        <w:ind w:firstLine="720"/>
        <w:jc w:val="both"/>
        <w:rPr>
          <w:rFonts w:eastAsia="MS PGothic" w:cstheme="minorHAnsi"/>
          <w:color w:val="44546A" w:themeColor="text2"/>
          <w:sz w:val="20"/>
          <w:lang w:val="sr-Cyrl-RS"/>
        </w:rPr>
        <w:sectPr w:rsidR="00BA4876" w:rsidRPr="00A37BCE" w:rsidSect="00BA4876">
          <w:type w:val="continuous"/>
          <w:pgSz w:w="12240" w:h="15840"/>
          <w:pgMar w:top="1440" w:right="1440" w:bottom="1440" w:left="1440" w:header="720" w:footer="720" w:gutter="0"/>
          <w:cols w:space="720"/>
          <w:docGrid w:linePitch="360"/>
        </w:sectPr>
      </w:pPr>
    </w:p>
    <w:p w14:paraId="66477983" w14:textId="77777777" w:rsidR="00BA4876" w:rsidRPr="00A37BCE" w:rsidRDefault="00BA4876" w:rsidP="00BA4876">
      <w:pPr>
        <w:spacing w:after="120" w:line="276" w:lineRule="auto"/>
        <w:jc w:val="both"/>
        <w:rPr>
          <w:rFonts w:eastAsia="MS PGothic" w:cstheme="minorHAnsi"/>
          <w:color w:val="44546A" w:themeColor="text2"/>
          <w:sz w:val="20"/>
          <w:lang w:val="sr-Cyrl-RS"/>
        </w:rPr>
      </w:pPr>
      <w:r w:rsidRPr="00A37BCE">
        <w:rPr>
          <w:rFonts w:eastAsia="MS PGothic" w:cstheme="minorHAnsi"/>
          <w:color w:val="44546A" w:themeColor="text2"/>
          <w:sz w:val="20"/>
          <w:lang w:val="sr-Cyrl-RS"/>
        </w:rPr>
        <w:lastRenderedPageBreak/>
        <w:t>У првој половини године добит остварило је 25 предузећа у укупном износу од 18,1 млрд динара. Овај резултат је нешто нижи од плана у овом периоду (19,2 млрд динара).</w:t>
      </w:r>
    </w:p>
    <w:p w14:paraId="5F0D87CE" w14:textId="37A83AF0" w:rsidR="00BA4876" w:rsidRPr="00A37BCE" w:rsidRDefault="00BA4876" w:rsidP="00BA4876">
      <w:pPr>
        <w:spacing w:after="120" w:line="276" w:lineRule="auto"/>
        <w:jc w:val="both"/>
        <w:rPr>
          <w:rFonts w:eastAsia="MS PGothic" w:cstheme="minorHAnsi"/>
          <w:color w:val="44546A" w:themeColor="text2"/>
          <w:sz w:val="20"/>
          <w:lang w:val="sr-Cyrl-RS"/>
        </w:rPr>
      </w:pPr>
      <w:r w:rsidRPr="00A37BCE">
        <w:rPr>
          <w:rFonts w:eastAsia="MS PGothic" w:cstheme="minorHAnsi"/>
          <w:color w:val="44546A" w:themeColor="text2"/>
          <w:sz w:val="20"/>
          <w:lang w:val="sr-Cyrl-RS"/>
        </w:rPr>
        <w:t>Највећи утицај на позитиван нето резултат у посматраном периоду има ЈП „Србијагас</w:t>
      </w:r>
      <w:r w:rsidR="00624634" w:rsidRPr="00A37BCE">
        <w:rPr>
          <w:rFonts w:cstheme="minorHAnsi"/>
          <w:bCs/>
          <w:color w:val="44546A" w:themeColor="text2"/>
          <w:sz w:val="20"/>
          <w:szCs w:val="72"/>
          <w:lang w:val="sr-Cyrl-RS"/>
        </w:rPr>
        <w:t>ˮ</w:t>
      </w:r>
      <w:r w:rsidRPr="00A37BCE">
        <w:rPr>
          <w:rFonts w:eastAsia="MS PGothic" w:cstheme="minorHAnsi"/>
          <w:color w:val="44546A" w:themeColor="text2"/>
          <w:sz w:val="20"/>
          <w:lang w:val="sr-Cyrl-RS"/>
        </w:rPr>
        <w:t xml:space="preserve">, које је </w:t>
      </w:r>
      <w:r w:rsidRPr="00A37BCE">
        <w:rPr>
          <w:rFonts w:eastAsia="MS PGothic" w:cstheme="minorHAnsi"/>
          <w:color w:val="44546A" w:themeColor="text2"/>
          <w:sz w:val="20"/>
          <w:lang w:val="sr-Cyrl-RS"/>
        </w:rPr>
        <w:lastRenderedPageBreak/>
        <w:t>остварило нето добит у износу од 6,8 млрд динара. На другом месту је ЕПС Група са оствареном добити од 4,4 млрд динара, док је ЈП „Југоимпорт – СДПР</w:t>
      </w:r>
      <w:r w:rsidR="00624634" w:rsidRPr="00A37BCE">
        <w:rPr>
          <w:rFonts w:cstheme="minorHAnsi"/>
          <w:bCs/>
          <w:color w:val="44546A" w:themeColor="text2"/>
          <w:sz w:val="20"/>
          <w:szCs w:val="72"/>
          <w:lang w:val="sr-Cyrl-RS"/>
        </w:rPr>
        <w:t>ˮ</w:t>
      </w:r>
      <w:r w:rsidRPr="00A37BCE">
        <w:rPr>
          <w:rFonts w:eastAsia="MS PGothic" w:cstheme="minorHAnsi"/>
          <w:color w:val="44546A" w:themeColor="text2"/>
          <w:sz w:val="20"/>
          <w:lang w:val="sr-Cyrl-RS"/>
        </w:rPr>
        <w:t xml:space="preserve"> остварио добит у износу од 2,4 млрд динара.</w:t>
      </w:r>
    </w:p>
    <w:p w14:paraId="251FD549" w14:textId="77777777" w:rsidR="00BA4876" w:rsidRPr="00A37BCE" w:rsidRDefault="00BA4876" w:rsidP="00BA4876">
      <w:pPr>
        <w:spacing w:after="0" w:line="276" w:lineRule="auto"/>
        <w:jc w:val="both"/>
        <w:rPr>
          <w:rFonts w:eastAsia="MS PGothic" w:cstheme="minorHAnsi"/>
          <w:b/>
          <w:color w:val="44546A" w:themeColor="text2"/>
          <w:sz w:val="20"/>
          <w:lang w:val="sr-Cyrl-RS"/>
        </w:rPr>
        <w:sectPr w:rsidR="00BA4876" w:rsidRPr="00A37BCE" w:rsidSect="00BA4876">
          <w:type w:val="continuous"/>
          <w:pgSz w:w="12240" w:h="15840"/>
          <w:pgMar w:top="1440" w:right="1440" w:bottom="1440" w:left="1440" w:header="720" w:footer="720" w:gutter="0"/>
          <w:cols w:num="2" w:space="720"/>
          <w:docGrid w:linePitch="360"/>
        </w:sectPr>
      </w:pPr>
    </w:p>
    <w:p w14:paraId="51461721" w14:textId="77777777" w:rsidR="00BA4876" w:rsidRPr="00A37BCE" w:rsidRDefault="00BA4876" w:rsidP="00BA4876">
      <w:pPr>
        <w:spacing w:after="0" w:line="276" w:lineRule="auto"/>
        <w:jc w:val="both"/>
        <w:rPr>
          <w:rFonts w:eastAsia="MS PGothic" w:cstheme="minorHAnsi"/>
          <w:b/>
          <w:color w:val="44546A" w:themeColor="text2"/>
          <w:sz w:val="20"/>
          <w:lang w:val="sr-Cyrl-RS"/>
        </w:rPr>
      </w:pPr>
    </w:p>
    <w:p w14:paraId="6EA1E76A" w14:textId="77777777" w:rsidR="00630A81" w:rsidRPr="00A37BCE" w:rsidRDefault="00630A81">
      <w:pPr>
        <w:rPr>
          <w:rFonts w:eastAsia="MS PGothic" w:cstheme="minorHAnsi"/>
          <w:b/>
          <w:bCs/>
          <w:color w:val="002060"/>
          <w:sz w:val="20"/>
          <w:lang w:val="sr-Cyrl-RS"/>
        </w:rPr>
      </w:pPr>
      <w:r w:rsidRPr="00A37BCE">
        <w:rPr>
          <w:rFonts w:eastAsia="MS PGothic" w:cstheme="minorHAnsi"/>
          <w:b/>
          <w:bCs/>
          <w:color w:val="002060"/>
          <w:sz w:val="20"/>
          <w:lang w:val="sr-Cyrl-RS"/>
        </w:rPr>
        <w:br w:type="page"/>
      </w:r>
    </w:p>
    <w:p w14:paraId="08F21D04" w14:textId="061487E1" w:rsidR="00BA4876" w:rsidRPr="00A37BCE" w:rsidRDefault="00BA4876" w:rsidP="00BA4876">
      <w:pPr>
        <w:spacing w:after="0" w:line="276" w:lineRule="auto"/>
        <w:contextualSpacing/>
        <w:jc w:val="center"/>
        <w:rPr>
          <w:rFonts w:eastAsia="MS PGothic" w:cstheme="minorHAnsi"/>
          <w:b/>
          <w:bCs/>
          <w:color w:val="002060"/>
          <w:sz w:val="20"/>
          <w:lang w:val="sr-Cyrl-RS"/>
        </w:rPr>
      </w:pPr>
      <w:r w:rsidRPr="00A37BCE">
        <w:rPr>
          <w:rFonts w:eastAsia="MS PGothic" w:cstheme="minorHAnsi"/>
          <w:b/>
          <w:bCs/>
          <w:color w:val="002060"/>
          <w:sz w:val="20"/>
          <w:lang w:val="sr-Cyrl-RS"/>
        </w:rPr>
        <w:lastRenderedPageBreak/>
        <w:t>Табела 1</w:t>
      </w:r>
      <w:r w:rsidR="005B01D9" w:rsidRPr="00A37BCE">
        <w:rPr>
          <w:rFonts w:eastAsia="MS PGothic" w:cstheme="minorHAnsi"/>
          <w:b/>
          <w:bCs/>
          <w:color w:val="002060"/>
          <w:sz w:val="20"/>
          <w:lang w:val="sr-Cyrl-RS"/>
        </w:rPr>
        <w:t>7.</w:t>
      </w:r>
      <w:r w:rsidRPr="00A37BCE">
        <w:rPr>
          <w:rFonts w:eastAsia="MS PGothic" w:cstheme="minorHAnsi"/>
          <w:b/>
          <w:bCs/>
          <w:color w:val="002060"/>
          <w:sz w:val="20"/>
          <w:lang w:val="sr-Cyrl-RS"/>
        </w:rPr>
        <w:t xml:space="preserve"> Јавна предузећа која су остварила нето добит у периоду 1.1–30.6.2018. године, </w:t>
      </w:r>
      <w:r w:rsidR="00AE36BD">
        <w:rPr>
          <w:rFonts w:eastAsia="MS PGothic" w:cstheme="minorHAnsi"/>
          <w:b/>
          <w:bCs/>
          <w:color w:val="002060"/>
          <w:sz w:val="20"/>
          <w:lang w:val="sr-Cyrl-RS"/>
        </w:rPr>
        <w:br w:type="textWrapping" w:clear="all"/>
      </w:r>
      <w:r w:rsidRPr="00A37BCE">
        <w:rPr>
          <w:rFonts w:eastAsia="MS PGothic" w:cstheme="minorHAnsi"/>
          <w:b/>
          <w:bCs/>
          <w:color w:val="002060"/>
          <w:sz w:val="20"/>
          <w:lang w:val="sr-Cyrl-RS"/>
        </w:rPr>
        <w:t>у хиљ. динара</w:t>
      </w:r>
    </w:p>
    <w:tbl>
      <w:tblPr>
        <w:tblW w:w="5000" w:type="pct"/>
        <w:tblLook w:val="04A0" w:firstRow="1" w:lastRow="0" w:firstColumn="1" w:lastColumn="0" w:noHBand="0" w:noVBand="1"/>
      </w:tblPr>
      <w:tblGrid>
        <w:gridCol w:w="4636"/>
        <w:gridCol w:w="1575"/>
        <w:gridCol w:w="1575"/>
        <w:gridCol w:w="1574"/>
      </w:tblGrid>
      <w:tr w:rsidR="00BA4876" w:rsidRPr="00A37BCE" w14:paraId="25D15A87" w14:textId="77777777" w:rsidTr="000D0A45">
        <w:trPr>
          <w:trHeight w:hRule="exact" w:val="227"/>
          <w:tblHeader/>
        </w:trPr>
        <w:tc>
          <w:tcPr>
            <w:tcW w:w="2476" w:type="pct"/>
            <w:tcBorders>
              <w:top w:val="single" w:sz="4" w:space="0" w:color="002060"/>
              <w:left w:val="nil"/>
              <w:bottom w:val="single" w:sz="4" w:space="0" w:color="002060"/>
              <w:right w:val="nil"/>
            </w:tcBorders>
            <w:shd w:val="clear" w:color="auto" w:fill="auto"/>
            <w:noWrap/>
            <w:vAlign w:val="center"/>
            <w:hideMark/>
          </w:tcPr>
          <w:p w14:paraId="4B4FD5A1" w14:textId="77777777" w:rsidR="00BA4876" w:rsidRPr="00A37BCE" w:rsidRDefault="00BA4876" w:rsidP="00BA4876">
            <w:pPr>
              <w:spacing w:after="0" w:line="276" w:lineRule="auto"/>
              <w:jc w:val="both"/>
              <w:rPr>
                <w:rFonts w:eastAsia="Times New Roman" w:cstheme="minorHAnsi"/>
                <w:bCs/>
                <w:color w:val="002060"/>
                <w:sz w:val="18"/>
                <w:szCs w:val="18"/>
                <w:lang w:val="sr-Cyrl-RS"/>
              </w:rPr>
            </w:pPr>
            <w:r w:rsidRPr="00A37BCE">
              <w:rPr>
                <w:rFonts w:eastAsia="Times New Roman" w:cstheme="minorHAnsi"/>
                <w:bCs/>
                <w:color w:val="002060"/>
                <w:sz w:val="18"/>
                <w:szCs w:val="18"/>
                <w:lang w:val="sr-Cyrl-RS"/>
              </w:rPr>
              <w:t>Предузеће</w:t>
            </w:r>
          </w:p>
        </w:tc>
        <w:tc>
          <w:tcPr>
            <w:tcW w:w="841" w:type="pct"/>
            <w:tcBorders>
              <w:top w:val="single" w:sz="4" w:space="0" w:color="002060"/>
              <w:left w:val="nil"/>
              <w:bottom w:val="single" w:sz="4" w:space="0" w:color="002060"/>
              <w:right w:val="nil"/>
            </w:tcBorders>
            <w:shd w:val="clear" w:color="auto" w:fill="auto"/>
            <w:vAlign w:val="center"/>
            <w:hideMark/>
          </w:tcPr>
          <w:p w14:paraId="50C35DA6" w14:textId="77777777" w:rsidR="00BA4876" w:rsidRPr="00A37BCE" w:rsidRDefault="00BA4876" w:rsidP="00BA4876">
            <w:pPr>
              <w:spacing w:after="0" w:line="276" w:lineRule="auto"/>
              <w:jc w:val="center"/>
              <w:rPr>
                <w:rFonts w:eastAsia="Times New Roman" w:cstheme="minorHAnsi"/>
                <w:bCs/>
                <w:color w:val="002060"/>
                <w:sz w:val="18"/>
                <w:szCs w:val="18"/>
                <w:lang w:val="sr-Cyrl-RS"/>
              </w:rPr>
            </w:pPr>
            <w:r w:rsidRPr="00A37BCE">
              <w:rPr>
                <w:rFonts w:eastAsia="Times New Roman" w:cstheme="minorHAnsi"/>
                <w:bCs/>
                <w:color w:val="002060"/>
                <w:sz w:val="18"/>
                <w:szCs w:val="18"/>
                <w:lang w:val="sr-Cyrl-RS"/>
              </w:rPr>
              <w:t>Реализација 2017. година</w:t>
            </w:r>
          </w:p>
        </w:tc>
        <w:tc>
          <w:tcPr>
            <w:tcW w:w="841" w:type="pct"/>
            <w:tcBorders>
              <w:top w:val="single" w:sz="4" w:space="0" w:color="002060"/>
              <w:left w:val="nil"/>
              <w:bottom w:val="single" w:sz="4" w:space="0" w:color="002060"/>
              <w:right w:val="nil"/>
            </w:tcBorders>
            <w:shd w:val="clear" w:color="auto" w:fill="auto"/>
            <w:vAlign w:val="center"/>
            <w:hideMark/>
          </w:tcPr>
          <w:p w14:paraId="71EC932D" w14:textId="77777777" w:rsidR="00BA4876" w:rsidRPr="00A37BCE" w:rsidRDefault="00BA4876" w:rsidP="00BA4876">
            <w:pPr>
              <w:spacing w:after="0" w:line="276" w:lineRule="auto"/>
              <w:jc w:val="center"/>
              <w:rPr>
                <w:rFonts w:eastAsia="Times New Roman" w:cstheme="minorHAnsi"/>
                <w:bCs/>
                <w:color w:val="002060"/>
                <w:sz w:val="18"/>
                <w:szCs w:val="18"/>
                <w:lang w:val="sr-Cyrl-RS"/>
              </w:rPr>
            </w:pPr>
            <w:r w:rsidRPr="00A37BCE">
              <w:rPr>
                <w:rFonts w:eastAsia="Times New Roman" w:cstheme="minorHAnsi"/>
                <w:bCs/>
                <w:color w:val="002060"/>
                <w:sz w:val="18"/>
                <w:szCs w:val="18"/>
                <w:lang w:val="sr-Cyrl-RS"/>
              </w:rPr>
              <w:t>План                       01.01.-30.06.2018.</w:t>
            </w:r>
          </w:p>
        </w:tc>
        <w:tc>
          <w:tcPr>
            <w:tcW w:w="841" w:type="pct"/>
            <w:tcBorders>
              <w:top w:val="single" w:sz="4" w:space="0" w:color="002060"/>
              <w:left w:val="nil"/>
              <w:bottom w:val="single" w:sz="4" w:space="0" w:color="002060"/>
              <w:right w:val="nil"/>
            </w:tcBorders>
            <w:shd w:val="clear" w:color="auto" w:fill="auto"/>
            <w:vAlign w:val="center"/>
            <w:hideMark/>
          </w:tcPr>
          <w:p w14:paraId="1BD71871" w14:textId="77777777" w:rsidR="00BA4876" w:rsidRPr="00A37BCE" w:rsidRDefault="00BA4876" w:rsidP="00BA4876">
            <w:pPr>
              <w:spacing w:after="0" w:line="276" w:lineRule="auto"/>
              <w:jc w:val="center"/>
              <w:rPr>
                <w:rFonts w:eastAsia="Times New Roman" w:cstheme="minorHAnsi"/>
                <w:bCs/>
                <w:color w:val="002060"/>
                <w:sz w:val="18"/>
                <w:szCs w:val="18"/>
                <w:lang w:val="sr-Cyrl-RS"/>
              </w:rPr>
            </w:pPr>
            <w:r w:rsidRPr="00A37BCE">
              <w:rPr>
                <w:rFonts w:eastAsia="Times New Roman" w:cstheme="minorHAnsi"/>
                <w:bCs/>
                <w:color w:val="002060"/>
                <w:sz w:val="18"/>
                <w:szCs w:val="18"/>
                <w:lang w:val="sr-Cyrl-RS"/>
              </w:rPr>
              <w:t>Реализација  01.01.-30.06.2018.</w:t>
            </w:r>
          </w:p>
        </w:tc>
      </w:tr>
      <w:tr w:rsidR="00BA4876" w:rsidRPr="00A37BCE" w14:paraId="5BB051E0" w14:textId="77777777" w:rsidTr="000D0A45">
        <w:trPr>
          <w:trHeight w:hRule="exact" w:val="227"/>
        </w:trPr>
        <w:tc>
          <w:tcPr>
            <w:tcW w:w="2476" w:type="pct"/>
            <w:tcBorders>
              <w:top w:val="single" w:sz="4" w:space="0" w:color="002060"/>
              <w:left w:val="nil"/>
              <w:bottom w:val="nil"/>
              <w:right w:val="nil"/>
            </w:tcBorders>
            <w:shd w:val="clear" w:color="auto" w:fill="auto"/>
            <w:noWrap/>
            <w:vAlign w:val="bottom"/>
            <w:hideMark/>
          </w:tcPr>
          <w:p w14:paraId="6B8ABEB6" w14:textId="77777777"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ЈП Србијагас</w:t>
            </w:r>
          </w:p>
        </w:tc>
        <w:tc>
          <w:tcPr>
            <w:tcW w:w="841" w:type="pct"/>
            <w:tcBorders>
              <w:top w:val="single" w:sz="4" w:space="0" w:color="002060"/>
              <w:left w:val="nil"/>
              <w:bottom w:val="nil"/>
              <w:right w:val="nil"/>
            </w:tcBorders>
            <w:shd w:val="clear" w:color="auto" w:fill="auto"/>
            <w:noWrap/>
            <w:vAlign w:val="bottom"/>
            <w:hideMark/>
          </w:tcPr>
          <w:p w14:paraId="44C34BDF"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16.723.376</w:t>
            </w:r>
          </w:p>
        </w:tc>
        <w:tc>
          <w:tcPr>
            <w:tcW w:w="841" w:type="pct"/>
            <w:tcBorders>
              <w:top w:val="single" w:sz="4" w:space="0" w:color="002060"/>
              <w:left w:val="nil"/>
              <w:bottom w:val="nil"/>
              <w:right w:val="nil"/>
            </w:tcBorders>
            <w:shd w:val="clear" w:color="auto" w:fill="auto"/>
            <w:noWrap/>
            <w:vAlign w:val="bottom"/>
            <w:hideMark/>
          </w:tcPr>
          <w:p w14:paraId="13427851"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6.483.947</w:t>
            </w:r>
          </w:p>
        </w:tc>
        <w:tc>
          <w:tcPr>
            <w:tcW w:w="841" w:type="pct"/>
            <w:tcBorders>
              <w:top w:val="single" w:sz="4" w:space="0" w:color="002060"/>
              <w:left w:val="nil"/>
              <w:bottom w:val="nil"/>
              <w:right w:val="nil"/>
            </w:tcBorders>
            <w:shd w:val="clear" w:color="auto" w:fill="auto"/>
            <w:noWrap/>
            <w:vAlign w:val="bottom"/>
            <w:hideMark/>
          </w:tcPr>
          <w:p w14:paraId="780E67C8"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6.765.385</w:t>
            </w:r>
          </w:p>
        </w:tc>
      </w:tr>
      <w:tr w:rsidR="00BA4876" w:rsidRPr="00A37BCE" w14:paraId="2B4AF55F" w14:textId="77777777" w:rsidTr="000D0A45">
        <w:trPr>
          <w:trHeight w:hRule="exact" w:val="227"/>
        </w:trPr>
        <w:tc>
          <w:tcPr>
            <w:tcW w:w="2476" w:type="pct"/>
            <w:tcBorders>
              <w:top w:val="nil"/>
              <w:left w:val="nil"/>
              <w:bottom w:val="nil"/>
              <w:right w:val="nil"/>
            </w:tcBorders>
            <w:shd w:val="clear" w:color="auto" w:fill="auto"/>
            <w:noWrap/>
            <w:vAlign w:val="bottom"/>
            <w:hideMark/>
          </w:tcPr>
          <w:p w14:paraId="1641DFB6" w14:textId="77777777"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ЈП Електропривреда Србије (ЕПС Група)</w:t>
            </w:r>
          </w:p>
        </w:tc>
        <w:tc>
          <w:tcPr>
            <w:tcW w:w="841" w:type="pct"/>
            <w:tcBorders>
              <w:top w:val="nil"/>
              <w:left w:val="nil"/>
              <w:bottom w:val="nil"/>
              <w:right w:val="nil"/>
            </w:tcBorders>
            <w:shd w:val="clear" w:color="auto" w:fill="auto"/>
            <w:noWrap/>
            <w:vAlign w:val="bottom"/>
            <w:hideMark/>
          </w:tcPr>
          <w:p w14:paraId="782FFAB7"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6.387.625</w:t>
            </w:r>
          </w:p>
        </w:tc>
        <w:tc>
          <w:tcPr>
            <w:tcW w:w="841" w:type="pct"/>
            <w:tcBorders>
              <w:top w:val="nil"/>
              <w:left w:val="nil"/>
              <w:bottom w:val="nil"/>
              <w:right w:val="nil"/>
            </w:tcBorders>
            <w:shd w:val="clear" w:color="auto" w:fill="auto"/>
            <w:noWrap/>
            <w:vAlign w:val="bottom"/>
            <w:hideMark/>
          </w:tcPr>
          <w:p w14:paraId="63B2481F"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5.458.106</w:t>
            </w:r>
          </w:p>
        </w:tc>
        <w:tc>
          <w:tcPr>
            <w:tcW w:w="841" w:type="pct"/>
            <w:tcBorders>
              <w:top w:val="nil"/>
              <w:left w:val="nil"/>
              <w:bottom w:val="nil"/>
              <w:right w:val="nil"/>
            </w:tcBorders>
            <w:shd w:val="clear" w:color="auto" w:fill="auto"/>
            <w:noWrap/>
            <w:vAlign w:val="bottom"/>
            <w:hideMark/>
          </w:tcPr>
          <w:p w14:paraId="4985C107"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4.394.060</w:t>
            </w:r>
          </w:p>
        </w:tc>
      </w:tr>
      <w:tr w:rsidR="00BA4876" w:rsidRPr="00A37BCE" w14:paraId="30C00302" w14:textId="77777777" w:rsidTr="000D0A45">
        <w:trPr>
          <w:trHeight w:hRule="exact" w:val="227"/>
        </w:trPr>
        <w:tc>
          <w:tcPr>
            <w:tcW w:w="2476" w:type="pct"/>
            <w:tcBorders>
              <w:top w:val="nil"/>
              <w:left w:val="nil"/>
              <w:bottom w:val="nil"/>
              <w:right w:val="nil"/>
            </w:tcBorders>
            <w:shd w:val="clear" w:color="auto" w:fill="auto"/>
            <w:noWrap/>
            <w:vAlign w:val="bottom"/>
            <w:hideMark/>
          </w:tcPr>
          <w:p w14:paraId="75B41074" w14:textId="77777777"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ЈП Југоимпорт СДПР</w:t>
            </w:r>
          </w:p>
        </w:tc>
        <w:tc>
          <w:tcPr>
            <w:tcW w:w="841" w:type="pct"/>
            <w:tcBorders>
              <w:top w:val="nil"/>
              <w:left w:val="nil"/>
              <w:bottom w:val="nil"/>
              <w:right w:val="nil"/>
            </w:tcBorders>
            <w:shd w:val="clear" w:color="auto" w:fill="auto"/>
            <w:noWrap/>
            <w:vAlign w:val="bottom"/>
            <w:hideMark/>
          </w:tcPr>
          <w:p w14:paraId="17E83545"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3.133.648</w:t>
            </w:r>
          </w:p>
        </w:tc>
        <w:tc>
          <w:tcPr>
            <w:tcW w:w="841" w:type="pct"/>
            <w:tcBorders>
              <w:top w:val="nil"/>
              <w:left w:val="nil"/>
              <w:bottom w:val="nil"/>
              <w:right w:val="nil"/>
            </w:tcBorders>
            <w:shd w:val="clear" w:color="auto" w:fill="auto"/>
            <w:noWrap/>
            <w:vAlign w:val="bottom"/>
            <w:hideMark/>
          </w:tcPr>
          <w:p w14:paraId="425046BF"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334.607</w:t>
            </w:r>
          </w:p>
        </w:tc>
        <w:tc>
          <w:tcPr>
            <w:tcW w:w="841" w:type="pct"/>
            <w:tcBorders>
              <w:top w:val="nil"/>
              <w:left w:val="nil"/>
              <w:bottom w:val="nil"/>
              <w:right w:val="nil"/>
            </w:tcBorders>
            <w:shd w:val="clear" w:color="auto" w:fill="auto"/>
            <w:noWrap/>
            <w:vAlign w:val="bottom"/>
            <w:hideMark/>
          </w:tcPr>
          <w:p w14:paraId="1CB6ED73"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2.358.033</w:t>
            </w:r>
          </w:p>
        </w:tc>
      </w:tr>
      <w:tr w:rsidR="00BA4876" w:rsidRPr="00A37BCE" w14:paraId="566B09BB" w14:textId="77777777" w:rsidTr="000D0A45">
        <w:trPr>
          <w:trHeight w:hRule="exact" w:val="227"/>
        </w:trPr>
        <w:tc>
          <w:tcPr>
            <w:tcW w:w="2476" w:type="pct"/>
            <w:tcBorders>
              <w:top w:val="nil"/>
              <w:left w:val="nil"/>
              <w:bottom w:val="nil"/>
              <w:right w:val="nil"/>
            </w:tcBorders>
            <w:shd w:val="clear" w:color="auto" w:fill="auto"/>
            <w:noWrap/>
            <w:vAlign w:val="bottom"/>
            <w:hideMark/>
          </w:tcPr>
          <w:p w14:paraId="51404056" w14:textId="12053601"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Електромрежа Србије а.</w:t>
            </w:r>
            <w:r w:rsidR="00FB1ACD">
              <w:rPr>
                <w:rFonts w:eastAsia="Times New Roman" w:cstheme="minorHAnsi"/>
                <w:color w:val="002060"/>
                <w:sz w:val="18"/>
                <w:szCs w:val="18"/>
                <w:lang w:val="sr-Cyrl-RS"/>
              </w:rPr>
              <w:t xml:space="preserve"> </w:t>
            </w:r>
            <w:r w:rsidRPr="00A37BCE">
              <w:rPr>
                <w:rFonts w:eastAsia="Times New Roman" w:cstheme="minorHAnsi"/>
                <w:color w:val="002060"/>
                <w:sz w:val="18"/>
                <w:szCs w:val="18"/>
                <w:lang w:val="sr-Cyrl-RS"/>
              </w:rPr>
              <w:t>д.</w:t>
            </w:r>
          </w:p>
        </w:tc>
        <w:tc>
          <w:tcPr>
            <w:tcW w:w="841" w:type="pct"/>
            <w:tcBorders>
              <w:top w:val="nil"/>
              <w:left w:val="nil"/>
              <w:bottom w:val="nil"/>
              <w:right w:val="nil"/>
            </w:tcBorders>
            <w:shd w:val="clear" w:color="auto" w:fill="auto"/>
            <w:noWrap/>
            <w:vAlign w:val="bottom"/>
            <w:hideMark/>
          </w:tcPr>
          <w:p w14:paraId="28F11090"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3.024.346</w:t>
            </w:r>
          </w:p>
        </w:tc>
        <w:tc>
          <w:tcPr>
            <w:tcW w:w="841" w:type="pct"/>
            <w:tcBorders>
              <w:top w:val="nil"/>
              <w:left w:val="nil"/>
              <w:bottom w:val="nil"/>
              <w:right w:val="nil"/>
            </w:tcBorders>
            <w:shd w:val="clear" w:color="auto" w:fill="auto"/>
            <w:noWrap/>
            <w:vAlign w:val="bottom"/>
            <w:hideMark/>
          </w:tcPr>
          <w:p w14:paraId="43153EAD"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425.550</w:t>
            </w:r>
          </w:p>
        </w:tc>
        <w:tc>
          <w:tcPr>
            <w:tcW w:w="841" w:type="pct"/>
            <w:tcBorders>
              <w:top w:val="nil"/>
              <w:left w:val="nil"/>
              <w:bottom w:val="nil"/>
              <w:right w:val="nil"/>
            </w:tcBorders>
            <w:shd w:val="clear" w:color="auto" w:fill="auto"/>
            <w:noWrap/>
            <w:vAlign w:val="bottom"/>
            <w:hideMark/>
          </w:tcPr>
          <w:p w14:paraId="21124EF0"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1.316.780</w:t>
            </w:r>
          </w:p>
        </w:tc>
      </w:tr>
      <w:tr w:rsidR="00BA4876" w:rsidRPr="00A37BCE" w14:paraId="48CA0A11" w14:textId="77777777" w:rsidTr="000D0A45">
        <w:trPr>
          <w:trHeight w:hRule="exact" w:val="227"/>
        </w:trPr>
        <w:tc>
          <w:tcPr>
            <w:tcW w:w="2476" w:type="pct"/>
            <w:tcBorders>
              <w:top w:val="nil"/>
              <w:left w:val="nil"/>
              <w:bottom w:val="nil"/>
              <w:right w:val="nil"/>
            </w:tcBorders>
            <w:shd w:val="clear" w:color="auto" w:fill="auto"/>
            <w:noWrap/>
            <w:vAlign w:val="bottom"/>
            <w:hideMark/>
          </w:tcPr>
          <w:p w14:paraId="63611BC8" w14:textId="77777777"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ЈП Пошта Србије</w:t>
            </w:r>
          </w:p>
        </w:tc>
        <w:tc>
          <w:tcPr>
            <w:tcW w:w="841" w:type="pct"/>
            <w:tcBorders>
              <w:top w:val="nil"/>
              <w:left w:val="nil"/>
              <w:bottom w:val="nil"/>
              <w:right w:val="nil"/>
            </w:tcBorders>
            <w:shd w:val="clear" w:color="auto" w:fill="auto"/>
            <w:noWrap/>
            <w:vAlign w:val="bottom"/>
            <w:hideMark/>
          </w:tcPr>
          <w:p w14:paraId="1F73A11F"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2.233.538</w:t>
            </w:r>
          </w:p>
        </w:tc>
        <w:tc>
          <w:tcPr>
            <w:tcW w:w="841" w:type="pct"/>
            <w:tcBorders>
              <w:top w:val="nil"/>
              <w:left w:val="nil"/>
              <w:bottom w:val="nil"/>
              <w:right w:val="nil"/>
            </w:tcBorders>
            <w:shd w:val="clear" w:color="auto" w:fill="auto"/>
            <w:noWrap/>
            <w:vAlign w:val="bottom"/>
            <w:hideMark/>
          </w:tcPr>
          <w:p w14:paraId="31F8F775"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118.287</w:t>
            </w:r>
          </w:p>
        </w:tc>
        <w:tc>
          <w:tcPr>
            <w:tcW w:w="841" w:type="pct"/>
            <w:tcBorders>
              <w:top w:val="nil"/>
              <w:left w:val="nil"/>
              <w:bottom w:val="nil"/>
              <w:right w:val="nil"/>
            </w:tcBorders>
            <w:shd w:val="clear" w:color="auto" w:fill="auto"/>
            <w:noWrap/>
            <w:vAlign w:val="bottom"/>
            <w:hideMark/>
          </w:tcPr>
          <w:p w14:paraId="373A0B23"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1.158.106</w:t>
            </w:r>
          </w:p>
        </w:tc>
      </w:tr>
      <w:tr w:rsidR="00BA4876" w:rsidRPr="00A37BCE" w14:paraId="525D004E" w14:textId="77777777" w:rsidTr="000D0A45">
        <w:trPr>
          <w:trHeight w:hRule="exact" w:val="227"/>
        </w:trPr>
        <w:tc>
          <w:tcPr>
            <w:tcW w:w="2476" w:type="pct"/>
            <w:tcBorders>
              <w:top w:val="nil"/>
              <w:left w:val="nil"/>
              <w:bottom w:val="nil"/>
              <w:right w:val="nil"/>
            </w:tcBorders>
            <w:shd w:val="clear" w:color="auto" w:fill="auto"/>
            <w:noWrap/>
            <w:vAlign w:val="bottom"/>
            <w:hideMark/>
          </w:tcPr>
          <w:p w14:paraId="09F10B8A" w14:textId="77777777"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ЈП Скијалишта Србије</w:t>
            </w:r>
          </w:p>
        </w:tc>
        <w:tc>
          <w:tcPr>
            <w:tcW w:w="841" w:type="pct"/>
            <w:tcBorders>
              <w:top w:val="nil"/>
              <w:left w:val="nil"/>
              <w:bottom w:val="nil"/>
              <w:right w:val="nil"/>
            </w:tcBorders>
            <w:shd w:val="clear" w:color="auto" w:fill="auto"/>
            <w:noWrap/>
            <w:vAlign w:val="bottom"/>
            <w:hideMark/>
          </w:tcPr>
          <w:p w14:paraId="7F546D0B"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167.840</w:t>
            </w:r>
          </w:p>
        </w:tc>
        <w:tc>
          <w:tcPr>
            <w:tcW w:w="841" w:type="pct"/>
            <w:tcBorders>
              <w:top w:val="nil"/>
              <w:left w:val="nil"/>
              <w:bottom w:val="nil"/>
              <w:right w:val="nil"/>
            </w:tcBorders>
            <w:shd w:val="clear" w:color="auto" w:fill="auto"/>
            <w:noWrap/>
            <w:vAlign w:val="bottom"/>
            <w:hideMark/>
          </w:tcPr>
          <w:p w14:paraId="64E83CE0"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415.228</w:t>
            </w:r>
          </w:p>
        </w:tc>
        <w:tc>
          <w:tcPr>
            <w:tcW w:w="841" w:type="pct"/>
            <w:tcBorders>
              <w:top w:val="nil"/>
              <w:left w:val="nil"/>
              <w:bottom w:val="nil"/>
              <w:right w:val="nil"/>
            </w:tcBorders>
            <w:shd w:val="clear" w:color="auto" w:fill="auto"/>
            <w:noWrap/>
            <w:vAlign w:val="bottom"/>
            <w:hideMark/>
          </w:tcPr>
          <w:p w14:paraId="3C743D35"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571.691</w:t>
            </w:r>
          </w:p>
        </w:tc>
      </w:tr>
      <w:tr w:rsidR="00BA4876" w:rsidRPr="00A37BCE" w14:paraId="7A1B08EA" w14:textId="77777777" w:rsidTr="000D0A45">
        <w:trPr>
          <w:trHeight w:hRule="exact" w:val="227"/>
        </w:trPr>
        <w:tc>
          <w:tcPr>
            <w:tcW w:w="2476" w:type="pct"/>
            <w:tcBorders>
              <w:top w:val="nil"/>
              <w:left w:val="nil"/>
              <w:bottom w:val="nil"/>
              <w:right w:val="nil"/>
            </w:tcBorders>
            <w:shd w:val="clear" w:color="auto" w:fill="auto"/>
            <w:noWrap/>
            <w:vAlign w:val="bottom"/>
            <w:hideMark/>
          </w:tcPr>
          <w:p w14:paraId="54E1994F" w14:textId="77777777"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ЈП Србијашуме</w:t>
            </w:r>
          </w:p>
        </w:tc>
        <w:tc>
          <w:tcPr>
            <w:tcW w:w="841" w:type="pct"/>
            <w:tcBorders>
              <w:top w:val="nil"/>
              <w:left w:val="nil"/>
              <w:bottom w:val="nil"/>
              <w:right w:val="nil"/>
            </w:tcBorders>
            <w:shd w:val="clear" w:color="auto" w:fill="auto"/>
            <w:noWrap/>
            <w:vAlign w:val="bottom"/>
            <w:hideMark/>
          </w:tcPr>
          <w:p w14:paraId="6DC357E5"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444.893</w:t>
            </w:r>
          </w:p>
        </w:tc>
        <w:tc>
          <w:tcPr>
            <w:tcW w:w="841" w:type="pct"/>
            <w:tcBorders>
              <w:top w:val="nil"/>
              <w:left w:val="nil"/>
              <w:bottom w:val="nil"/>
              <w:right w:val="nil"/>
            </w:tcBorders>
            <w:shd w:val="clear" w:color="auto" w:fill="auto"/>
            <w:noWrap/>
            <w:vAlign w:val="bottom"/>
            <w:hideMark/>
          </w:tcPr>
          <w:p w14:paraId="7A0FD11E"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315.984</w:t>
            </w:r>
          </w:p>
        </w:tc>
        <w:tc>
          <w:tcPr>
            <w:tcW w:w="841" w:type="pct"/>
            <w:tcBorders>
              <w:top w:val="nil"/>
              <w:left w:val="nil"/>
              <w:bottom w:val="nil"/>
              <w:right w:val="nil"/>
            </w:tcBorders>
            <w:shd w:val="clear" w:color="auto" w:fill="auto"/>
            <w:noWrap/>
            <w:vAlign w:val="bottom"/>
            <w:hideMark/>
          </w:tcPr>
          <w:p w14:paraId="4BD65F83"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449.091</w:t>
            </w:r>
          </w:p>
        </w:tc>
      </w:tr>
      <w:tr w:rsidR="00BA4876" w:rsidRPr="00A37BCE" w14:paraId="24C4C9FC" w14:textId="77777777" w:rsidTr="000D0A45">
        <w:trPr>
          <w:trHeight w:hRule="exact" w:val="227"/>
        </w:trPr>
        <w:tc>
          <w:tcPr>
            <w:tcW w:w="2476" w:type="pct"/>
            <w:tcBorders>
              <w:top w:val="nil"/>
              <w:left w:val="nil"/>
              <w:bottom w:val="nil"/>
              <w:right w:val="nil"/>
            </w:tcBorders>
            <w:shd w:val="clear" w:color="auto" w:fill="auto"/>
            <w:hideMark/>
          </w:tcPr>
          <w:p w14:paraId="7A320186" w14:textId="23F9F721"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ЈАТ-Техника д.</w:t>
            </w:r>
            <w:r w:rsidR="00FB1ACD">
              <w:rPr>
                <w:rFonts w:eastAsia="Times New Roman" w:cstheme="minorHAnsi"/>
                <w:color w:val="002060"/>
                <w:sz w:val="18"/>
                <w:szCs w:val="18"/>
                <w:lang w:val="sr-Cyrl-RS"/>
              </w:rPr>
              <w:t xml:space="preserve"> </w:t>
            </w:r>
            <w:r w:rsidRPr="00A37BCE">
              <w:rPr>
                <w:rFonts w:eastAsia="Times New Roman" w:cstheme="minorHAnsi"/>
                <w:color w:val="002060"/>
                <w:sz w:val="18"/>
                <w:szCs w:val="18"/>
                <w:lang w:val="sr-Cyrl-RS"/>
              </w:rPr>
              <w:t>о.</w:t>
            </w:r>
            <w:r w:rsidR="00FB1ACD">
              <w:rPr>
                <w:rFonts w:eastAsia="Times New Roman" w:cstheme="minorHAnsi"/>
                <w:color w:val="002060"/>
                <w:sz w:val="18"/>
                <w:szCs w:val="18"/>
                <w:lang w:val="sr-Cyrl-RS"/>
              </w:rPr>
              <w:t xml:space="preserve"> </w:t>
            </w:r>
            <w:r w:rsidRPr="00A37BCE">
              <w:rPr>
                <w:rFonts w:eastAsia="Times New Roman" w:cstheme="minorHAnsi"/>
                <w:color w:val="002060"/>
                <w:sz w:val="18"/>
                <w:szCs w:val="18"/>
                <w:lang w:val="sr-Cyrl-RS"/>
              </w:rPr>
              <w:t>о.</w:t>
            </w:r>
          </w:p>
        </w:tc>
        <w:tc>
          <w:tcPr>
            <w:tcW w:w="841" w:type="pct"/>
            <w:tcBorders>
              <w:top w:val="nil"/>
              <w:left w:val="nil"/>
              <w:bottom w:val="nil"/>
              <w:right w:val="nil"/>
            </w:tcBorders>
            <w:shd w:val="clear" w:color="auto" w:fill="auto"/>
            <w:hideMark/>
          </w:tcPr>
          <w:p w14:paraId="6B717015"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2.140</w:t>
            </w:r>
          </w:p>
        </w:tc>
        <w:tc>
          <w:tcPr>
            <w:tcW w:w="841" w:type="pct"/>
            <w:tcBorders>
              <w:top w:val="nil"/>
              <w:left w:val="nil"/>
              <w:bottom w:val="nil"/>
              <w:right w:val="nil"/>
            </w:tcBorders>
            <w:shd w:val="clear" w:color="auto" w:fill="auto"/>
            <w:noWrap/>
            <w:vAlign w:val="bottom"/>
            <w:hideMark/>
          </w:tcPr>
          <w:p w14:paraId="79E5BFF3"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10.794</w:t>
            </w:r>
          </w:p>
        </w:tc>
        <w:tc>
          <w:tcPr>
            <w:tcW w:w="841" w:type="pct"/>
            <w:tcBorders>
              <w:top w:val="nil"/>
              <w:left w:val="nil"/>
              <w:bottom w:val="nil"/>
              <w:right w:val="nil"/>
            </w:tcBorders>
            <w:shd w:val="clear" w:color="auto" w:fill="auto"/>
            <w:noWrap/>
            <w:vAlign w:val="bottom"/>
            <w:hideMark/>
          </w:tcPr>
          <w:p w14:paraId="7E01C3E3"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252.713</w:t>
            </w:r>
          </w:p>
        </w:tc>
      </w:tr>
      <w:tr w:rsidR="00BA4876" w:rsidRPr="00A37BCE" w14:paraId="7A820FC2" w14:textId="77777777" w:rsidTr="000D0A45">
        <w:trPr>
          <w:trHeight w:hRule="exact" w:val="227"/>
        </w:trPr>
        <w:tc>
          <w:tcPr>
            <w:tcW w:w="2476" w:type="pct"/>
            <w:tcBorders>
              <w:top w:val="nil"/>
              <w:left w:val="nil"/>
              <w:bottom w:val="nil"/>
              <w:right w:val="nil"/>
            </w:tcBorders>
            <w:shd w:val="clear" w:color="auto" w:fill="auto"/>
            <w:noWrap/>
            <w:vAlign w:val="bottom"/>
            <w:hideMark/>
          </w:tcPr>
          <w:p w14:paraId="2C859F64" w14:textId="77777777"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ЈП Путеви Србије</w:t>
            </w:r>
          </w:p>
        </w:tc>
        <w:tc>
          <w:tcPr>
            <w:tcW w:w="841" w:type="pct"/>
            <w:tcBorders>
              <w:top w:val="nil"/>
              <w:left w:val="nil"/>
              <w:bottom w:val="nil"/>
              <w:right w:val="nil"/>
            </w:tcBorders>
            <w:shd w:val="clear" w:color="auto" w:fill="auto"/>
            <w:noWrap/>
            <w:vAlign w:val="bottom"/>
            <w:hideMark/>
          </w:tcPr>
          <w:p w14:paraId="1D4086D0"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-8.052.730</w:t>
            </w:r>
          </w:p>
        </w:tc>
        <w:tc>
          <w:tcPr>
            <w:tcW w:w="841" w:type="pct"/>
            <w:tcBorders>
              <w:top w:val="nil"/>
              <w:left w:val="nil"/>
              <w:bottom w:val="nil"/>
              <w:right w:val="nil"/>
            </w:tcBorders>
            <w:shd w:val="clear" w:color="auto" w:fill="auto"/>
            <w:noWrap/>
            <w:vAlign w:val="bottom"/>
            <w:hideMark/>
          </w:tcPr>
          <w:p w14:paraId="4F8097FA"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5.399.545</w:t>
            </w:r>
          </w:p>
        </w:tc>
        <w:tc>
          <w:tcPr>
            <w:tcW w:w="841" w:type="pct"/>
            <w:tcBorders>
              <w:top w:val="nil"/>
              <w:left w:val="nil"/>
              <w:bottom w:val="nil"/>
              <w:right w:val="nil"/>
            </w:tcBorders>
            <w:shd w:val="clear" w:color="auto" w:fill="auto"/>
            <w:noWrap/>
            <w:vAlign w:val="bottom"/>
            <w:hideMark/>
          </w:tcPr>
          <w:p w14:paraId="1353376D"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241.998</w:t>
            </w:r>
          </w:p>
        </w:tc>
      </w:tr>
      <w:tr w:rsidR="00BA4876" w:rsidRPr="00A37BCE" w14:paraId="7F8B1467" w14:textId="77777777" w:rsidTr="000D0A45">
        <w:trPr>
          <w:trHeight w:hRule="exact" w:val="227"/>
        </w:trPr>
        <w:tc>
          <w:tcPr>
            <w:tcW w:w="2476" w:type="pct"/>
            <w:tcBorders>
              <w:top w:val="nil"/>
              <w:left w:val="nil"/>
              <w:bottom w:val="nil"/>
              <w:right w:val="nil"/>
            </w:tcBorders>
            <w:shd w:val="clear" w:color="auto" w:fill="auto"/>
            <w:noWrap/>
            <w:vAlign w:val="bottom"/>
            <w:hideMark/>
          </w:tcPr>
          <w:p w14:paraId="6AA38A66" w14:textId="230B0240"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ДИПОС д.</w:t>
            </w:r>
            <w:r w:rsidR="00FB1ACD">
              <w:rPr>
                <w:rFonts w:eastAsia="Times New Roman" w:cstheme="minorHAnsi"/>
                <w:color w:val="002060"/>
                <w:sz w:val="18"/>
                <w:szCs w:val="18"/>
                <w:lang w:val="sr-Cyrl-RS"/>
              </w:rPr>
              <w:t xml:space="preserve"> </w:t>
            </w:r>
            <w:r w:rsidRPr="00A37BCE">
              <w:rPr>
                <w:rFonts w:eastAsia="Times New Roman" w:cstheme="minorHAnsi"/>
                <w:color w:val="002060"/>
                <w:sz w:val="18"/>
                <w:szCs w:val="18"/>
                <w:lang w:val="sr-Cyrl-RS"/>
              </w:rPr>
              <w:t>о.</w:t>
            </w:r>
            <w:r w:rsidR="00FB1ACD">
              <w:rPr>
                <w:rFonts w:eastAsia="Times New Roman" w:cstheme="minorHAnsi"/>
                <w:color w:val="002060"/>
                <w:sz w:val="18"/>
                <w:szCs w:val="18"/>
                <w:lang w:val="sr-Cyrl-RS"/>
              </w:rPr>
              <w:t xml:space="preserve"> </w:t>
            </w:r>
            <w:r w:rsidRPr="00A37BCE">
              <w:rPr>
                <w:rFonts w:eastAsia="Times New Roman" w:cstheme="minorHAnsi"/>
                <w:color w:val="002060"/>
                <w:sz w:val="18"/>
                <w:szCs w:val="18"/>
                <w:lang w:val="sr-Cyrl-RS"/>
              </w:rPr>
              <w:t>о.</w:t>
            </w:r>
          </w:p>
        </w:tc>
        <w:tc>
          <w:tcPr>
            <w:tcW w:w="841" w:type="pct"/>
            <w:tcBorders>
              <w:top w:val="nil"/>
              <w:left w:val="nil"/>
              <w:bottom w:val="nil"/>
              <w:right w:val="nil"/>
            </w:tcBorders>
            <w:shd w:val="clear" w:color="auto" w:fill="auto"/>
            <w:noWrap/>
            <w:vAlign w:val="bottom"/>
            <w:hideMark/>
          </w:tcPr>
          <w:p w14:paraId="1F014DE3"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113.577</w:t>
            </w:r>
          </w:p>
        </w:tc>
        <w:tc>
          <w:tcPr>
            <w:tcW w:w="841" w:type="pct"/>
            <w:tcBorders>
              <w:top w:val="nil"/>
              <w:left w:val="nil"/>
              <w:bottom w:val="nil"/>
              <w:right w:val="nil"/>
            </w:tcBorders>
            <w:shd w:val="clear" w:color="auto" w:fill="auto"/>
            <w:noWrap/>
            <w:vAlign w:val="bottom"/>
            <w:hideMark/>
          </w:tcPr>
          <w:p w14:paraId="1015C759"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9.311</w:t>
            </w:r>
          </w:p>
        </w:tc>
        <w:tc>
          <w:tcPr>
            <w:tcW w:w="841" w:type="pct"/>
            <w:tcBorders>
              <w:top w:val="nil"/>
              <w:left w:val="nil"/>
              <w:bottom w:val="nil"/>
              <w:right w:val="nil"/>
            </w:tcBorders>
            <w:shd w:val="clear" w:color="auto" w:fill="auto"/>
            <w:noWrap/>
            <w:vAlign w:val="bottom"/>
            <w:hideMark/>
          </w:tcPr>
          <w:p w14:paraId="2E8D588E"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125.992</w:t>
            </w:r>
          </w:p>
        </w:tc>
      </w:tr>
      <w:tr w:rsidR="00BA4876" w:rsidRPr="00A37BCE" w14:paraId="1D6D5863" w14:textId="77777777" w:rsidTr="000D0A45">
        <w:trPr>
          <w:trHeight w:hRule="exact" w:val="227"/>
        </w:trPr>
        <w:tc>
          <w:tcPr>
            <w:tcW w:w="2476" w:type="pct"/>
            <w:tcBorders>
              <w:top w:val="nil"/>
              <w:left w:val="nil"/>
              <w:bottom w:val="nil"/>
              <w:right w:val="nil"/>
            </w:tcBorders>
            <w:shd w:val="clear" w:color="auto" w:fill="auto"/>
            <w:noWrap/>
            <w:vAlign w:val="bottom"/>
            <w:hideMark/>
          </w:tcPr>
          <w:p w14:paraId="159AA4F0" w14:textId="57228D9C"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Државна лутрија Србије д.</w:t>
            </w:r>
            <w:r w:rsidR="00FB1ACD">
              <w:rPr>
                <w:rFonts w:eastAsia="Times New Roman" w:cstheme="minorHAnsi"/>
                <w:color w:val="002060"/>
                <w:sz w:val="18"/>
                <w:szCs w:val="18"/>
                <w:lang w:val="sr-Cyrl-RS"/>
              </w:rPr>
              <w:t xml:space="preserve"> </w:t>
            </w:r>
            <w:r w:rsidRPr="00A37BCE">
              <w:rPr>
                <w:rFonts w:eastAsia="Times New Roman" w:cstheme="minorHAnsi"/>
                <w:color w:val="002060"/>
                <w:sz w:val="18"/>
                <w:szCs w:val="18"/>
                <w:lang w:val="sr-Cyrl-RS"/>
              </w:rPr>
              <w:t>о.</w:t>
            </w:r>
            <w:r w:rsidR="00FB1ACD">
              <w:rPr>
                <w:rFonts w:eastAsia="Times New Roman" w:cstheme="minorHAnsi"/>
                <w:color w:val="002060"/>
                <w:sz w:val="18"/>
                <w:szCs w:val="18"/>
                <w:lang w:val="sr-Cyrl-RS"/>
              </w:rPr>
              <w:t xml:space="preserve"> </w:t>
            </w:r>
            <w:r w:rsidRPr="00A37BCE">
              <w:rPr>
                <w:rFonts w:eastAsia="Times New Roman" w:cstheme="minorHAnsi"/>
                <w:color w:val="002060"/>
                <w:sz w:val="18"/>
                <w:szCs w:val="18"/>
                <w:lang w:val="sr-Cyrl-RS"/>
              </w:rPr>
              <w:t>о.</w:t>
            </w:r>
          </w:p>
        </w:tc>
        <w:tc>
          <w:tcPr>
            <w:tcW w:w="841" w:type="pct"/>
            <w:tcBorders>
              <w:top w:val="nil"/>
              <w:left w:val="nil"/>
              <w:bottom w:val="nil"/>
              <w:right w:val="nil"/>
            </w:tcBorders>
            <w:shd w:val="clear" w:color="auto" w:fill="auto"/>
            <w:noWrap/>
            <w:vAlign w:val="bottom"/>
            <w:hideMark/>
          </w:tcPr>
          <w:p w14:paraId="68B645DB"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208.865</w:t>
            </w:r>
          </w:p>
        </w:tc>
        <w:tc>
          <w:tcPr>
            <w:tcW w:w="841" w:type="pct"/>
            <w:tcBorders>
              <w:top w:val="nil"/>
              <w:left w:val="nil"/>
              <w:bottom w:val="nil"/>
              <w:right w:val="nil"/>
            </w:tcBorders>
            <w:shd w:val="clear" w:color="auto" w:fill="auto"/>
            <w:noWrap/>
            <w:vAlign w:val="bottom"/>
            <w:hideMark/>
          </w:tcPr>
          <w:p w14:paraId="33A2C504"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6.652</w:t>
            </w:r>
          </w:p>
        </w:tc>
        <w:tc>
          <w:tcPr>
            <w:tcW w:w="841" w:type="pct"/>
            <w:tcBorders>
              <w:top w:val="nil"/>
              <w:left w:val="nil"/>
              <w:bottom w:val="nil"/>
              <w:right w:val="nil"/>
            </w:tcBorders>
            <w:shd w:val="clear" w:color="auto" w:fill="auto"/>
            <w:noWrap/>
            <w:vAlign w:val="bottom"/>
            <w:hideMark/>
          </w:tcPr>
          <w:p w14:paraId="066CF7DC"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114.629</w:t>
            </w:r>
          </w:p>
        </w:tc>
      </w:tr>
      <w:tr w:rsidR="00BA4876" w:rsidRPr="00A37BCE" w14:paraId="0F77C9EF" w14:textId="77777777" w:rsidTr="000D0A45">
        <w:trPr>
          <w:trHeight w:hRule="exact" w:val="227"/>
        </w:trPr>
        <w:tc>
          <w:tcPr>
            <w:tcW w:w="2476" w:type="pct"/>
            <w:tcBorders>
              <w:top w:val="nil"/>
              <w:left w:val="nil"/>
              <w:bottom w:val="nil"/>
              <w:right w:val="nil"/>
            </w:tcBorders>
            <w:shd w:val="clear" w:color="auto" w:fill="auto"/>
            <w:hideMark/>
          </w:tcPr>
          <w:p w14:paraId="06E4A0EA" w14:textId="77777777"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ЈП Транснафта</w:t>
            </w:r>
          </w:p>
        </w:tc>
        <w:tc>
          <w:tcPr>
            <w:tcW w:w="841" w:type="pct"/>
            <w:tcBorders>
              <w:top w:val="nil"/>
              <w:left w:val="nil"/>
              <w:bottom w:val="nil"/>
              <w:right w:val="nil"/>
            </w:tcBorders>
            <w:shd w:val="clear" w:color="auto" w:fill="auto"/>
            <w:hideMark/>
          </w:tcPr>
          <w:p w14:paraId="0BFDE769"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236.745</w:t>
            </w:r>
          </w:p>
        </w:tc>
        <w:tc>
          <w:tcPr>
            <w:tcW w:w="841" w:type="pct"/>
            <w:tcBorders>
              <w:top w:val="nil"/>
              <w:left w:val="nil"/>
              <w:bottom w:val="nil"/>
              <w:right w:val="nil"/>
            </w:tcBorders>
            <w:shd w:val="clear" w:color="auto" w:fill="auto"/>
            <w:noWrap/>
            <w:vAlign w:val="bottom"/>
            <w:hideMark/>
          </w:tcPr>
          <w:p w14:paraId="26A355AD"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50.025</w:t>
            </w:r>
          </w:p>
        </w:tc>
        <w:tc>
          <w:tcPr>
            <w:tcW w:w="841" w:type="pct"/>
            <w:tcBorders>
              <w:top w:val="nil"/>
              <w:left w:val="nil"/>
              <w:bottom w:val="nil"/>
              <w:right w:val="nil"/>
            </w:tcBorders>
            <w:shd w:val="clear" w:color="auto" w:fill="auto"/>
            <w:noWrap/>
            <w:vAlign w:val="bottom"/>
            <w:hideMark/>
          </w:tcPr>
          <w:p w14:paraId="631A9FF8"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84.522</w:t>
            </w:r>
          </w:p>
        </w:tc>
      </w:tr>
      <w:tr w:rsidR="00BA4876" w:rsidRPr="00A37BCE" w14:paraId="5C7AE4BC" w14:textId="77777777" w:rsidTr="000D0A45">
        <w:trPr>
          <w:trHeight w:hRule="exact" w:val="227"/>
        </w:trPr>
        <w:tc>
          <w:tcPr>
            <w:tcW w:w="2476" w:type="pct"/>
            <w:tcBorders>
              <w:top w:val="nil"/>
              <w:left w:val="nil"/>
              <w:bottom w:val="nil"/>
              <w:right w:val="nil"/>
            </w:tcBorders>
            <w:shd w:val="clear" w:color="auto" w:fill="auto"/>
            <w:hideMark/>
          </w:tcPr>
          <w:p w14:paraId="018A8B54" w14:textId="77D731FB"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Коридори Србије д.</w:t>
            </w:r>
            <w:r w:rsidR="00FB1ACD">
              <w:rPr>
                <w:rFonts w:eastAsia="Times New Roman" w:cstheme="minorHAnsi"/>
                <w:color w:val="002060"/>
                <w:sz w:val="18"/>
                <w:szCs w:val="18"/>
                <w:lang w:val="sr-Cyrl-RS"/>
              </w:rPr>
              <w:t xml:space="preserve"> </w:t>
            </w:r>
            <w:r w:rsidRPr="00A37BCE">
              <w:rPr>
                <w:rFonts w:eastAsia="Times New Roman" w:cstheme="minorHAnsi"/>
                <w:color w:val="002060"/>
                <w:sz w:val="18"/>
                <w:szCs w:val="18"/>
                <w:lang w:val="sr-Cyrl-RS"/>
              </w:rPr>
              <w:t>о.</w:t>
            </w:r>
            <w:r w:rsidR="00FB1ACD">
              <w:rPr>
                <w:rFonts w:eastAsia="Times New Roman" w:cstheme="minorHAnsi"/>
                <w:color w:val="002060"/>
                <w:sz w:val="18"/>
                <w:szCs w:val="18"/>
                <w:lang w:val="sr-Cyrl-RS"/>
              </w:rPr>
              <w:t xml:space="preserve"> </w:t>
            </w:r>
            <w:r w:rsidRPr="00A37BCE">
              <w:rPr>
                <w:rFonts w:eastAsia="Times New Roman" w:cstheme="minorHAnsi"/>
                <w:color w:val="002060"/>
                <w:sz w:val="18"/>
                <w:szCs w:val="18"/>
                <w:lang w:val="sr-Cyrl-RS"/>
              </w:rPr>
              <w:t>о.</w:t>
            </w:r>
          </w:p>
        </w:tc>
        <w:tc>
          <w:tcPr>
            <w:tcW w:w="841" w:type="pct"/>
            <w:tcBorders>
              <w:top w:val="nil"/>
              <w:left w:val="nil"/>
              <w:bottom w:val="nil"/>
              <w:right w:val="nil"/>
            </w:tcBorders>
            <w:shd w:val="clear" w:color="auto" w:fill="auto"/>
            <w:hideMark/>
          </w:tcPr>
          <w:p w14:paraId="3B0FBD27"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0</w:t>
            </w:r>
          </w:p>
        </w:tc>
        <w:tc>
          <w:tcPr>
            <w:tcW w:w="841" w:type="pct"/>
            <w:tcBorders>
              <w:top w:val="nil"/>
              <w:left w:val="nil"/>
              <w:bottom w:val="nil"/>
              <w:right w:val="nil"/>
            </w:tcBorders>
            <w:shd w:val="clear" w:color="auto" w:fill="auto"/>
            <w:noWrap/>
            <w:vAlign w:val="bottom"/>
            <w:hideMark/>
          </w:tcPr>
          <w:p w14:paraId="65D85E61"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0</w:t>
            </w:r>
          </w:p>
        </w:tc>
        <w:tc>
          <w:tcPr>
            <w:tcW w:w="841" w:type="pct"/>
            <w:tcBorders>
              <w:top w:val="nil"/>
              <w:left w:val="nil"/>
              <w:bottom w:val="nil"/>
              <w:right w:val="nil"/>
            </w:tcBorders>
            <w:shd w:val="clear" w:color="auto" w:fill="auto"/>
            <w:noWrap/>
            <w:vAlign w:val="bottom"/>
            <w:hideMark/>
          </w:tcPr>
          <w:p w14:paraId="38A9930B"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58.974</w:t>
            </w:r>
          </w:p>
        </w:tc>
      </w:tr>
      <w:tr w:rsidR="00BA4876" w:rsidRPr="00A37BCE" w14:paraId="7B33E9A1" w14:textId="77777777" w:rsidTr="000D0A45">
        <w:trPr>
          <w:trHeight w:hRule="exact" w:val="227"/>
        </w:trPr>
        <w:tc>
          <w:tcPr>
            <w:tcW w:w="2476" w:type="pct"/>
            <w:tcBorders>
              <w:top w:val="nil"/>
              <w:left w:val="nil"/>
              <w:bottom w:val="nil"/>
              <w:right w:val="nil"/>
            </w:tcBorders>
            <w:shd w:val="clear" w:color="auto" w:fill="auto"/>
            <w:noWrap/>
            <w:vAlign w:val="bottom"/>
            <w:hideMark/>
          </w:tcPr>
          <w:p w14:paraId="71A5F508" w14:textId="77777777"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ЈП Службени гласник</w:t>
            </w:r>
          </w:p>
        </w:tc>
        <w:tc>
          <w:tcPr>
            <w:tcW w:w="841" w:type="pct"/>
            <w:tcBorders>
              <w:top w:val="nil"/>
              <w:left w:val="nil"/>
              <w:bottom w:val="nil"/>
              <w:right w:val="nil"/>
            </w:tcBorders>
            <w:shd w:val="clear" w:color="auto" w:fill="auto"/>
            <w:noWrap/>
            <w:vAlign w:val="bottom"/>
            <w:hideMark/>
          </w:tcPr>
          <w:p w14:paraId="06B633F6"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127.818</w:t>
            </w:r>
          </w:p>
        </w:tc>
        <w:tc>
          <w:tcPr>
            <w:tcW w:w="841" w:type="pct"/>
            <w:tcBorders>
              <w:top w:val="nil"/>
              <w:left w:val="nil"/>
              <w:bottom w:val="nil"/>
              <w:right w:val="nil"/>
            </w:tcBorders>
            <w:shd w:val="clear" w:color="auto" w:fill="auto"/>
            <w:noWrap/>
            <w:vAlign w:val="bottom"/>
            <w:hideMark/>
          </w:tcPr>
          <w:p w14:paraId="16F4282E"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57.516</w:t>
            </w:r>
          </w:p>
        </w:tc>
        <w:tc>
          <w:tcPr>
            <w:tcW w:w="841" w:type="pct"/>
            <w:tcBorders>
              <w:top w:val="nil"/>
              <w:left w:val="nil"/>
              <w:bottom w:val="nil"/>
              <w:right w:val="nil"/>
            </w:tcBorders>
            <w:shd w:val="clear" w:color="auto" w:fill="auto"/>
            <w:noWrap/>
            <w:vAlign w:val="bottom"/>
            <w:hideMark/>
          </w:tcPr>
          <w:p w14:paraId="2FB62EF3"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54.305</w:t>
            </w:r>
          </w:p>
        </w:tc>
      </w:tr>
      <w:tr w:rsidR="00BA4876" w:rsidRPr="00A37BCE" w14:paraId="0543ABC5" w14:textId="77777777" w:rsidTr="000D0A45">
        <w:trPr>
          <w:trHeight w:hRule="exact" w:val="227"/>
        </w:trPr>
        <w:tc>
          <w:tcPr>
            <w:tcW w:w="2476" w:type="pct"/>
            <w:tcBorders>
              <w:top w:val="nil"/>
              <w:left w:val="nil"/>
              <w:bottom w:val="nil"/>
              <w:right w:val="nil"/>
            </w:tcBorders>
            <w:shd w:val="clear" w:color="auto" w:fill="auto"/>
            <w:hideMark/>
          </w:tcPr>
          <w:p w14:paraId="1196BF06" w14:textId="15A56EBC"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Железнице Србије а.</w:t>
            </w:r>
            <w:r w:rsidR="00FB1ACD">
              <w:rPr>
                <w:rFonts w:eastAsia="Times New Roman" w:cstheme="minorHAnsi"/>
                <w:color w:val="002060"/>
                <w:sz w:val="18"/>
                <w:szCs w:val="18"/>
                <w:lang w:val="sr-Cyrl-RS"/>
              </w:rPr>
              <w:t xml:space="preserve"> </w:t>
            </w:r>
            <w:r w:rsidRPr="00A37BCE">
              <w:rPr>
                <w:rFonts w:eastAsia="Times New Roman" w:cstheme="minorHAnsi"/>
                <w:color w:val="002060"/>
                <w:sz w:val="18"/>
                <w:szCs w:val="18"/>
                <w:lang w:val="sr-Cyrl-RS"/>
              </w:rPr>
              <w:t>д.</w:t>
            </w:r>
          </w:p>
        </w:tc>
        <w:tc>
          <w:tcPr>
            <w:tcW w:w="841" w:type="pct"/>
            <w:tcBorders>
              <w:top w:val="nil"/>
              <w:left w:val="nil"/>
              <w:bottom w:val="nil"/>
              <w:right w:val="nil"/>
            </w:tcBorders>
            <w:shd w:val="clear" w:color="auto" w:fill="auto"/>
            <w:hideMark/>
          </w:tcPr>
          <w:p w14:paraId="5F2B14A2"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3.587.217</w:t>
            </w:r>
          </w:p>
        </w:tc>
        <w:tc>
          <w:tcPr>
            <w:tcW w:w="841" w:type="pct"/>
            <w:tcBorders>
              <w:top w:val="nil"/>
              <w:left w:val="nil"/>
              <w:bottom w:val="nil"/>
              <w:right w:val="nil"/>
            </w:tcBorders>
            <w:shd w:val="clear" w:color="auto" w:fill="auto"/>
            <w:noWrap/>
            <w:vAlign w:val="bottom"/>
            <w:hideMark/>
          </w:tcPr>
          <w:p w14:paraId="12C36152"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-232.100</w:t>
            </w:r>
          </w:p>
        </w:tc>
        <w:tc>
          <w:tcPr>
            <w:tcW w:w="841" w:type="pct"/>
            <w:tcBorders>
              <w:top w:val="nil"/>
              <w:left w:val="nil"/>
              <w:bottom w:val="nil"/>
              <w:right w:val="nil"/>
            </w:tcBorders>
            <w:shd w:val="clear" w:color="auto" w:fill="auto"/>
            <w:noWrap/>
            <w:vAlign w:val="bottom"/>
            <w:hideMark/>
          </w:tcPr>
          <w:p w14:paraId="6C7951CA"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43.878</w:t>
            </w:r>
          </w:p>
        </w:tc>
      </w:tr>
      <w:tr w:rsidR="00BA4876" w:rsidRPr="00A37BCE" w14:paraId="2FCB8942" w14:textId="77777777" w:rsidTr="000D0A45">
        <w:trPr>
          <w:trHeight w:hRule="exact" w:val="227"/>
        </w:trPr>
        <w:tc>
          <w:tcPr>
            <w:tcW w:w="2476" w:type="pct"/>
            <w:tcBorders>
              <w:top w:val="nil"/>
              <w:left w:val="nil"/>
              <w:bottom w:val="nil"/>
              <w:right w:val="nil"/>
            </w:tcBorders>
            <w:shd w:val="clear" w:color="auto" w:fill="auto"/>
            <w:noWrap/>
            <w:vAlign w:val="bottom"/>
            <w:hideMark/>
          </w:tcPr>
          <w:p w14:paraId="102161F0" w14:textId="3F140922"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Просветни преглед д.</w:t>
            </w:r>
            <w:r w:rsidR="00FB1ACD">
              <w:rPr>
                <w:rFonts w:eastAsia="Times New Roman" w:cstheme="minorHAnsi"/>
                <w:color w:val="002060"/>
                <w:sz w:val="18"/>
                <w:szCs w:val="18"/>
                <w:lang w:val="sr-Cyrl-RS"/>
              </w:rPr>
              <w:t xml:space="preserve"> </w:t>
            </w:r>
            <w:r w:rsidRPr="00A37BCE">
              <w:rPr>
                <w:rFonts w:eastAsia="Times New Roman" w:cstheme="minorHAnsi"/>
                <w:color w:val="002060"/>
                <w:sz w:val="18"/>
                <w:szCs w:val="18"/>
                <w:lang w:val="sr-Cyrl-RS"/>
              </w:rPr>
              <w:t>о.</w:t>
            </w:r>
            <w:r w:rsidR="00FB1ACD">
              <w:rPr>
                <w:rFonts w:eastAsia="Times New Roman" w:cstheme="minorHAnsi"/>
                <w:color w:val="002060"/>
                <w:sz w:val="18"/>
                <w:szCs w:val="18"/>
                <w:lang w:val="sr-Cyrl-RS"/>
              </w:rPr>
              <w:t xml:space="preserve"> </w:t>
            </w:r>
            <w:r w:rsidRPr="00A37BCE">
              <w:rPr>
                <w:rFonts w:eastAsia="Times New Roman" w:cstheme="minorHAnsi"/>
                <w:color w:val="002060"/>
                <w:sz w:val="18"/>
                <w:szCs w:val="18"/>
                <w:lang w:val="sr-Cyrl-RS"/>
              </w:rPr>
              <w:t>о.</w:t>
            </w:r>
          </w:p>
        </w:tc>
        <w:tc>
          <w:tcPr>
            <w:tcW w:w="841" w:type="pct"/>
            <w:tcBorders>
              <w:top w:val="nil"/>
              <w:left w:val="nil"/>
              <w:bottom w:val="nil"/>
              <w:right w:val="nil"/>
            </w:tcBorders>
            <w:shd w:val="clear" w:color="auto" w:fill="auto"/>
            <w:noWrap/>
            <w:vAlign w:val="bottom"/>
            <w:hideMark/>
          </w:tcPr>
          <w:p w14:paraId="6BB6DE98"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23.210</w:t>
            </w:r>
          </w:p>
        </w:tc>
        <w:tc>
          <w:tcPr>
            <w:tcW w:w="841" w:type="pct"/>
            <w:tcBorders>
              <w:top w:val="nil"/>
              <w:left w:val="nil"/>
              <w:bottom w:val="nil"/>
              <w:right w:val="nil"/>
            </w:tcBorders>
            <w:shd w:val="clear" w:color="auto" w:fill="auto"/>
            <w:noWrap/>
            <w:vAlign w:val="bottom"/>
            <w:hideMark/>
          </w:tcPr>
          <w:p w14:paraId="61866614"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10.049</w:t>
            </w:r>
          </w:p>
        </w:tc>
        <w:tc>
          <w:tcPr>
            <w:tcW w:w="841" w:type="pct"/>
            <w:tcBorders>
              <w:top w:val="nil"/>
              <w:left w:val="nil"/>
              <w:bottom w:val="nil"/>
              <w:right w:val="nil"/>
            </w:tcBorders>
            <w:shd w:val="clear" w:color="auto" w:fill="auto"/>
            <w:noWrap/>
            <w:vAlign w:val="bottom"/>
            <w:hideMark/>
          </w:tcPr>
          <w:p w14:paraId="7C06E6A7"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21.021</w:t>
            </w:r>
          </w:p>
        </w:tc>
      </w:tr>
      <w:tr w:rsidR="00BA4876" w:rsidRPr="00A37BCE" w14:paraId="16D008F5" w14:textId="77777777" w:rsidTr="000D0A45">
        <w:trPr>
          <w:trHeight w:hRule="exact" w:val="227"/>
        </w:trPr>
        <w:tc>
          <w:tcPr>
            <w:tcW w:w="2476" w:type="pct"/>
            <w:tcBorders>
              <w:top w:val="nil"/>
              <w:left w:val="nil"/>
              <w:bottom w:val="nil"/>
              <w:right w:val="nil"/>
            </w:tcBorders>
            <w:shd w:val="clear" w:color="auto" w:fill="auto"/>
            <w:hideMark/>
          </w:tcPr>
          <w:p w14:paraId="2E5D74BB" w14:textId="77777777"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ЈП НП Копаоник</w:t>
            </w:r>
          </w:p>
        </w:tc>
        <w:tc>
          <w:tcPr>
            <w:tcW w:w="841" w:type="pct"/>
            <w:tcBorders>
              <w:top w:val="nil"/>
              <w:left w:val="nil"/>
              <w:bottom w:val="nil"/>
              <w:right w:val="nil"/>
            </w:tcBorders>
            <w:shd w:val="clear" w:color="auto" w:fill="auto"/>
            <w:hideMark/>
          </w:tcPr>
          <w:p w14:paraId="5253F5E9"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16.296</w:t>
            </w:r>
          </w:p>
        </w:tc>
        <w:tc>
          <w:tcPr>
            <w:tcW w:w="841" w:type="pct"/>
            <w:tcBorders>
              <w:top w:val="nil"/>
              <w:left w:val="nil"/>
              <w:bottom w:val="nil"/>
              <w:right w:val="nil"/>
            </w:tcBorders>
            <w:shd w:val="clear" w:color="auto" w:fill="auto"/>
            <w:noWrap/>
            <w:vAlign w:val="bottom"/>
            <w:hideMark/>
          </w:tcPr>
          <w:p w14:paraId="7A0DCC86"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5.753</w:t>
            </w:r>
          </w:p>
        </w:tc>
        <w:tc>
          <w:tcPr>
            <w:tcW w:w="841" w:type="pct"/>
            <w:tcBorders>
              <w:top w:val="nil"/>
              <w:left w:val="nil"/>
              <w:bottom w:val="nil"/>
              <w:right w:val="nil"/>
            </w:tcBorders>
            <w:shd w:val="clear" w:color="auto" w:fill="auto"/>
            <w:noWrap/>
            <w:vAlign w:val="bottom"/>
            <w:hideMark/>
          </w:tcPr>
          <w:p w14:paraId="7E6C2B8F"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18.104</w:t>
            </w:r>
          </w:p>
        </w:tc>
      </w:tr>
      <w:tr w:rsidR="00BA4876" w:rsidRPr="00A37BCE" w14:paraId="4D64FAB8" w14:textId="77777777" w:rsidTr="000D0A45">
        <w:trPr>
          <w:trHeight w:hRule="exact" w:val="227"/>
        </w:trPr>
        <w:tc>
          <w:tcPr>
            <w:tcW w:w="2476" w:type="pct"/>
            <w:tcBorders>
              <w:top w:val="nil"/>
              <w:left w:val="nil"/>
              <w:bottom w:val="nil"/>
              <w:right w:val="nil"/>
            </w:tcBorders>
            <w:shd w:val="clear" w:color="auto" w:fill="auto"/>
            <w:noWrap/>
            <w:vAlign w:val="bottom"/>
            <w:hideMark/>
          </w:tcPr>
          <w:p w14:paraId="45F46A28" w14:textId="77777777"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ЈП НП Фрушка Гора</w:t>
            </w:r>
          </w:p>
        </w:tc>
        <w:tc>
          <w:tcPr>
            <w:tcW w:w="841" w:type="pct"/>
            <w:tcBorders>
              <w:top w:val="nil"/>
              <w:left w:val="nil"/>
              <w:bottom w:val="nil"/>
              <w:right w:val="nil"/>
            </w:tcBorders>
            <w:shd w:val="clear" w:color="auto" w:fill="auto"/>
            <w:noWrap/>
            <w:vAlign w:val="bottom"/>
            <w:hideMark/>
          </w:tcPr>
          <w:p w14:paraId="4C99617D"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8.967</w:t>
            </w:r>
          </w:p>
        </w:tc>
        <w:tc>
          <w:tcPr>
            <w:tcW w:w="841" w:type="pct"/>
            <w:tcBorders>
              <w:top w:val="nil"/>
              <w:left w:val="nil"/>
              <w:bottom w:val="nil"/>
              <w:right w:val="nil"/>
            </w:tcBorders>
            <w:shd w:val="clear" w:color="auto" w:fill="auto"/>
            <w:noWrap/>
            <w:vAlign w:val="bottom"/>
            <w:hideMark/>
          </w:tcPr>
          <w:p w14:paraId="333DD3E6"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15.125</w:t>
            </w:r>
          </w:p>
        </w:tc>
        <w:tc>
          <w:tcPr>
            <w:tcW w:w="841" w:type="pct"/>
            <w:tcBorders>
              <w:top w:val="nil"/>
              <w:left w:val="nil"/>
              <w:bottom w:val="nil"/>
              <w:right w:val="nil"/>
            </w:tcBorders>
            <w:shd w:val="clear" w:color="auto" w:fill="auto"/>
            <w:noWrap/>
            <w:vAlign w:val="bottom"/>
            <w:hideMark/>
          </w:tcPr>
          <w:p w14:paraId="65F6F013"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16.509</w:t>
            </w:r>
          </w:p>
        </w:tc>
      </w:tr>
      <w:tr w:rsidR="00BA4876" w:rsidRPr="00A37BCE" w14:paraId="753D08F6" w14:textId="77777777" w:rsidTr="000D0A45">
        <w:trPr>
          <w:trHeight w:hRule="exact" w:val="227"/>
        </w:trPr>
        <w:tc>
          <w:tcPr>
            <w:tcW w:w="2476" w:type="pct"/>
            <w:tcBorders>
              <w:top w:val="nil"/>
              <w:left w:val="nil"/>
              <w:bottom w:val="nil"/>
              <w:right w:val="nil"/>
            </w:tcBorders>
            <w:shd w:val="clear" w:color="auto" w:fill="auto"/>
            <w:hideMark/>
          </w:tcPr>
          <w:p w14:paraId="35F33B50" w14:textId="77777777"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ЈП Нуклеарни објекти Србије</w:t>
            </w:r>
          </w:p>
        </w:tc>
        <w:tc>
          <w:tcPr>
            <w:tcW w:w="841" w:type="pct"/>
            <w:tcBorders>
              <w:top w:val="nil"/>
              <w:left w:val="nil"/>
              <w:bottom w:val="nil"/>
              <w:right w:val="nil"/>
            </w:tcBorders>
            <w:shd w:val="clear" w:color="auto" w:fill="auto"/>
            <w:hideMark/>
          </w:tcPr>
          <w:p w14:paraId="4F373711"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1.270</w:t>
            </w:r>
          </w:p>
        </w:tc>
        <w:tc>
          <w:tcPr>
            <w:tcW w:w="841" w:type="pct"/>
            <w:tcBorders>
              <w:top w:val="nil"/>
              <w:left w:val="nil"/>
              <w:bottom w:val="nil"/>
              <w:right w:val="nil"/>
            </w:tcBorders>
            <w:shd w:val="clear" w:color="auto" w:fill="auto"/>
            <w:noWrap/>
            <w:vAlign w:val="bottom"/>
            <w:hideMark/>
          </w:tcPr>
          <w:p w14:paraId="14485A33"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156</w:t>
            </w:r>
          </w:p>
        </w:tc>
        <w:tc>
          <w:tcPr>
            <w:tcW w:w="841" w:type="pct"/>
            <w:tcBorders>
              <w:top w:val="nil"/>
              <w:left w:val="nil"/>
              <w:bottom w:val="nil"/>
              <w:right w:val="nil"/>
            </w:tcBorders>
            <w:shd w:val="clear" w:color="auto" w:fill="auto"/>
            <w:noWrap/>
            <w:vAlign w:val="bottom"/>
            <w:hideMark/>
          </w:tcPr>
          <w:p w14:paraId="36B913E5"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12.126</w:t>
            </w:r>
          </w:p>
        </w:tc>
      </w:tr>
      <w:tr w:rsidR="00BA4876" w:rsidRPr="00A37BCE" w14:paraId="548A36EF" w14:textId="77777777" w:rsidTr="000D0A45">
        <w:trPr>
          <w:trHeight w:hRule="exact" w:val="227"/>
        </w:trPr>
        <w:tc>
          <w:tcPr>
            <w:tcW w:w="2476" w:type="pct"/>
            <w:tcBorders>
              <w:top w:val="nil"/>
              <w:left w:val="nil"/>
              <w:bottom w:val="nil"/>
              <w:right w:val="nil"/>
            </w:tcBorders>
            <w:shd w:val="clear" w:color="auto" w:fill="auto"/>
            <w:hideMark/>
          </w:tcPr>
          <w:p w14:paraId="418DBE3A" w14:textId="7862095E"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Србија Карго а.</w:t>
            </w:r>
            <w:r w:rsidR="00FB1ACD">
              <w:rPr>
                <w:rFonts w:eastAsia="Times New Roman" w:cstheme="minorHAnsi"/>
                <w:color w:val="002060"/>
                <w:sz w:val="18"/>
                <w:szCs w:val="18"/>
                <w:lang w:val="sr-Cyrl-RS"/>
              </w:rPr>
              <w:t xml:space="preserve"> </w:t>
            </w:r>
            <w:r w:rsidRPr="00A37BCE">
              <w:rPr>
                <w:rFonts w:eastAsia="Times New Roman" w:cstheme="minorHAnsi"/>
                <w:color w:val="002060"/>
                <w:sz w:val="18"/>
                <w:szCs w:val="18"/>
                <w:lang w:val="sr-Cyrl-RS"/>
              </w:rPr>
              <w:t>д.</w:t>
            </w:r>
          </w:p>
        </w:tc>
        <w:tc>
          <w:tcPr>
            <w:tcW w:w="841" w:type="pct"/>
            <w:tcBorders>
              <w:top w:val="nil"/>
              <w:left w:val="nil"/>
              <w:bottom w:val="nil"/>
              <w:right w:val="nil"/>
            </w:tcBorders>
            <w:shd w:val="clear" w:color="auto" w:fill="auto"/>
            <w:hideMark/>
          </w:tcPr>
          <w:p w14:paraId="75C79075"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461.725</w:t>
            </w:r>
          </w:p>
        </w:tc>
        <w:tc>
          <w:tcPr>
            <w:tcW w:w="841" w:type="pct"/>
            <w:tcBorders>
              <w:top w:val="nil"/>
              <w:left w:val="nil"/>
              <w:bottom w:val="nil"/>
              <w:right w:val="nil"/>
            </w:tcBorders>
            <w:shd w:val="clear" w:color="auto" w:fill="auto"/>
            <w:noWrap/>
            <w:vAlign w:val="bottom"/>
            <w:hideMark/>
          </w:tcPr>
          <w:p w14:paraId="03FDCD19"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277.844</w:t>
            </w:r>
          </w:p>
        </w:tc>
        <w:tc>
          <w:tcPr>
            <w:tcW w:w="841" w:type="pct"/>
            <w:tcBorders>
              <w:top w:val="nil"/>
              <w:left w:val="nil"/>
              <w:bottom w:val="nil"/>
              <w:right w:val="nil"/>
            </w:tcBorders>
            <w:shd w:val="clear" w:color="auto" w:fill="auto"/>
            <w:noWrap/>
            <w:vAlign w:val="bottom"/>
            <w:hideMark/>
          </w:tcPr>
          <w:p w14:paraId="3AB1DD79"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8.413</w:t>
            </w:r>
          </w:p>
        </w:tc>
      </w:tr>
      <w:tr w:rsidR="00BA4876" w:rsidRPr="00A37BCE" w14:paraId="68A51C2C" w14:textId="77777777" w:rsidTr="000D0A45">
        <w:trPr>
          <w:trHeight w:hRule="exact" w:val="227"/>
        </w:trPr>
        <w:tc>
          <w:tcPr>
            <w:tcW w:w="2476" w:type="pct"/>
            <w:tcBorders>
              <w:top w:val="nil"/>
              <w:left w:val="nil"/>
              <w:bottom w:val="nil"/>
              <w:right w:val="nil"/>
            </w:tcBorders>
            <w:shd w:val="clear" w:color="auto" w:fill="auto"/>
            <w:hideMark/>
          </w:tcPr>
          <w:p w14:paraId="556A4FB5" w14:textId="77777777"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ЈП НП Ђердап</w:t>
            </w:r>
          </w:p>
        </w:tc>
        <w:tc>
          <w:tcPr>
            <w:tcW w:w="841" w:type="pct"/>
            <w:tcBorders>
              <w:top w:val="nil"/>
              <w:left w:val="nil"/>
              <w:bottom w:val="nil"/>
              <w:right w:val="nil"/>
            </w:tcBorders>
            <w:shd w:val="clear" w:color="auto" w:fill="auto"/>
            <w:hideMark/>
          </w:tcPr>
          <w:p w14:paraId="6A80A745"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13.217</w:t>
            </w:r>
          </w:p>
        </w:tc>
        <w:tc>
          <w:tcPr>
            <w:tcW w:w="841" w:type="pct"/>
            <w:tcBorders>
              <w:top w:val="nil"/>
              <w:left w:val="nil"/>
              <w:bottom w:val="nil"/>
              <w:right w:val="nil"/>
            </w:tcBorders>
            <w:shd w:val="clear" w:color="auto" w:fill="auto"/>
            <w:noWrap/>
            <w:vAlign w:val="bottom"/>
            <w:hideMark/>
          </w:tcPr>
          <w:p w14:paraId="649DFE12"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3.146</w:t>
            </w:r>
          </w:p>
        </w:tc>
        <w:tc>
          <w:tcPr>
            <w:tcW w:w="841" w:type="pct"/>
            <w:tcBorders>
              <w:top w:val="nil"/>
              <w:left w:val="nil"/>
              <w:bottom w:val="nil"/>
              <w:right w:val="nil"/>
            </w:tcBorders>
            <w:shd w:val="clear" w:color="auto" w:fill="auto"/>
            <w:noWrap/>
            <w:vAlign w:val="bottom"/>
            <w:hideMark/>
          </w:tcPr>
          <w:p w14:paraId="1C28E9FC"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6.685</w:t>
            </w:r>
          </w:p>
        </w:tc>
      </w:tr>
      <w:tr w:rsidR="00BA4876" w:rsidRPr="00A37BCE" w14:paraId="21ABD460" w14:textId="77777777" w:rsidTr="000D0A45">
        <w:trPr>
          <w:trHeight w:hRule="exact" w:val="227"/>
        </w:trPr>
        <w:tc>
          <w:tcPr>
            <w:tcW w:w="2476" w:type="pct"/>
            <w:tcBorders>
              <w:top w:val="nil"/>
              <w:left w:val="nil"/>
              <w:bottom w:val="nil"/>
              <w:right w:val="nil"/>
            </w:tcBorders>
            <w:shd w:val="clear" w:color="auto" w:fill="auto"/>
            <w:noWrap/>
            <w:vAlign w:val="bottom"/>
            <w:hideMark/>
          </w:tcPr>
          <w:p w14:paraId="2136A398" w14:textId="77777777"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ЈП Мрежа мост Београд</w:t>
            </w:r>
          </w:p>
        </w:tc>
        <w:tc>
          <w:tcPr>
            <w:tcW w:w="841" w:type="pct"/>
            <w:tcBorders>
              <w:top w:val="nil"/>
              <w:left w:val="nil"/>
              <w:bottom w:val="nil"/>
              <w:right w:val="nil"/>
            </w:tcBorders>
            <w:shd w:val="clear" w:color="auto" w:fill="auto"/>
            <w:noWrap/>
            <w:vAlign w:val="bottom"/>
            <w:hideMark/>
          </w:tcPr>
          <w:p w14:paraId="482ECF5E"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8.526</w:t>
            </w:r>
          </w:p>
        </w:tc>
        <w:tc>
          <w:tcPr>
            <w:tcW w:w="841" w:type="pct"/>
            <w:tcBorders>
              <w:top w:val="nil"/>
              <w:left w:val="nil"/>
              <w:bottom w:val="nil"/>
              <w:right w:val="nil"/>
            </w:tcBorders>
            <w:shd w:val="clear" w:color="auto" w:fill="auto"/>
            <w:noWrap/>
            <w:vAlign w:val="bottom"/>
            <w:hideMark/>
          </w:tcPr>
          <w:p w14:paraId="46D6181F"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250</w:t>
            </w:r>
          </w:p>
        </w:tc>
        <w:tc>
          <w:tcPr>
            <w:tcW w:w="841" w:type="pct"/>
            <w:tcBorders>
              <w:top w:val="nil"/>
              <w:left w:val="nil"/>
              <w:bottom w:val="nil"/>
              <w:right w:val="nil"/>
            </w:tcBorders>
            <w:shd w:val="clear" w:color="auto" w:fill="auto"/>
            <w:noWrap/>
            <w:vAlign w:val="bottom"/>
            <w:hideMark/>
          </w:tcPr>
          <w:p w14:paraId="1E684856"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4.191</w:t>
            </w:r>
          </w:p>
        </w:tc>
      </w:tr>
      <w:tr w:rsidR="00BA4876" w:rsidRPr="00A37BCE" w14:paraId="3DEF0D2E" w14:textId="77777777" w:rsidTr="000D0A45">
        <w:trPr>
          <w:trHeight w:hRule="exact" w:val="227"/>
        </w:trPr>
        <w:tc>
          <w:tcPr>
            <w:tcW w:w="2476" w:type="pct"/>
            <w:tcBorders>
              <w:top w:val="nil"/>
              <w:left w:val="nil"/>
              <w:bottom w:val="nil"/>
              <w:right w:val="nil"/>
            </w:tcBorders>
            <w:shd w:val="clear" w:color="auto" w:fill="auto"/>
            <w:noWrap/>
            <w:vAlign w:val="bottom"/>
            <w:hideMark/>
          </w:tcPr>
          <w:p w14:paraId="57FF2524" w14:textId="77777777"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ЈП НП Тара</w:t>
            </w:r>
          </w:p>
        </w:tc>
        <w:tc>
          <w:tcPr>
            <w:tcW w:w="841" w:type="pct"/>
            <w:tcBorders>
              <w:top w:val="nil"/>
              <w:left w:val="nil"/>
              <w:bottom w:val="nil"/>
              <w:right w:val="nil"/>
            </w:tcBorders>
            <w:shd w:val="clear" w:color="auto" w:fill="auto"/>
            <w:noWrap/>
            <w:vAlign w:val="bottom"/>
            <w:hideMark/>
          </w:tcPr>
          <w:p w14:paraId="7240ADBE"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18.667</w:t>
            </w:r>
          </w:p>
        </w:tc>
        <w:tc>
          <w:tcPr>
            <w:tcW w:w="841" w:type="pct"/>
            <w:tcBorders>
              <w:top w:val="nil"/>
              <w:left w:val="nil"/>
              <w:bottom w:val="nil"/>
              <w:right w:val="nil"/>
            </w:tcBorders>
            <w:shd w:val="clear" w:color="auto" w:fill="auto"/>
            <w:noWrap/>
            <w:vAlign w:val="bottom"/>
            <w:hideMark/>
          </w:tcPr>
          <w:p w14:paraId="36563FCB"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1.120</w:t>
            </w:r>
          </w:p>
        </w:tc>
        <w:tc>
          <w:tcPr>
            <w:tcW w:w="841" w:type="pct"/>
            <w:tcBorders>
              <w:top w:val="nil"/>
              <w:left w:val="nil"/>
              <w:bottom w:val="nil"/>
              <w:right w:val="nil"/>
            </w:tcBorders>
            <w:shd w:val="clear" w:color="auto" w:fill="auto"/>
            <w:noWrap/>
            <w:vAlign w:val="bottom"/>
            <w:hideMark/>
          </w:tcPr>
          <w:p w14:paraId="25DA2CA2"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1.210</w:t>
            </w:r>
          </w:p>
        </w:tc>
      </w:tr>
      <w:tr w:rsidR="00BA4876" w:rsidRPr="00A37BCE" w14:paraId="3369673C" w14:textId="77777777" w:rsidTr="000D0A45">
        <w:trPr>
          <w:trHeight w:hRule="exact" w:val="227"/>
        </w:trPr>
        <w:tc>
          <w:tcPr>
            <w:tcW w:w="2476" w:type="pct"/>
            <w:tcBorders>
              <w:top w:val="nil"/>
              <w:left w:val="nil"/>
              <w:bottom w:val="nil"/>
              <w:right w:val="nil"/>
            </w:tcBorders>
            <w:shd w:val="clear" w:color="auto" w:fill="auto"/>
            <w:noWrap/>
            <w:vAlign w:val="bottom"/>
            <w:hideMark/>
          </w:tcPr>
          <w:p w14:paraId="16D97EBF" w14:textId="23CB1A21"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Парк Палић д.</w:t>
            </w:r>
            <w:r w:rsidR="00FB1ACD">
              <w:rPr>
                <w:rFonts w:eastAsia="Times New Roman" w:cstheme="minorHAnsi"/>
                <w:color w:val="002060"/>
                <w:sz w:val="18"/>
                <w:szCs w:val="18"/>
                <w:lang w:val="sr-Cyrl-RS"/>
              </w:rPr>
              <w:t xml:space="preserve"> </w:t>
            </w:r>
            <w:r w:rsidRPr="00A37BCE">
              <w:rPr>
                <w:rFonts w:eastAsia="Times New Roman" w:cstheme="minorHAnsi"/>
                <w:color w:val="002060"/>
                <w:sz w:val="18"/>
                <w:szCs w:val="18"/>
                <w:lang w:val="sr-Cyrl-RS"/>
              </w:rPr>
              <w:t>о.</w:t>
            </w:r>
            <w:r w:rsidR="00FB1ACD">
              <w:rPr>
                <w:rFonts w:eastAsia="Times New Roman" w:cstheme="minorHAnsi"/>
                <w:color w:val="002060"/>
                <w:sz w:val="18"/>
                <w:szCs w:val="18"/>
                <w:lang w:val="sr-Cyrl-RS"/>
              </w:rPr>
              <w:t xml:space="preserve"> </w:t>
            </w:r>
            <w:r w:rsidRPr="00A37BCE">
              <w:rPr>
                <w:rFonts w:eastAsia="Times New Roman" w:cstheme="minorHAnsi"/>
                <w:color w:val="002060"/>
                <w:sz w:val="18"/>
                <w:szCs w:val="18"/>
                <w:lang w:val="sr-Cyrl-RS"/>
              </w:rPr>
              <w:t>о.</w:t>
            </w:r>
          </w:p>
        </w:tc>
        <w:tc>
          <w:tcPr>
            <w:tcW w:w="841" w:type="pct"/>
            <w:tcBorders>
              <w:top w:val="nil"/>
              <w:left w:val="nil"/>
              <w:bottom w:val="nil"/>
              <w:right w:val="nil"/>
            </w:tcBorders>
            <w:shd w:val="clear" w:color="auto" w:fill="auto"/>
            <w:noWrap/>
            <w:vAlign w:val="bottom"/>
            <w:hideMark/>
          </w:tcPr>
          <w:p w14:paraId="30E0217B"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332</w:t>
            </w:r>
          </w:p>
        </w:tc>
        <w:tc>
          <w:tcPr>
            <w:tcW w:w="841" w:type="pct"/>
            <w:tcBorders>
              <w:top w:val="nil"/>
              <w:left w:val="nil"/>
              <w:bottom w:val="nil"/>
              <w:right w:val="nil"/>
            </w:tcBorders>
            <w:shd w:val="clear" w:color="auto" w:fill="auto"/>
            <w:noWrap/>
            <w:vAlign w:val="bottom"/>
            <w:hideMark/>
          </w:tcPr>
          <w:p w14:paraId="21713916"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-59</w:t>
            </w:r>
          </w:p>
        </w:tc>
        <w:tc>
          <w:tcPr>
            <w:tcW w:w="841" w:type="pct"/>
            <w:tcBorders>
              <w:top w:val="nil"/>
              <w:left w:val="nil"/>
              <w:bottom w:val="nil"/>
              <w:right w:val="nil"/>
            </w:tcBorders>
            <w:shd w:val="clear" w:color="auto" w:fill="auto"/>
            <w:noWrap/>
            <w:vAlign w:val="bottom"/>
            <w:hideMark/>
          </w:tcPr>
          <w:p w14:paraId="0FA7CCD3"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1.061</w:t>
            </w:r>
          </w:p>
        </w:tc>
      </w:tr>
      <w:tr w:rsidR="00BA4876" w:rsidRPr="00A37BCE" w14:paraId="07CB840F" w14:textId="77777777" w:rsidTr="000D0A45">
        <w:trPr>
          <w:trHeight w:hRule="exact" w:val="227"/>
        </w:trPr>
        <w:tc>
          <w:tcPr>
            <w:tcW w:w="2476" w:type="pct"/>
            <w:tcBorders>
              <w:top w:val="nil"/>
              <w:left w:val="nil"/>
              <w:bottom w:val="single" w:sz="4" w:space="0" w:color="002060"/>
              <w:right w:val="nil"/>
            </w:tcBorders>
            <w:shd w:val="clear" w:color="auto" w:fill="auto"/>
            <w:noWrap/>
            <w:vAlign w:val="bottom"/>
            <w:hideMark/>
          </w:tcPr>
          <w:p w14:paraId="6DAA458E" w14:textId="03F96786"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Метохија д.</w:t>
            </w:r>
            <w:r w:rsidR="00FB1ACD">
              <w:rPr>
                <w:rFonts w:eastAsia="Times New Roman" w:cstheme="minorHAnsi"/>
                <w:color w:val="002060"/>
                <w:sz w:val="18"/>
                <w:szCs w:val="18"/>
                <w:lang w:val="sr-Cyrl-RS"/>
              </w:rPr>
              <w:t xml:space="preserve"> </w:t>
            </w:r>
            <w:r w:rsidRPr="00A37BCE">
              <w:rPr>
                <w:rFonts w:eastAsia="Times New Roman" w:cstheme="minorHAnsi"/>
                <w:color w:val="002060"/>
                <w:sz w:val="18"/>
                <w:szCs w:val="18"/>
                <w:lang w:val="sr-Cyrl-RS"/>
              </w:rPr>
              <w:t>о.</w:t>
            </w:r>
            <w:r w:rsidR="00FB1ACD">
              <w:rPr>
                <w:rFonts w:eastAsia="Times New Roman" w:cstheme="minorHAnsi"/>
                <w:color w:val="002060"/>
                <w:sz w:val="18"/>
                <w:szCs w:val="18"/>
                <w:lang w:val="sr-Cyrl-RS"/>
              </w:rPr>
              <w:t xml:space="preserve"> </w:t>
            </w:r>
            <w:r w:rsidRPr="00A37BCE">
              <w:rPr>
                <w:rFonts w:eastAsia="Times New Roman" w:cstheme="minorHAnsi"/>
                <w:color w:val="002060"/>
                <w:sz w:val="18"/>
                <w:szCs w:val="18"/>
                <w:lang w:val="sr-Cyrl-RS"/>
              </w:rPr>
              <w:t>о.</w:t>
            </w:r>
          </w:p>
        </w:tc>
        <w:tc>
          <w:tcPr>
            <w:tcW w:w="841" w:type="pct"/>
            <w:tcBorders>
              <w:top w:val="nil"/>
              <w:left w:val="nil"/>
              <w:bottom w:val="single" w:sz="4" w:space="0" w:color="002060"/>
              <w:right w:val="nil"/>
            </w:tcBorders>
            <w:shd w:val="clear" w:color="auto" w:fill="auto"/>
            <w:noWrap/>
            <w:vAlign w:val="bottom"/>
            <w:hideMark/>
          </w:tcPr>
          <w:p w14:paraId="383B53D8"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1.410</w:t>
            </w:r>
          </w:p>
        </w:tc>
        <w:tc>
          <w:tcPr>
            <w:tcW w:w="841" w:type="pct"/>
            <w:tcBorders>
              <w:top w:val="nil"/>
              <w:left w:val="nil"/>
              <w:bottom w:val="single" w:sz="4" w:space="0" w:color="002060"/>
              <w:right w:val="nil"/>
            </w:tcBorders>
            <w:shd w:val="clear" w:color="auto" w:fill="auto"/>
            <w:noWrap/>
            <w:vAlign w:val="bottom"/>
            <w:hideMark/>
          </w:tcPr>
          <w:p w14:paraId="570C57AA"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4.144</w:t>
            </w:r>
          </w:p>
        </w:tc>
        <w:tc>
          <w:tcPr>
            <w:tcW w:w="841" w:type="pct"/>
            <w:tcBorders>
              <w:top w:val="nil"/>
              <w:left w:val="nil"/>
              <w:bottom w:val="single" w:sz="4" w:space="0" w:color="002060"/>
              <w:right w:val="nil"/>
            </w:tcBorders>
            <w:shd w:val="clear" w:color="auto" w:fill="auto"/>
            <w:noWrap/>
            <w:vAlign w:val="bottom"/>
            <w:hideMark/>
          </w:tcPr>
          <w:p w14:paraId="0F8BF891"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941</w:t>
            </w:r>
          </w:p>
        </w:tc>
      </w:tr>
      <w:tr w:rsidR="00BA4876" w:rsidRPr="00A37BCE" w14:paraId="359E853B" w14:textId="77777777" w:rsidTr="000D0A45">
        <w:trPr>
          <w:trHeight w:hRule="exact" w:val="227"/>
        </w:trPr>
        <w:tc>
          <w:tcPr>
            <w:tcW w:w="2476" w:type="pct"/>
            <w:tcBorders>
              <w:top w:val="single" w:sz="4" w:space="0" w:color="002060"/>
              <w:left w:val="nil"/>
              <w:bottom w:val="single" w:sz="4" w:space="0" w:color="002060"/>
              <w:right w:val="nil"/>
            </w:tcBorders>
            <w:shd w:val="clear" w:color="auto" w:fill="auto"/>
            <w:noWrap/>
            <w:vAlign w:val="center"/>
            <w:hideMark/>
          </w:tcPr>
          <w:p w14:paraId="2595DB76" w14:textId="77777777" w:rsidR="00BA4876" w:rsidRPr="00A37BCE" w:rsidRDefault="00BA4876" w:rsidP="00BA4876">
            <w:pPr>
              <w:spacing w:after="0" w:line="276" w:lineRule="auto"/>
              <w:jc w:val="both"/>
              <w:rPr>
                <w:rFonts w:eastAsia="Times New Roman" w:cstheme="minorHAnsi"/>
                <w:bCs/>
                <w:color w:val="002060"/>
                <w:sz w:val="18"/>
                <w:szCs w:val="18"/>
                <w:lang w:val="sr-Cyrl-RS"/>
              </w:rPr>
            </w:pPr>
            <w:r w:rsidRPr="00A37BCE">
              <w:rPr>
                <w:rFonts w:eastAsia="Times New Roman" w:cstheme="minorHAnsi"/>
                <w:bCs/>
                <w:color w:val="002060"/>
                <w:sz w:val="18"/>
                <w:szCs w:val="18"/>
                <w:lang w:val="sr-Cyrl-RS"/>
              </w:rPr>
              <w:t>Укупно</w:t>
            </w:r>
          </w:p>
        </w:tc>
        <w:tc>
          <w:tcPr>
            <w:tcW w:w="841" w:type="pct"/>
            <w:tcBorders>
              <w:top w:val="single" w:sz="4" w:space="0" w:color="002060"/>
              <w:left w:val="nil"/>
              <w:bottom w:val="single" w:sz="4" w:space="0" w:color="002060"/>
              <w:right w:val="nil"/>
            </w:tcBorders>
            <w:shd w:val="clear" w:color="auto" w:fill="auto"/>
            <w:noWrap/>
            <w:vAlign w:val="center"/>
            <w:hideMark/>
          </w:tcPr>
          <w:p w14:paraId="0111178F"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28.892.518</w:t>
            </w:r>
          </w:p>
        </w:tc>
        <w:tc>
          <w:tcPr>
            <w:tcW w:w="841" w:type="pct"/>
            <w:tcBorders>
              <w:top w:val="single" w:sz="4" w:space="0" w:color="002060"/>
              <w:left w:val="nil"/>
              <w:bottom w:val="single" w:sz="4" w:space="0" w:color="002060"/>
              <w:right w:val="nil"/>
            </w:tcBorders>
            <w:shd w:val="clear" w:color="auto" w:fill="auto"/>
            <w:noWrap/>
            <w:vAlign w:val="center"/>
            <w:hideMark/>
          </w:tcPr>
          <w:p w14:paraId="07C18CB0"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19.170.979</w:t>
            </w:r>
          </w:p>
        </w:tc>
        <w:tc>
          <w:tcPr>
            <w:tcW w:w="841" w:type="pct"/>
            <w:tcBorders>
              <w:top w:val="single" w:sz="4" w:space="0" w:color="002060"/>
              <w:left w:val="nil"/>
              <w:bottom w:val="single" w:sz="4" w:space="0" w:color="002060"/>
              <w:right w:val="nil"/>
            </w:tcBorders>
            <w:shd w:val="clear" w:color="auto" w:fill="auto"/>
            <w:noWrap/>
            <w:vAlign w:val="center"/>
            <w:hideMark/>
          </w:tcPr>
          <w:p w14:paraId="273EF735"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18.080.418</w:t>
            </w:r>
          </w:p>
        </w:tc>
      </w:tr>
    </w:tbl>
    <w:p w14:paraId="1D6A09E1" w14:textId="77777777" w:rsidR="00BA4876" w:rsidRPr="00315856" w:rsidRDefault="00BA4876" w:rsidP="00BA4876">
      <w:pPr>
        <w:spacing w:after="0" w:line="276" w:lineRule="auto"/>
        <w:jc w:val="both"/>
        <w:rPr>
          <w:rFonts w:eastAsia="Times New Roman" w:cstheme="minorHAnsi"/>
          <w:color w:val="44546A" w:themeColor="text2"/>
          <w:sz w:val="16"/>
          <w:szCs w:val="18"/>
          <w:lang w:val="sr-Cyrl-RS"/>
        </w:rPr>
      </w:pPr>
      <w:r w:rsidRPr="00315856">
        <w:rPr>
          <w:rFonts w:eastAsia="Times New Roman" w:cstheme="minorHAnsi"/>
          <w:color w:val="44546A" w:themeColor="text2"/>
          <w:sz w:val="16"/>
          <w:szCs w:val="18"/>
          <w:lang w:val="sr-Cyrl-RS"/>
        </w:rPr>
        <w:t>Извор: Финансијски извештаји за 2017. годину и квартални извештаји Министарства привреде за 2018. годину</w:t>
      </w:r>
    </w:p>
    <w:p w14:paraId="07D745C7" w14:textId="77777777" w:rsidR="00BA4876" w:rsidRPr="00A37BCE" w:rsidRDefault="00BA4876" w:rsidP="00BA4876">
      <w:pPr>
        <w:spacing w:after="0" w:line="276" w:lineRule="auto"/>
        <w:jc w:val="both"/>
        <w:rPr>
          <w:rFonts w:eastAsia="MS PGothic" w:cstheme="minorHAnsi"/>
          <w:color w:val="002060"/>
          <w:sz w:val="18"/>
          <w:szCs w:val="18"/>
          <w:lang w:val="sr-Cyrl-RS" w:eastAsia="ja-JP"/>
        </w:rPr>
      </w:pPr>
    </w:p>
    <w:p w14:paraId="0809CC04" w14:textId="2A4DDB00" w:rsidR="00630A81" w:rsidRPr="00A37BCE" w:rsidRDefault="00630A81" w:rsidP="00BA4876">
      <w:pPr>
        <w:spacing w:after="0" w:line="276" w:lineRule="auto"/>
        <w:jc w:val="both"/>
        <w:rPr>
          <w:rFonts w:eastAsia="MS PGothic" w:cstheme="minorHAnsi"/>
          <w:color w:val="002060"/>
          <w:sz w:val="18"/>
          <w:szCs w:val="18"/>
          <w:lang w:val="sr-Cyrl-RS" w:eastAsia="ja-JP"/>
        </w:rPr>
        <w:sectPr w:rsidR="00630A81" w:rsidRPr="00A37BCE" w:rsidSect="00BA4876">
          <w:type w:val="continuous"/>
          <w:pgSz w:w="12240" w:h="15840"/>
          <w:pgMar w:top="1440" w:right="1440" w:bottom="1440" w:left="1440" w:header="720" w:footer="720" w:gutter="0"/>
          <w:cols w:space="720"/>
          <w:docGrid w:linePitch="360"/>
        </w:sectPr>
      </w:pPr>
    </w:p>
    <w:p w14:paraId="7AE46FAB" w14:textId="38B0884C" w:rsidR="00BA4876" w:rsidRPr="00A37BCE" w:rsidRDefault="00BA4876" w:rsidP="00BA4876">
      <w:pPr>
        <w:spacing w:after="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lastRenderedPageBreak/>
        <w:t xml:space="preserve">У првој половини текуће године једанаест предузећа је остварило нето губитак у укупном износу од 3 млрд динара, што је нешто бољи </w:t>
      </w:r>
      <w:r w:rsidRPr="00A37BCE">
        <w:rPr>
          <w:rFonts w:eastAsia="Calibri" w:cstheme="minorHAnsi"/>
          <w:color w:val="44546A" w:themeColor="text2"/>
          <w:sz w:val="20"/>
          <w:szCs w:val="20"/>
          <w:lang w:val="sr-Cyrl-RS" w:eastAsia="ja-JP"/>
        </w:rPr>
        <w:lastRenderedPageBreak/>
        <w:t>резултат од планираног у о</w:t>
      </w:r>
      <w:r w:rsidR="00585AB5">
        <w:rPr>
          <w:rFonts w:eastAsia="Calibri" w:cstheme="minorHAnsi"/>
          <w:color w:val="44546A" w:themeColor="text2"/>
          <w:sz w:val="20"/>
          <w:szCs w:val="20"/>
          <w:lang w:val="sr-Cyrl-RS" w:eastAsia="ja-JP"/>
        </w:rPr>
        <w:t>вом периоду (-3,9 млрд динара).</w:t>
      </w:r>
    </w:p>
    <w:p w14:paraId="289CF87F" w14:textId="77777777" w:rsidR="00BA4876" w:rsidRPr="00A37BCE" w:rsidRDefault="00BA4876" w:rsidP="00BA4876">
      <w:pPr>
        <w:spacing w:after="0" w:line="276" w:lineRule="auto"/>
        <w:jc w:val="both"/>
        <w:rPr>
          <w:rFonts w:eastAsia="MS PGothic" w:cstheme="minorHAnsi"/>
          <w:color w:val="002060"/>
          <w:sz w:val="18"/>
          <w:szCs w:val="18"/>
          <w:lang w:val="sr-Cyrl-RS" w:eastAsia="ja-JP"/>
        </w:rPr>
        <w:sectPr w:rsidR="00BA4876" w:rsidRPr="00A37BCE" w:rsidSect="00BA4876">
          <w:type w:val="continuous"/>
          <w:pgSz w:w="12240" w:h="15840"/>
          <w:pgMar w:top="1440" w:right="1440" w:bottom="1440" w:left="1440" w:header="720" w:footer="720" w:gutter="0"/>
          <w:cols w:num="2" w:space="720"/>
          <w:docGrid w:linePitch="360"/>
        </w:sectPr>
      </w:pPr>
    </w:p>
    <w:p w14:paraId="7B9B6A7F" w14:textId="77777777" w:rsidR="00BA4876" w:rsidRPr="00A37BCE" w:rsidRDefault="00BA4876" w:rsidP="00BA4876">
      <w:pPr>
        <w:spacing w:after="0" w:line="276" w:lineRule="auto"/>
        <w:jc w:val="both"/>
        <w:rPr>
          <w:rFonts w:eastAsia="MS PGothic" w:cstheme="minorHAnsi"/>
          <w:color w:val="002060"/>
          <w:sz w:val="18"/>
          <w:szCs w:val="18"/>
          <w:lang w:val="sr-Cyrl-RS"/>
        </w:rPr>
      </w:pPr>
    </w:p>
    <w:p w14:paraId="6230AEC8" w14:textId="77777777" w:rsidR="000D0A45" w:rsidRDefault="000D0A45">
      <w:pPr>
        <w:rPr>
          <w:rFonts w:eastAsia="MS PGothic" w:cstheme="minorHAnsi"/>
          <w:b/>
          <w:bCs/>
          <w:color w:val="002060"/>
          <w:sz w:val="20"/>
          <w:lang w:val="sr-Cyrl-RS"/>
        </w:rPr>
      </w:pPr>
      <w:r>
        <w:rPr>
          <w:rFonts w:eastAsia="MS PGothic" w:cstheme="minorHAnsi"/>
          <w:b/>
          <w:bCs/>
          <w:color w:val="002060"/>
          <w:sz w:val="20"/>
          <w:lang w:val="sr-Cyrl-RS"/>
        </w:rPr>
        <w:br w:type="page"/>
      </w:r>
    </w:p>
    <w:p w14:paraId="14517237" w14:textId="58B8BF41" w:rsidR="00BA4876" w:rsidRPr="00A37BCE" w:rsidRDefault="00BA4876" w:rsidP="00BA4876">
      <w:pPr>
        <w:spacing w:after="0" w:line="276" w:lineRule="auto"/>
        <w:jc w:val="center"/>
        <w:rPr>
          <w:rFonts w:eastAsia="MS PGothic" w:cstheme="minorHAnsi"/>
          <w:b/>
          <w:bCs/>
          <w:color w:val="002060"/>
          <w:sz w:val="20"/>
          <w:lang w:val="sr-Cyrl-RS"/>
        </w:rPr>
      </w:pPr>
      <w:r w:rsidRPr="00A37BCE">
        <w:rPr>
          <w:rFonts w:eastAsia="MS PGothic" w:cstheme="minorHAnsi"/>
          <w:b/>
          <w:bCs/>
          <w:color w:val="002060"/>
          <w:sz w:val="20"/>
          <w:lang w:val="sr-Cyrl-RS"/>
        </w:rPr>
        <w:lastRenderedPageBreak/>
        <w:t>Табела 1</w:t>
      </w:r>
      <w:r w:rsidR="005B01D9" w:rsidRPr="00A37BCE">
        <w:rPr>
          <w:rFonts w:eastAsia="MS PGothic" w:cstheme="minorHAnsi"/>
          <w:b/>
          <w:bCs/>
          <w:color w:val="002060"/>
          <w:sz w:val="20"/>
          <w:lang w:val="sr-Cyrl-RS"/>
        </w:rPr>
        <w:t>8.</w:t>
      </w:r>
      <w:r w:rsidRPr="00A37BCE">
        <w:rPr>
          <w:rFonts w:eastAsia="MS PGothic" w:cstheme="minorHAnsi"/>
          <w:b/>
          <w:bCs/>
          <w:color w:val="002060"/>
          <w:sz w:val="20"/>
          <w:lang w:val="sr-Cyrl-RS"/>
        </w:rPr>
        <w:t xml:space="preserve"> Јавна предузећа која су остварила нето губитак у периоду 1.1</w:t>
      </w:r>
      <w:r w:rsidR="00146506" w:rsidRPr="00146506">
        <w:rPr>
          <w:rFonts w:eastAsia="MS PGothic" w:cstheme="minorHAnsi"/>
          <w:b/>
          <w:bCs/>
          <w:color w:val="002060"/>
          <w:sz w:val="20"/>
          <w:lang w:val="sr-Cyrl-RS"/>
        </w:rPr>
        <w:t>–</w:t>
      </w:r>
      <w:r w:rsidRPr="00A37BCE">
        <w:rPr>
          <w:rFonts w:eastAsia="MS PGothic" w:cstheme="minorHAnsi"/>
          <w:b/>
          <w:bCs/>
          <w:color w:val="002060"/>
          <w:sz w:val="20"/>
          <w:lang w:val="sr-Cyrl-RS"/>
        </w:rPr>
        <w:t xml:space="preserve">30.6.2018. године, </w:t>
      </w:r>
      <w:r w:rsidR="00AE36BD">
        <w:rPr>
          <w:rFonts w:eastAsia="MS PGothic" w:cstheme="minorHAnsi"/>
          <w:b/>
          <w:bCs/>
          <w:color w:val="002060"/>
          <w:sz w:val="20"/>
          <w:lang w:val="sr-Cyrl-RS"/>
        </w:rPr>
        <w:br w:type="textWrapping" w:clear="all"/>
      </w:r>
      <w:r w:rsidRPr="00A37BCE">
        <w:rPr>
          <w:rFonts w:eastAsia="MS PGothic" w:cstheme="minorHAnsi"/>
          <w:b/>
          <w:bCs/>
          <w:color w:val="002060"/>
          <w:sz w:val="20"/>
          <w:lang w:val="sr-Cyrl-RS"/>
        </w:rPr>
        <w:t>у хиљ. динара</w:t>
      </w:r>
    </w:p>
    <w:tbl>
      <w:tblPr>
        <w:tblW w:w="5000" w:type="pct"/>
        <w:tblLook w:val="04A0" w:firstRow="1" w:lastRow="0" w:firstColumn="1" w:lastColumn="0" w:noHBand="0" w:noVBand="1"/>
      </w:tblPr>
      <w:tblGrid>
        <w:gridCol w:w="4636"/>
        <w:gridCol w:w="1575"/>
        <w:gridCol w:w="1575"/>
        <w:gridCol w:w="1574"/>
      </w:tblGrid>
      <w:tr w:rsidR="00BA4876" w:rsidRPr="00A37BCE" w14:paraId="22939B0B" w14:textId="77777777" w:rsidTr="00585AB5">
        <w:trPr>
          <w:trHeight w:val="20"/>
          <w:tblHeader/>
        </w:trPr>
        <w:tc>
          <w:tcPr>
            <w:tcW w:w="2476" w:type="pct"/>
            <w:tcBorders>
              <w:top w:val="single" w:sz="4" w:space="0" w:color="002060"/>
              <w:left w:val="nil"/>
              <w:bottom w:val="single" w:sz="4" w:space="0" w:color="002060"/>
              <w:right w:val="nil"/>
            </w:tcBorders>
            <w:shd w:val="clear" w:color="auto" w:fill="auto"/>
            <w:noWrap/>
            <w:vAlign w:val="center"/>
            <w:hideMark/>
          </w:tcPr>
          <w:p w14:paraId="13976700" w14:textId="77777777" w:rsidR="00BA4876" w:rsidRPr="00A37BCE" w:rsidRDefault="00BA4876" w:rsidP="00BA4876">
            <w:pPr>
              <w:spacing w:after="0" w:line="276" w:lineRule="auto"/>
              <w:jc w:val="both"/>
              <w:rPr>
                <w:rFonts w:eastAsia="Times New Roman" w:cstheme="minorHAnsi"/>
                <w:bCs/>
                <w:color w:val="002060"/>
                <w:sz w:val="18"/>
                <w:szCs w:val="18"/>
                <w:lang w:val="sr-Cyrl-RS"/>
              </w:rPr>
            </w:pPr>
            <w:r w:rsidRPr="00A37BCE">
              <w:rPr>
                <w:rFonts w:eastAsia="Times New Roman" w:cstheme="minorHAnsi"/>
                <w:bCs/>
                <w:color w:val="002060"/>
                <w:sz w:val="18"/>
                <w:szCs w:val="18"/>
                <w:lang w:val="sr-Cyrl-RS"/>
              </w:rPr>
              <w:t>Предузеће</w:t>
            </w:r>
          </w:p>
        </w:tc>
        <w:tc>
          <w:tcPr>
            <w:tcW w:w="841" w:type="pct"/>
            <w:tcBorders>
              <w:top w:val="single" w:sz="4" w:space="0" w:color="002060"/>
              <w:left w:val="nil"/>
              <w:bottom w:val="single" w:sz="4" w:space="0" w:color="002060"/>
              <w:right w:val="nil"/>
            </w:tcBorders>
            <w:shd w:val="clear" w:color="auto" w:fill="auto"/>
            <w:vAlign w:val="center"/>
            <w:hideMark/>
          </w:tcPr>
          <w:p w14:paraId="32571543" w14:textId="77777777" w:rsidR="00BA4876" w:rsidRPr="00A37BCE" w:rsidRDefault="00BA4876" w:rsidP="00BA4876">
            <w:pPr>
              <w:spacing w:after="0" w:line="276" w:lineRule="auto"/>
              <w:jc w:val="center"/>
              <w:rPr>
                <w:rFonts w:eastAsia="Times New Roman" w:cstheme="minorHAnsi"/>
                <w:bCs/>
                <w:color w:val="002060"/>
                <w:sz w:val="18"/>
                <w:szCs w:val="18"/>
                <w:lang w:val="sr-Cyrl-RS"/>
              </w:rPr>
            </w:pPr>
            <w:r w:rsidRPr="00A37BCE">
              <w:rPr>
                <w:rFonts w:eastAsia="Times New Roman" w:cstheme="minorHAnsi"/>
                <w:bCs/>
                <w:color w:val="002060"/>
                <w:sz w:val="18"/>
                <w:szCs w:val="18"/>
                <w:lang w:val="sr-Cyrl-RS"/>
              </w:rPr>
              <w:t>Реализација 2017. година</w:t>
            </w:r>
          </w:p>
        </w:tc>
        <w:tc>
          <w:tcPr>
            <w:tcW w:w="841" w:type="pct"/>
            <w:tcBorders>
              <w:top w:val="single" w:sz="4" w:space="0" w:color="002060"/>
              <w:left w:val="nil"/>
              <w:bottom w:val="single" w:sz="4" w:space="0" w:color="002060"/>
              <w:right w:val="nil"/>
            </w:tcBorders>
            <w:shd w:val="clear" w:color="auto" w:fill="auto"/>
            <w:vAlign w:val="center"/>
            <w:hideMark/>
          </w:tcPr>
          <w:p w14:paraId="51D76FE6" w14:textId="2B2F0100" w:rsidR="00BA4876" w:rsidRPr="00A37BCE" w:rsidRDefault="00BA4876" w:rsidP="00BA4876">
            <w:pPr>
              <w:spacing w:after="0" w:line="276" w:lineRule="auto"/>
              <w:jc w:val="center"/>
              <w:rPr>
                <w:rFonts w:eastAsia="Times New Roman" w:cstheme="minorHAnsi"/>
                <w:bCs/>
                <w:color w:val="002060"/>
                <w:sz w:val="18"/>
                <w:szCs w:val="18"/>
                <w:lang w:val="sr-Cyrl-RS"/>
              </w:rPr>
            </w:pPr>
            <w:r w:rsidRPr="00A37BCE">
              <w:rPr>
                <w:rFonts w:eastAsia="Times New Roman" w:cstheme="minorHAnsi"/>
                <w:bCs/>
                <w:color w:val="002060"/>
                <w:sz w:val="18"/>
                <w:szCs w:val="18"/>
                <w:lang w:val="sr-Cyrl-RS"/>
              </w:rPr>
              <w:t>План                       1.1</w:t>
            </w:r>
            <w:r w:rsidR="007E753D" w:rsidRPr="007E753D">
              <w:rPr>
                <w:rFonts w:eastAsia="Times New Roman" w:cstheme="minorHAnsi"/>
                <w:bCs/>
                <w:color w:val="002060"/>
                <w:sz w:val="18"/>
                <w:szCs w:val="18"/>
                <w:lang w:val="sr-Cyrl-RS"/>
              </w:rPr>
              <w:t>–</w:t>
            </w:r>
            <w:r w:rsidRPr="00A37BCE">
              <w:rPr>
                <w:rFonts w:eastAsia="Times New Roman" w:cstheme="minorHAnsi"/>
                <w:bCs/>
                <w:color w:val="002060"/>
                <w:sz w:val="18"/>
                <w:szCs w:val="18"/>
                <w:lang w:val="sr-Cyrl-RS"/>
              </w:rPr>
              <w:t>30.6.2018.</w:t>
            </w:r>
          </w:p>
        </w:tc>
        <w:tc>
          <w:tcPr>
            <w:tcW w:w="841" w:type="pct"/>
            <w:tcBorders>
              <w:top w:val="single" w:sz="4" w:space="0" w:color="002060"/>
              <w:left w:val="nil"/>
              <w:bottom w:val="single" w:sz="4" w:space="0" w:color="002060"/>
              <w:right w:val="nil"/>
            </w:tcBorders>
            <w:shd w:val="clear" w:color="auto" w:fill="auto"/>
            <w:vAlign w:val="center"/>
            <w:hideMark/>
          </w:tcPr>
          <w:p w14:paraId="5886C1D8" w14:textId="77777777" w:rsidR="00EB0EE8" w:rsidRDefault="00BA4876" w:rsidP="00BA4876">
            <w:pPr>
              <w:spacing w:after="0" w:line="276" w:lineRule="auto"/>
              <w:jc w:val="center"/>
              <w:rPr>
                <w:rFonts w:eastAsia="Times New Roman" w:cstheme="minorHAnsi"/>
                <w:bCs/>
                <w:color w:val="002060"/>
                <w:sz w:val="18"/>
                <w:szCs w:val="18"/>
                <w:lang w:val="sr-Cyrl-RS"/>
              </w:rPr>
            </w:pPr>
            <w:r w:rsidRPr="00A37BCE">
              <w:rPr>
                <w:rFonts w:eastAsia="Times New Roman" w:cstheme="minorHAnsi"/>
                <w:bCs/>
                <w:color w:val="002060"/>
                <w:sz w:val="18"/>
                <w:szCs w:val="18"/>
                <w:lang w:val="sr-Cyrl-RS"/>
              </w:rPr>
              <w:t xml:space="preserve">Реализација  </w:t>
            </w:r>
          </w:p>
          <w:p w14:paraId="50ECAC1C" w14:textId="10A301BF" w:rsidR="00BA4876" w:rsidRPr="00A37BCE" w:rsidRDefault="00BA4876" w:rsidP="00BA4876">
            <w:pPr>
              <w:spacing w:after="0" w:line="276" w:lineRule="auto"/>
              <w:jc w:val="center"/>
              <w:rPr>
                <w:rFonts w:eastAsia="Times New Roman" w:cstheme="minorHAnsi"/>
                <w:bCs/>
                <w:color w:val="002060"/>
                <w:sz w:val="18"/>
                <w:szCs w:val="18"/>
                <w:lang w:val="sr-Cyrl-RS"/>
              </w:rPr>
            </w:pPr>
            <w:r w:rsidRPr="00A37BCE">
              <w:rPr>
                <w:rFonts w:eastAsia="Times New Roman" w:cstheme="minorHAnsi"/>
                <w:bCs/>
                <w:color w:val="002060"/>
                <w:sz w:val="18"/>
                <w:szCs w:val="18"/>
                <w:lang w:val="sr-Cyrl-RS"/>
              </w:rPr>
              <w:t>1.1</w:t>
            </w:r>
            <w:r w:rsidR="007E753D" w:rsidRPr="007E753D">
              <w:rPr>
                <w:rFonts w:eastAsia="Times New Roman" w:cstheme="minorHAnsi"/>
                <w:bCs/>
                <w:color w:val="002060"/>
                <w:sz w:val="18"/>
                <w:szCs w:val="18"/>
                <w:lang w:val="sr-Cyrl-RS"/>
              </w:rPr>
              <w:t>–</w:t>
            </w:r>
            <w:r w:rsidRPr="00A37BCE">
              <w:rPr>
                <w:rFonts w:eastAsia="Times New Roman" w:cstheme="minorHAnsi"/>
                <w:bCs/>
                <w:color w:val="002060"/>
                <w:sz w:val="18"/>
                <w:szCs w:val="18"/>
                <w:lang w:val="sr-Cyrl-RS"/>
              </w:rPr>
              <w:t>30.6.2018.</w:t>
            </w:r>
          </w:p>
        </w:tc>
      </w:tr>
      <w:tr w:rsidR="00BA4876" w:rsidRPr="00A37BCE" w14:paraId="42537605" w14:textId="77777777" w:rsidTr="00585AB5">
        <w:trPr>
          <w:trHeight w:val="20"/>
        </w:trPr>
        <w:tc>
          <w:tcPr>
            <w:tcW w:w="2476" w:type="pct"/>
            <w:tcBorders>
              <w:top w:val="single" w:sz="4" w:space="0" w:color="002060"/>
              <w:left w:val="nil"/>
              <w:bottom w:val="nil"/>
              <w:right w:val="nil"/>
            </w:tcBorders>
            <w:shd w:val="clear" w:color="auto" w:fill="auto"/>
            <w:vAlign w:val="center"/>
            <w:hideMark/>
          </w:tcPr>
          <w:p w14:paraId="13AFCBEA" w14:textId="67698E25"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Инфраструктура Железнице Србије</w:t>
            </w:r>
            <w:r w:rsidR="00585AB5">
              <w:rPr>
                <w:rStyle w:val="FootnoteReference"/>
                <w:rFonts w:eastAsia="Times New Roman" w:cstheme="minorHAnsi"/>
                <w:color w:val="002060"/>
                <w:sz w:val="18"/>
                <w:szCs w:val="18"/>
                <w:lang w:val="sr-Cyrl-RS"/>
              </w:rPr>
              <w:footnoteReference w:id="16"/>
            </w:r>
          </w:p>
        </w:tc>
        <w:tc>
          <w:tcPr>
            <w:tcW w:w="841" w:type="pct"/>
            <w:tcBorders>
              <w:top w:val="single" w:sz="4" w:space="0" w:color="002060"/>
              <w:left w:val="nil"/>
              <w:bottom w:val="nil"/>
              <w:right w:val="nil"/>
            </w:tcBorders>
            <w:shd w:val="clear" w:color="auto" w:fill="auto"/>
            <w:vAlign w:val="center"/>
            <w:hideMark/>
          </w:tcPr>
          <w:p w14:paraId="5A2E9E75"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-1.989.916</w:t>
            </w:r>
          </w:p>
        </w:tc>
        <w:tc>
          <w:tcPr>
            <w:tcW w:w="841" w:type="pct"/>
            <w:tcBorders>
              <w:top w:val="single" w:sz="4" w:space="0" w:color="002060"/>
              <w:left w:val="nil"/>
              <w:bottom w:val="nil"/>
              <w:right w:val="nil"/>
            </w:tcBorders>
            <w:shd w:val="clear" w:color="auto" w:fill="auto"/>
            <w:noWrap/>
            <w:vAlign w:val="center"/>
            <w:hideMark/>
          </w:tcPr>
          <w:p w14:paraId="4981CF29"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-2.029.928</w:t>
            </w:r>
          </w:p>
        </w:tc>
        <w:tc>
          <w:tcPr>
            <w:tcW w:w="841" w:type="pct"/>
            <w:tcBorders>
              <w:top w:val="single" w:sz="4" w:space="0" w:color="002060"/>
              <w:left w:val="nil"/>
              <w:bottom w:val="nil"/>
              <w:right w:val="nil"/>
            </w:tcBorders>
            <w:shd w:val="clear" w:color="auto" w:fill="auto"/>
            <w:noWrap/>
            <w:vAlign w:val="center"/>
            <w:hideMark/>
          </w:tcPr>
          <w:p w14:paraId="13F53DE0"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-1.290.009</w:t>
            </w:r>
          </w:p>
        </w:tc>
      </w:tr>
      <w:tr w:rsidR="00BA4876" w:rsidRPr="00A37BCE" w14:paraId="60FB3CA0" w14:textId="77777777" w:rsidTr="00585AB5">
        <w:trPr>
          <w:trHeight w:val="20"/>
        </w:trPr>
        <w:tc>
          <w:tcPr>
            <w:tcW w:w="2476" w:type="pct"/>
            <w:tcBorders>
              <w:top w:val="nil"/>
              <w:left w:val="nil"/>
              <w:bottom w:val="nil"/>
              <w:right w:val="nil"/>
            </w:tcBorders>
            <w:shd w:val="clear" w:color="auto" w:fill="auto"/>
            <w:noWrap/>
            <w:vAlign w:val="center"/>
            <w:hideMark/>
          </w:tcPr>
          <w:p w14:paraId="16E367C6" w14:textId="77777777"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ЈП ПЕУ Ресавица</w:t>
            </w:r>
          </w:p>
        </w:tc>
        <w:tc>
          <w:tcPr>
            <w:tcW w:w="841" w:type="pct"/>
            <w:tcBorders>
              <w:top w:val="nil"/>
              <w:left w:val="nil"/>
              <w:bottom w:val="nil"/>
              <w:right w:val="nil"/>
            </w:tcBorders>
            <w:shd w:val="clear" w:color="auto" w:fill="auto"/>
            <w:noWrap/>
            <w:vAlign w:val="center"/>
            <w:hideMark/>
          </w:tcPr>
          <w:p w14:paraId="2D10D51F"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-2.210.940</w:t>
            </w:r>
          </w:p>
        </w:tc>
        <w:tc>
          <w:tcPr>
            <w:tcW w:w="841" w:type="pct"/>
            <w:tcBorders>
              <w:top w:val="nil"/>
              <w:left w:val="nil"/>
              <w:bottom w:val="nil"/>
              <w:right w:val="nil"/>
            </w:tcBorders>
            <w:shd w:val="clear" w:color="auto" w:fill="auto"/>
            <w:noWrap/>
            <w:vAlign w:val="center"/>
            <w:hideMark/>
          </w:tcPr>
          <w:p w14:paraId="79CCD6F5"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-1.169.107</w:t>
            </w:r>
          </w:p>
        </w:tc>
        <w:tc>
          <w:tcPr>
            <w:tcW w:w="841" w:type="pct"/>
            <w:tcBorders>
              <w:top w:val="nil"/>
              <w:left w:val="nil"/>
              <w:bottom w:val="nil"/>
              <w:right w:val="nil"/>
            </w:tcBorders>
            <w:shd w:val="clear" w:color="auto" w:fill="auto"/>
            <w:noWrap/>
            <w:vAlign w:val="center"/>
            <w:hideMark/>
          </w:tcPr>
          <w:p w14:paraId="425F66E5"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-953.087</w:t>
            </w:r>
          </w:p>
        </w:tc>
      </w:tr>
      <w:tr w:rsidR="00BA4876" w:rsidRPr="00A37BCE" w14:paraId="026E2D00" w14:textId="77777777" w:rsidTr="00585AB5">
        <w:trPr>
          <w:trHeight w:val="20"/>
        </w:trPr>
        <w:tc>
          <w:tcPr>
            <w:tcW w:w="2476" w:type="pct"/>
            <w:tcBorders>
              <w:top w:val="nil"/>
              <w:left w:val="nil"/>
              <w:bottom w:val="nil"/>
              <w:right w:val="nil"/>
            </w:tcBorders>
            <w:shd w:val="clear" w:color="auto" w:fill="auto"/>
            <w:vAlign w:val="center"/>
            <w:hideMark/>
          </w:tcPr>
          <w:p w14:paraId="2151B35F" w14:textId="44C763EB"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Србија Воз а.</w:t>
            </w:r>
            <w:r w:rsidR="00EB0EE8">
              <w:rPr>
                <w:rFonts w:eastAsia="Times New Roman" w:cstheme="minorHAnsi"/>
                <w:color w:val="002060"/>
                <w:sz w:val="18"/>
                <w:szCs w:val="18"/>
                <w:lang w:val="sr-Cyrl-RS"/>
              </w:rPr>
              <w:t xml:space="preserve"> </w:t>
            </w:r>
            <w:r w:rsidRPr="00A37BCE">
              <w:rPr>
                <w:rFonts w:eastAsia="Times New Roman" w:cstheme="minorHAnsi"/>
                <w:color w:val="002060"/>
                <w:sz w:val="18"/>
                <w:szCs w:val="18"/>
                <w:lang w:val="sr-Cyrl-RS"/>
              </w:rPr>
              <w:t>д.</w:t>
            </w:r>
          </w:p>
        </w:tc>
        <w:tc>
          <w:tcPr>
            <w:tcW w:w="841" w:type="pct"/>
            <w:tcBorders>
              <w:top w:val="nil"/>
              <w:left w:val="nil"/>
              <w:bottom w:val="nil"/>
              <w:right w:val="nil"/>
            </w:tcBorders>
            <w:shd w:val="clear" w:color="auto" w:fill="auto"/>
            <w:vAlign w:val="center"/>
            <w:hideMark/>
          </w:tcPr>
          <w:p w14:paraId="565B16E8"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-638.171</w:t>
            </w:r>
          </w:p>
        </w:tc>
        <w:tc>
          <w:tcPr>
            <w:tcW w:w="841" w:type="pct"/>
            <w:tcBorders>
              <w:top w:val="nil"/>
              <w:left w:val="nil"/>
              <w:bottom w:val="nil"/>
              <w:right w:val="nil"/>
            </w:tcBorders>
            <w:shd w:val="clear" w:color="auto" w:fill="auto"/>
            <w:noWrap/>
            <w:vAlign w:val="center"/>
            <w:hideMark/>
          </w:tcPr>
          <w:p w14:paraId="7F8AA27C"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-552.267</w:t>
            </w:r>
          </w:p>
        </w:tc>
        <w:tc>
          <w:tcPr>
            <w:tcW w:w="841" w:type="pct"/>
            <w:tcBorders>
              <w:top w:val="nil"/>
              <w:left w:val="nil"/>
              <w:bottom w:val="nil"/>
              <w:right w:val="nil"/>
            </w:tcBorders>
            <w:shd w:val="clear" w:color="auto" w:fill="auto"/>
            <w:noWrap/>
            <w:vAlign w:val="center"/>
            <w:hideMark/>
          </w:tcPr>
          <w:p w14:paraId="048877F2"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-373.381</w:t>
            </w:r>
          </w:p>
        </w:tc>
      </w:tr>
      <w:tr w:rsidR="00BA4876" w:rsidRPr="00A37BCE" w14:paraId="100836C2" w14:textId="77777777" w:rsidTr="00585AB5">
        <w:trPr>
          <w:trHeight w:val="20"/>
        </w:trPr>
        <w:tc>
          <w:tcPr>
            <w:tcW w:w="2476" w:type="pct"/>
            <w:tcBorders>
              <w:top w:val="nil"/>
              <w:left w:val="nil"/>
              <w:bottom w:val="nil"/>
              <w:right w:val="nil"/>
            </w:tcBorders>
            <w:shd w:val="clear" w:color="auto" w:fill="auto"/>
            <w:noWrap/>
            <w:vAlign w:val="center"/>
            <w:hideMark/>
          </w:tcPr>
          <w:p w14:paraId="57C1014F" w14:textId="77777777"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 xml:space="preserve">ЈП Завод за уџбенике </w:t>
            </w:r>
          </w:p>
        </w:tc>
        <w:tc>
          <w:tcPr>
            <w:tcW w:w="841" w:type="pct"/>
            <w:tcBorders>
              <w:top w:val="nil"/>
              <w:left w:val="nil"/>
              <w:bottom w:val="nil"/>
              <w:right w:val="nil"/>
            </w:tcBorders>
            <w:shd w:val="clear" w:color="auto" w:fill="auto"/>
            <w:noWrap/>
            <w:vAlign w:val="center"/>
            <w:hideMark/>
          </w:tcPr>
          <w:p w14:paraId="225C2944"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-290.038</w:t>
            </w:r>
          </w:p>
        </w:tc>
        <w:tc>
          <w:tcPr>
            <w:tcW w:w="841" w:type="pct"/>
            <w:tcBorders>
              <w:top w:val="nil"/>
              <w:left w:val="nil"/>
              <w:bottom w:val="nil"/>
              <w:right w:val="nil"/>
            </w:tcBorders>
            <w:shd w:val="clear" w:color="auto" w:fill="auto"/>
            <w:noWrap/>
            <w:vAlign w:val="center"/>
            <w:hideMark/>
          </w:tcPr>
          <w:p w14:paraId="44A7DFF5"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-43.849</w:t>
            </w:r>
          </w:p>
        </w:tc>
        <w:tc>
          <w:tcPr>
            <w:tcW w:w="841" w:type="pct"/>
            <w:tcBorders>
              <w:top w:val="nil"/>
              <w:left w:val="nil"/>
              <w:bottom w:val="nil"/>
              <w:right w:val="nil"/>
            </w:tcBorders>
            <w:shd w:val="clear" w:color="auto" w:fill="auto"/>
            <w:noWrap/>
            <w:vAlign w:val="center"/>
            <w:hideMark/>
          </w:tcPr>
          <w:p w14:paraId="77479411"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-205.408</w:t>
            </w:r>
          </w:p>
        </w:tc>
      </w:tr>
      <w:tr w:rsidR="00BA4876" w:rsidRPr="00A37BCE" w14:paraId="61071052" w14:textId="77777777" w:rsidTr="00585AB5">
        <w:trPr>
          <w:trHeight w:val="20"/>
        </w:trPr>
        <w:tc>
          <w:tcPr>
            <w:tcW w:w="2476" w:type="pct"/>
            <w:tcBorders>
              <w:top w:val="nil"/>
              <w:left w:val="nil"/>
              <w:bottom w:val="nil"/>
              <w:right w:val="nil"/>
            </w:tcBorders>
            <w:shd w:val="clear" w:color="auto" w:fill="auto"/>
            <w:vAlign w:val="center"/>
            <w:hideMark/>
          </w:tcPr>
          <w:p w14:paraId="26295737" w14:textId="77777777"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ЈП за склоништа</w:t>
            </w:r>
          </w:p>
        </w:tc>
        <w:tc>
          <w:tcPr>
            <w:tcW w:w="841" w:type="pct"/>
            <w:tcBorders>
              <w:top w:val="nil"/>
              <w:left w:val="nil"/>
              <w:bottom w:val="nil"/>
              <w:right w:val="nil"/>
            </w:tcBorders>
            <w:shd w:val="clear" w:color="auto" w:fill="auto"/>
            <w:vAlign w:val="center"/>
            <w:hideMark/>
          </w:tcPr>
          <w:p w14:paraId="1B03AF4D"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-117.925</w:t>
            </w:r>
          </w:p>
        </w:tc>
        <w:tc>
          <w:tcPr>
            <w:tcW w:w="841" w:type="pct"/>
            <w:tcBorders>
              <w:top w:val="nil"/>
              <w:left w:val="nil"/>
              <w:bottom w:val="nil"/>
              <w:right w:val="nil"/>
            </w:tcBorders>
            <w:shd w:val="clear" w:color="auto" w:fill="auto"/>
            <w:noWrap/>
            <w:vAlign w:val="center"/>
            <w:hideMark/>
          </w:tcPr>
          <w:p w14:paraId="7768DA09"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-69.795</w:t>
            </w:r>
          </w:p>
        </w:tc>
        <w:tc>
          <w:tcPr>
            <w:tcW w:w="841" w:type="pct"/>
            <w:tcBorders>
              <w:top w:val="nil"/>
              <w:left w:val="nil"/>
              <w:bottom w:val="nil"/>
              <w:right w:val="nil"/>
            </w:tcBorders>
            <w:shd w:val="clear" w:color="auto" w:fill="auto"/>
            <w:noWrap/>
            <w:vAlign w:val="center"/>
            <w:hideMark/>
          </w:tcPr>
          <w:p w14:paraId="0C818CE6"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-48.139</w:t>
            </w:r>
          </w:p>
        </w:tc>
      </w:tr>
      <w:tr w:rsidR="00BA4876" w:rsidRPr="00A37BCE" w14:paraId="3AFFBFE3" w14:textId="77777777" w:rsidTr="00585AB5">
        <w:trPr>
          <w:trHeight w:val="20"/>
        </w:trPr>
        <w:tc>
          <w:tcPr>
            <w:tcW w:w="2476" w:type="pct"/>
            <w:tcBorders>
              <w:top w:val="nil"/>
              <w:left w:val="nil"/>
              <w:bottom w:val="nil"/>
              <w:right w:val="nil"/>
            </w:tcBorders>
            <w:shd w:val="clear" w:color="auto" w:fill="auto"/>
            <w:noWrap/>
            <w:vAlign w:val="center"/>
            <w:hideMark/>
          </w:tcPr>
          <w:p w14:paraId="6709FF8A" w14:textId="77777777"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JП Емисиона техника и везе</w:t>
            </w:r>
          </w:p>
        </w:tc>
        <w:tc>
          <w:tcPr>
            <w:tcW w:w="841" w:type="pct"/>
            <w:tcBorders>
              <w:top w:val="nil"/>
              <w:left w:val="nil"/>
              <w:bottom w:val="nil"/>
              <w:right w:val="nil"/>
            </w:tcBorders>
            <w:shd w:val="clear" w:color="auto" w:fill="auto"/>
            <w:noWrap/>
            <w:vAlign w:val="center"/>
            <w:hideMark/>
          </w:tcPr>
          <w:p w14:paraId="059D449A"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7.898</w:t>
            </w:r>
          </w:p>
        </w:tc>
        <w:tc>
          <w:tcPr>
            <w:tcW w:w="841" w:type="pct"/>
            <w:tcBorders>
              <w:top w:val="nil"/>
              <w:left w:val="nil"/>
              <w:bottom w:val="nil"/>
              <w:right w:val="nil"/>
            </w:tcBorders>
            <w:shd w:val="clear" w:color="auto" w:fill="auto"/>
            <w:noWrap/>
            <w:vAlign w:val="center"/>
            <w:hideMark/>
          </w:tcPr>
          <w:p w14:paraId="7D5D77E5"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2.334</w:t>
            </w:r>
          </w:p>
        </w:tc>
        <w:tc>
          <w:tcPr>
            <w:tcW w:w="841" w:type="pct"/>
            <w:tcBorders>
              <w:top w:val="nil"/>
              <w:left w:val="nil"/>
              <w:bottom w:val="nil"/>
              <w:right w:val="nil"/>
            </w:tcBorders>
            <w:shd w:val="clear" w:color="auto" w:fill="auto"/>
            <w:noWrap/>
            <w:vAlign w:val="center"/>
            <w:hideMark/>
          </w:tcPr>
          <w:p w14:paraId="05CD95FD"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-36.934</w:t>
            </w:r>
          </w:p>
        </w:tc>
      </w:tr>
      <w:tr w:rsidR="00BA4876" w:rsidRPr="00A37BCE" w14:paraId="7FF060EE" w14:textId="77777777" w:rsidTr="00585AB5">
        <w:trPr>
          <w:trHeight w:val="20"/>
        </w:trPr>
        <w:tc>
          <w:tcPr>
            <w:tcW w:w="2476" w:type="pct"/>
            <w:tcBorders>
              <w:top w:val="nil"/>
              <w:left w:val="nil"/>
              <w:bottom w:val="nil"/>
              <w:right w:val="nil"/>
            </w:tcBorders>
            <w:shd w:val="clear" w:color="auto" w:fill="auto"/>
            <w:vAlign w:val="center"/>
            <w:hideMark/>
          </w:tcPr>
          <w:p w14:paraId="00712B0E" w14:textId="77777777"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ЈВП Србијаводе</w:t>
            </w:r>
          </w:p>
        </w:tc>
        <w:tc>
          <w:tcPr>
            <w:tcW w:w="841" w:type="pct"/>
            <w:tcBorders>
              <w:top w:val="nil"/>
              <w:left w:val="nil"/>
              <w:bottom w:val="nil"/>
              <w:right w:val="nil"/>
            </w:tcBorders>
            <w:shd w:val="clear" w:color="auto" w:fill="auto"/>
            <w:vAlign w:val="center"/>
            <w:hideMark/>
          </w:tcPr>
          <w:p w14:paraId="108D656C"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26.352</w:t>
            </w:r>
          </w:p>
        </w:tc>
        <w:tc>
          <w:tcPr>
            <w:tcW w:w="841" w:type="pct"/>
            <w:tcBorders>
              <w:top w:val="nil"/>
              <w:left w:val="nil"/>
              <w:bottom w:val="nil"/>
              <w:right w:val="nil"/>
            </w:tcBorders>
            <w:shd w:val="clear" w:color="auto" w:fill="auto"/>
            <w:noWrap/>
            <w:vAlign w:val="center"/>
            <w:hideMark/>
          </w:tcPr>
          <w:p w14:paraId="1B788F98"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-52.132</w:t>
            </w:r>
          </w:p>
        </w:tc>
        <w:tc>
          <w:tcPr>
            <w:tcW w:w="841" w:type="pct"/>
            <w:tcBorders>
              <w:top w:val="nil"/>
              <w:left w:val="nil"/>
              <w:bottom w:val="nil"/>
              <w:right w:val="nil"/>
            </w:tcBorders>
            <w:shd w:val="clear" w:color="auto" w:fill="auto"/>
            <w:noWrap/>
            <w:vAlign w:val="center"/>
            <w:hideMark/>
          </w:tcPr>
          <w:p w14:paraId="7B297166"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-29.454</w:t>
            </w:r>
          </w:p>
        </w:tc>
      </w:tr>
      <w:tr w:rsidR="00BA4876" w:rsidRPr="00A37BCE" w14:paraId="0499422A" w14:textId="77777777" w:rsidTr="00585AB5">
        <w:trPr>
          <w:trHeight w:val="20"/>
        </w:trPr>
        <w:tc>
          <w:tcPr>
            <w:tcW w:w="2476" w:type="pct"/>
            <w:tcBorders>
              <w:top w:val="nil"/>
              <w:left w:val="nil"/>
              <w:bottom w:val="nil"/>
              <w:right w:val="nil"/>
            </w:tcBorders>
            <w:shd w:val="clear" w:color="auto" w:fill="auto"/>
            <w:vAlign w:val="center"/>
            <w:hideMark/>
          </w:tcPr>
          <w:p w14:paraId="43C39142" w14:textId="77777777"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ЈП Стара планина</w:t>
            </w:r>
          </w:p>
        </w:tc>
        <w:tc>
          <w:tcPr>
            <w:tcW w:w="841" w:type="pct"/>
            <w:tcBorders>
              <w:top w:val="nil"/>
              <w:left w:val="nil"/>
              <w:bottom w:val="nil"/>
              <w:right w:val="nil"/>
            </w:tcBorders>
            <w:shd w:val="clear" w:color="auto" w:fill="auto"/>
            <w:vAlign w:val="center"/>
            <w:hideMark/>
          </w:tcPr>
          <w:p w14:paraId="40A86220"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-22.980</w:t>
            </w:r>
          </w:p>
        </w:tc>
        <w:tc>
          <w:tcPr>
            <w:tcW w:w="841" w:type="pct"/>
            <w:tcBorders>
              <w:top w:val="nil"/>
              <w:left w:val="nil"/>
              <w:bottom w:val="nil"/>
              <w:right w:val="nil"/>
            </w:tcBorders>
            <w:shd w:val="clear" w:color="auto" w:fill="auto"/>
            <w:noWrap/>
            <w:vAlign w:val="center"/>
            <w:hideMark/>
          </w:tcPr>
          <w:p w14:paraId="16C9349A"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3.301</w:t>
            </w:r>
          </w:p>
        </w:tc>
        <w:tc>
          <w:tcPr>
            <w:tcW w:w="841" w:type="pct"/>
            <w:tcBorders>
              <w:top w:val="nil"/>
              <w:left w:val="nil"/>
              <w:bottom w:val="nil"/>
              <w:right w:val="nil"/>
            </w:tcBorders>
            <w:shd w:val="clear" w:color="auto" w:fill="auto"/>
            <w:noWrap/>
            <w:vAlign w:val="center"/>
            <w:hideMark/>
          </w:tcPr>
          <w:p w14:paraId="3FF3BCA8"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-12.673</w:t>
            </w:r>
          </w:p>
        </w:tc>
      </w:tr>
      <w:tr w:rsidR="00BA4876" w:rsidRPr="00A37BCE" w14:paraId="19A72952" w14:textId="77777777" w:rsidTr="00585AB5">
        <w:trPr>
          <w:trHeight w:val="20"/>
        </w:trPr>
        <w:tc>
          <w:tcPr>
            <w:tcW w:w="2476" w:type="pct"/>
            <w:tcBorders>
              <w:top w:val="nil"/>
              <w:left w:val="nil"/>
              <w:bottom w:val="nil"/>
              <w:right w:val="nil"/>
            </w:tcBorders>
            <w:shd w:val="clear" w:color="auto" w:fill="auto"/>
            <w:vAlign w:val="center"/>
            <w:hideMark/>
          </w:tcPr>
          <w:p w14:paraId="068C0387" w14:textId="30E58395"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Парк природе Мокра гора д.</w:t>
            </w:r>
            <w:r w:rsidR="00EB0EE8">
              <w:rPr>
                <w:rFonts w:eastAsia="Times New Roman" w:cstheme="minorHAnsi"/>
                <w:color w:val="002060"/>
                <w:sz w:val="18"/>
                <w:szCs w:val="18"/>
                <w:lang w:val="sr-Cyrl-RS"/>
              </w:rPr>
              <w:t xml:space="preserve"> </w:t>
            </w:r>
            <w:r w:rsidRPr="00A37BCE">
              <w:rPr>
                <w:rFonts w:eastAsia="Times New Roman" w:cstheme="minorHAnsi"/>
                <w:color w:val="002060"/>
                <w:sz w:val="18"/>
                <w:szCs w:val="18"/>
                <w:lang w:val="sr-Cyrl-RS"/>
              </w:rPr>
              <w:t>о.</w:t>
            </w:r>
            <w:r w:rsidR="00EB0EE8">
              <w:rPr>
                <w:rFonts w:eastAsia="Times New Roman" w:cstheme="minorHAnsi"/>
                <w:color w:val="002060"/>
                <w:sz w:val="18"/>
                <w:szCs w:val="18"/>
                <w:lang w:val="sr-Cyrl-RS"/>
              </w:rPr>
              <w:t xml:space="preserve"> </w:t>
            </w:r>
            <w:r w:rsidRPr="00A37BCE">
              <w:rPr>
                <w:rFonts w:eastAsia="Times New Roman" w:cstheme="minorHAnsi"/>
                <w:color w:val="002060"/>
                <w:sz w:val="18"/>
                <w:szCs w:val="18"/>
                <w:lang w:val="sr-Cyrl-RS"/>
              </w:rPr>
              <w:t>о.</w:t>
            </w:r>
          </w:p>
        </w:tc>
        <w:tc>
          <w:tcPr>
            <w:tcW w:w="841" w:type="pct"/>
            <w:tcBorders>
              <w:top w:val="nil"/>
              <w:left w:val="nil"/>
              <w:bottom w:val="nil"/>
              <w:right w:val="nil"/>
            </w:tcBorders>
            <w:shd w:val="clear" w:color="auto" w:fill="auto"/>
            <w:vAlign w:val="center"/>
            <w:hideMark/>
          </w:tcPr>
          <w:p w14:paraId="44700359"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110</w:t>
            </w:r>
          </w:p>
        </w:tc>
        <w:tc>
          <w:tcPr>
            <w:tcW w:w="841" w:type="pct"/>
            <w:tcBorders>
              <w:top w:val="nil"/>
              <w:left w:val="nil"/>
              <w:bottom w:val="nil"/>
              <w:right w:val="nil"/>
            </w:tcBorders>
            <w:shd w:val="clear" w:color="auto" w:fill="auto"/>
            <w:noWrap/>
            <w:vAlign w:val="center"/>
            <w:hideMark/>
          </w:tcPr>
          <w:p w14:paraId="183D34BE"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1.511</w:t>
            </w:r>
          </w:p>
        </w:tc>
        <w:tc>
          <w:tcPr>
            <w:tcW w:w="841" w:type="pct"/>
            <w:tcBorders>
              <w:top w:val="nil"/>
              <w:left w:val="nil"/>
              <w:bottom w:val="nil"/>
              <w:right w:val="nil"/>
            </w:tcBorders>
            <w:shd w:val="clear" w:color="auto" w:fill="auto"/>
            <w:noWrap/>
            <w:vAlign w:val="center"/>
            <w:hideMark/>
          </w:tcPr>
          <w:p w14:paraId="7F1D1478"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-4.000</w:t>
            </w:r>
          </w:p>
        </w:tc>
      </w:tr>
      <w:tr w:rsidR="00BA4876" w:rsidRPr="00A37BCE" w14:paraId="477E444D" w14:textId="77777777" w:rsidTr="00585AB5">
        <w:trPr>
          <w:trHeight w:val="20"/>
        </w:trPr>
        <w:tc>
          <w:tcPr>
            <w:tcW w:w="2476" w:type="pct"/>
            <w:tcBorders>
              <w:top w:val="nil"/>
              <w:left w:val="nil"/>
              <w:bottom w:val="nil"/>
              <w:right w:val="nil"/>
            </w:tcBorders>
            <w:shd w:val="clear" w:color="auto" w:fill="auto"/>
            <w:vAlign w:val="center"/>
            <w:hideMark/>
          </w:tcPr>
          <w:p w14:paraId="3CE8EDA8" w14:textId="4047CA26"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Резерват Увац д.</w:t>
            </w:r>
            <w:r w:rsidR="00EB0EE8">
              <w:rPr>
                <w:rFonts w:eastAsia="Times New Roman" w:cstheme="minorHAnsi"/>
                <w:color w:val="002060"/>
                <w:sz w:val="18"/>
                <w:szCs w:val="18"/>
                <w:lang w:val="sr-Cyrl-RS"/>
              </w:rPr>
              <w:t xml:space="preserve"> </w:t>
            </w:r>
            <w:r w:rsidRPr="00A37BCE">
              <w:rPr>
                <w:rFonts w:eastAsia="Times New Roman" w:cstheme="minorHAnsi"/>
                <w:color w:val="002060"/>
                <w:sz w:val="18"/>
                <w:szCs w:val="18"/>
                <w:lang w:val="sr-Cyrl-RS"/>
              </w:rPr>
              <w:t>о.</w:t>
            </w:r>
            <w:r w:rsidR="00EB0EE8">
              <w:rPr>
                <w:rFonts w:eastAsia="Times New Roman" w:cstheme="minorHAnsi"/>
                <w:color w:val="002060"/>
                <w:sz w:val="18"/>
                <w:szCs w:val="18"/>
                <w:lang w:val="sr-Cyrl-RS"/>
              </w:rPr>
              <w:t xml:space="preserve"> </w:t>
            </w:r>
            <w:r w:rsidRPr="00A37BCE">
              <w:rPr>
                <w:rFonts w:eastAsia="Times New Roman" w:cstheme="minorHAnsi"/>
                <w:color w:val="002060"/>
                <w:sz w:val="18"/>
                <w:szCs w:val="18"/>
                <w:lang w:val="sr-Cyrl-RS"/>
              </w:rPr>
              <w:t>о.</w:t>
            </w:r>
          </w:p>
        </w:tc>
        <w:tc>
          <w:tcPr>
            <w:tcW w:w="841" w:type="pct"/>
            <w:tcBorders>
              <w:top w:val="nil"/>
              <w:left w:val="nil"/>
              <w:bottom w:val="nil"/>
              <w:right w:val="nil"/>
            </w:tcBorders>
            <w:shd w:val="clear" w:color="auto" w:fill="auto"/>
            <w:noWrap/>
            <w:vAlign w:val="center"/>
            <w:hideMark/>
          </w:tcPr>
          <w:p w14:paraId="4EF208B8"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1.060</w:t>
            </w:r>
          </w:p>
        </w:tc>
        <w:tc>
          <w:tcPr>
            <w:tcW w:w="841" w:type="pct"/>
            <w:tcBorders>
              <w:top w:val="nil"/>
              <w:left w:val="nil"/>
              <w:bottom w:val="nil"/>
              <w:right w:val="nil"/>
            </w:tcBorders>
            <w:shd w:val="clear" w:color="auto" w:fill="auto"/>
            <w:noWrap/>
            <w:vAlign w:val="center"/>
            <w:hideMark/>
          </w:tcPr>
          <w:p w14:paraId="364547A5"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1.710</w:t>
            </w:r>
          </w:p>
        </w:tc>
        <w:tc>
          <w:tcPr>
            <w:tcW w:w="841" w:type="pct"/>
            <w:tcBorders>
              <w:top w:val="nil"/>
              <w:left w:val="nil"/>
              <w:bottom w:val="nil"/>
              <w:right w:val="nil"/>
            </w:tcBorders>
            <w:shd w:val="clear" w:color="auto" w:fill="auto"/>
            <w:noWrap/>
            <w:vAlign w:val="center"/>
            <w:hideMark/>
          </w:tcPr>
          <w:p w14:paraId="1ADA65C0"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-3.754</w:t>
            </w:r>
          </w:p>
        </w:tc>
      </w:tr>
      <w:tr w:rsidR="00BA4876" w:rsidRPr="00A37BCE" w14:paraId="0C9A9825" w14:textId="77777777" w:rsidTr="00585AB5">
        <w:trPr>
          <w:trHeight w:val="20"/>
        </w:trPr>
        <w:tc>
          <w:tcPr>
            <w:tcW w:w="2476" w:type="pct"/>
            <w:tcBorders>
              <w:top w:val="nil"/>
              <w:left w:val="nil"/>
              <w:bottom w:val="single" w:sz="4" w:space="0" w:color="002060"/>
              <w:right w:val="nil"/>
            </w:tcBorders>
            <w:shd w:val="clear" w:color="auto" w:fill="auto"/>
            <w:noWrap/>
            <w:vAlign w:val="center"/>
            <w:hideMark/>
          </w:tcPr>
          <w:p w14:paraId="520F17BC" w14:textId="5F79AAD2" w:rsidR="00BA4876" w:rsidRPr="00A37BCE" w:rsidRDefault="00BA4876" w:rsidP="00BA4876">
            <w:pPr>
              <w:spacing w:after="0" w:line="276" w:lineRule="auto"/>
              <w:jc w:val="both"/>
              <w:rPr>
                <w:rFonts w:eastAsia="Times New Roman" w:cstheme="minorHAnsi"/>
                <w:color w:val="002060"/>
                <w:sz w:val="18"/>
                <w:szCs w:val="18"/>
                <w:lang w:val="sr-Cyrl-RS"/>
              </w:rPr>
            </w:pPr>
            <w:r w:rsidRPr="00A37BCE">
              <w:rPr>
                <w:rFonts w:eastAsia="Times New Roman" w:cstheme="minorHAnsi"/>
                <w:color w:val="002060"/>
                <w:sz w:val="18"/>
                <w:szCs w:val="18"/>
                <w:lang w:val="sr-Cyrl-RS"/>
              </w:rPr>
              <w:t>Тврђава Голубачки град д.</w:t>
            </w:r>
            <w:r w:rsidR="00EB0EE8">
              <w:rPr>
                <w:rFonts w:eastAsia="Times New Roman" w:cstheme="minorHAnsi"/>
                <w:color w:val="002060"/>
                <w:sz w:val="18"/>
                <w:szCs w:val="18"/>
                <w:lang w:val="sr-Cyrl-RS"/>
              </w:rPr>
              <w:t xml:space="preserve"> </w:t>
            </w:r>
            <w:r w:rsidRPr="00A37BCE">
              <w:rPr>
                <w:rFonts w:eastAsia="Times New Roman" w:cstheme="minorHAnsi"/>
                <w:color w:val="002060"/>
                <w:sz w:val="18"/>
                <w:szCs w:val="18"/>
                <w:lang w:val="sr-Cyrl-RS"/>
              </w:rPr>
              <w:t>о.</w:t>
            </w:r>
            <w:r w:rsidR="00EB0EE8">
              <w:rPr>
                <w:rFonts w:eastAsia="Times New Roman" w:cstheme="minorHAnsi"/>
                <w:color w:val="002060"/>
                <w:sz w:val="18"/>
                <w:szCs w:val="18"/>
                <w:lang w:val="sr-Cyrl-RS"/>
              </w:rPr>
              <w:t xml:space="preserve"> </w:t>
            </w:r>
            <w:r w:rsidRPr="00A37BCE">
              <w:rPr>
                <w:rFonts w:eastAsia="Times New Roman" w:cstheme="minorHAnsi"/>
                <w:color w:val="002060"/>
                <w:sz w:val="18"/>
                <w:szCs w:val="18"/>
                <w:lang w:val="sr-Cyrl-RS"/>
              </w:rPr>
              <w:t>о.</w:t>
            </w:r>
          </w:p>
        </w:tc>
        <w:tc>
          <w:tcPr>
            <w:tcW w:w="841" w:type="pct"/>
            <w:tcBorders>
              <w:top w:val="nil"/>
              <w:left w:val="nil"/>
              <w:bottom w:val="single" w:sz="4" w:space="0" w:color="002060"/>
              <w:right w:val="nil"/>
            </w:tcBorders>
            <w:shd w:val="clear" w:color="auto" w:fill="auto"/>
            <w:noWrap/>
            <w:vAlign w:val="center"/>
            <w:hideMark/>
          </w:tcPr>
          <w:p w14:paraId="280E785E"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285</w:t>
            </w:r>
          </w:p>
        </w:tc>
        <w:tc>
          <w:tcPr>
            <w:tcW w:w="841" w:type="pct"/>
            <w:tcBorders>
              <w:top w:val="nil"/>
              <w:left w:val="nil"/>
              <w:bottom w:val="single" w:sz="4" w:space="0" w:color="002060"/>
              <w:right w:val="nil"/>
            </w:tcBorders>
            <w:shd w:val="clear" w:color="auto" w:fill="auto"/>
            <w:noWrap/>
            <w:vAlign w:val="center"/>
            <w:hideMark/>
          </w:tcPr>
          <w:p w14:paraId="4E2C654C"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0</w:t>
            </w:r>
          </w:p>
        </w:tc>
        <w:tc>
          <w:tcPr>
            <w:tcW w:w="841" w:type="pct"/>
            <w:tcBorders>
              <w:top w:val="nil"/>
              <w:left w:val="nil"/>
              <w:bottom w:val="single" w:sz="4" w:space="0" w:color="002060"/>
              <w:right w:val="nil"/>
            </w:tcBorders>
            <w:shd w:val="clear" w:color="auto" w:fill="auto"/>
            <w:noWrap/>
            <w:vAlign w:val="center"/>
            <w:hideMark/>
          </w:tcPr>
          <w:p w14:paraId="1836E276"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-2.327</w:t>
            </w:r>
          </w:p>
        </w:tc>
      </w:tr>
      <w:tr w:rsidR="00BA4876" w:rsidRPr="00A37BCE" w14:paraId="43B4A8C3" w14:textId="77777777" w:rsidTr="00585AB5">
        <w:trPr>
          <w:trHeight w:val="20"/>
        </w:trPr>
        <w:tc>
          <w:tcPr>
            <w:tcW w:w="2476" w:type="pct"/>
            <w:tcBorders>
              <w:top w:val="single" w:sz="4" w:space="0" w:color="002060"/>
              <w:left w:val="nil"/>
              <w:bottom w:val="single" w:sz="4" w:space="0" w:color="002060"/>
              <w:right w:val="nil"/>
            </w:tcBorders>
            <w:shd w:val="clear" w:color="auto" w:fill="auto"/>
            <w:noWrap/>
            <w:vAlign w:val="center"/>
            <w:hideMark/>
          </w:tcPr>
          <w:p w14:paraId="21CB7DAA" w14:textId="77777777" w:rsidR="00BA4876" w:rsidRPr="00A37BCE" w:rsidRDefault="00BA4876" w:rsidP="00BA4876">
            <w:pPr>
              <w:spacing w:after="0" w:line="276" w:lineRule="auto"/>
              <w:jc w:val="both"/>
              <w:rPr>
                <w:rFonts w:eastAsia="Times New Roman" w:cstheme="minorHAnsi"/>
                <w:bCs/>
                <w:color w:val="002060"/>
                <w:sz w:val="18"/>
                <w:szCs w:val="18"/>
                <w:lang w:val="sr-Cyrl-RS"/>
              </w:rPr>
            </w:pPr>
            <w:r w:rsidRPr="00A37BCE">
              <w:rPr>
                <w:rFonts w:eastAsia="Times New Roman" w:cstheme="minorHAnsi"/>
                <w:bCs/>
                <w:color w:val="002060"/>
                <w:sz w:val="18"/>
                <w:szCs w:val="18"/>
                <w:lang w:val="sr-Cyrl-RS"/>
              </w:rPr>
              <w:t>Укупно</w:t>
            </w:r>
          </w:p>
        </w:tc>
        <w:tc>
          <w:tcPr>
            <w:tcW w:w="841" w:type="pct"/>
            <w:tcBorders>
              <w:top w:val="single" w:sz="4" w:space="0" w:color="002060"/>
              <w:left w:val="nil"/>
              <w:bottom w:val="single" w:sz="4" w:space="0" w:color="002060"/>
              <w:right w:val="nil"/>
            </w:tcBorders>
            <w:shd w:val="clear" w:color="auto" w:fill="auto"/>
            <w:noWrap/>
            <w:vAlign w:val="center"/>
            <w:hideMark/>
          </w:tcPr>
          <w:p w14:paraId="16A09B68"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-5.234.265</w:t>
            </w:r>
          </w:p>
        </w:tc>
        <w:tc>
          <w:tcPr>
            <w:tcW w:w="841" w:type="pct"/>
            <w:tcBorders>
              <w:top w:val="single" w:sz="4" w:space="0" w:color="002060"/>
              <w:left w:val="nil"/>
              <w:bottom w:val="single" w:sz="4" w:space="0" w:color="002060"/>
              <w:right w:val="nil"/>
            </w:tcBorders>
            <w:shd w:val="clear" w:color="auto" w:fill="auto"/>
            <w:noWrap/>
            <w:vAlign w:val="center"/>
            <w:hideMark/>
          </w:tcPr>
          <w:p w14:paraId="2A76A48C"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-3.908.222</w:t>
            </w:r>
          </w:p>
        </w:tc>
        <w:tc>
          <w:tcPr>
            <w:tcW w:w="841" w:type="pct"/>
            <w:tcBorders>
              <w:top w:val="single" w:sz="4" w:space="0" w:color="002060"/>
              <w:left w:val="nil"/>
              <w:bottom w:val="single" w:sz="4" w:space="0" w:color="002060"/>
              <w:right w:val="nil"/>
            </w:tcBorders>
            <w:shd w:val="clear" w:color="auto" w:fill="auto"/>
            <w:noWrap/>
            <w:vAlign w:val="center"/>
            <w:hideMark/>
          </w:tcPr>
          <w:p w14:paraId="24935871" w14:textId="77777777" w:rsidR="00BA4876" w:rsidRPr="00A37BCE" w:rsidRDefault="00BA4876" w:rsidP="00BA4876">
            <w:pPr>
              <w:spacing w:after="0" w:line="276" w:lineRule="auto"/>
              <w:jc w:val="right"/>
              <w:rPr>
                <w:rFonts w:eastAsia="Times New Roman" w:cstheme="minorHAnsi"/>
                <w:color w:val="002060"/>
                <w:sz w:val="18"/>
                <w:szCs w:val="18"/>
                <w:lang w:val="sr-Cyrl-RS"/>
              </w:rPr>
            </w:pPr>
            <w:r w:rsidRPr="00A37BCE">
              <w:rPr>
                <w:rFonts w:eastAsia="Times New Roman" w:cstheme="minorHAnsi"/>
                <w:color w:val="002060"/>
                <w:sz w:val="18"/>
                <w:szCs w:val="18"/>
                <w:lang w:val="sr-Cyrl-RS"/>
              </w:rPr>
              <w:t>-2.959.166</w:t>
            </w:r>
          </w:p>
        </w:tc>
      </w:tr>
    </w:tbl>
    <w:p w14:paraId="04BB2626" w14:textId="77777777" w:rsidR="00BA4876" w:rsidRPr="00315856" w:rsidRDefault="00BA4876" w:rsidP="00BA4876">
      <w:pPr>
        <w:spacing w:after="0" w:line="276" w:lineRule="auto"/>
        <w:jc w:val="both"/>
        <w:rPr>
          <w:rFonts w:eastAsia="Times New Roman" w:cstheme="minorHAnsi"/>
          <w:color w:val="44546A" w:themeColor="text2"/>
          <w:sz w:val="16"/>
          <w:szCs w:val="18"/>
          <w:lang w:val="sr-Cyrl-RS"/>
        </w:rPr>
      </w:pPr>
      <w:r w:rsidRPr="00315856">
        <w:rPr>
          <w:rFonts w:eastAsia="Times New Roman" w:cstheme="minorHAnsi"/>
          <w:color w:val="44546A" w:themeColor="text2"/>
          <w:sz w:val="16"/>
          <w:szCs w:val="18"/>
          <w:lang w:val="sr-Cyrl-RS"/>
        </w:rPr>
        <w:t>Извор: Финансијски извештаји за 2017. годину и квартални извештаји Министарства привреде за 2018. годину</w:t>
      </w:r>
    </w:p>
    <w:p w14:paraId="1AB32319" w14:textId="77777777" w:rsidR="00BA4876" w:rsidRPr="00A37BCE" w:rsidRDefault="00BA4876" w:rsidP="00BA4876">
      <w:pPr>
        <w:spacing w:after="0" w:line="276" w:lineRule="auto"/>
        <w:contextualSpacing/>
        <w:jc w:val="both"/>
        <w:rPr>
          <w:rFonts w:eastAsia="MS PGothic" w:cstheme="minorHAnsi"/>
          <w:color w:val="002060"/>
          <w:sz w:val="18"/>
          <w:szCs w:val="18"/>
          <w:lang w:val="sr-Cyrl-RS"/>
        </w:rPr>
      </w:pPr>
    </w:p>
    <w:p w14:paraId="65563EC3" w14:textId="77777777" w:rsidR="00BA4876" w:rsidRPr="00A37BCE" w:rsidRDefault="00BA4876" w:rsidP="00BA4876">
      <w:pPr>
        <w:spacing w:after="120" w:line="276" w:lineRule="auto"/>
        <w:jc w:val="both"/>
        <w:rPr>
          <w:rFonts w:cstheme="minorHAnsi"/>
          <w:color w:val="002060"/>
          <w:sz w:val="18"/>
          <w:szCs w:val="18"/>
          <w:lang w:val="sr-Cyrl-RS"/>
        </w:rPr>
        <w:sectPr w:rsidR="00BA4876" w:rsidRPr="00A37BCE" w:rsidSect="00BA4876">
          <w:type w:val="continuous"/>
          <w:pgSz w:w="12240" w:h="15840"/>
          <w:pgMar w:top="1440" w:right="1440" w:bottom="1440" w:left="1440" w:header="720" w:footer="720" w:gutter="0"/>
          <w:cols w:space="720"/>
          <w:docGrid w:linePitch="360"/>
        </w:sectPr>
      </w:pPr>
    </w:p>
    <w:p w14:paraId="2B7730CF" w14:textId="77777777" w:rsidR="00840D9B" w:rsidRDefault="00840D9B" w:rsidP="00E73771">
      <w:pPr>
        <w:spacing w:after="0" w:line="276" w:lineRule="auto"/>
        <w:jc w:val="both"/>
        <w:rPr>
          <w:rFonts w:eastAsia="Calibri" w:cstheme="minorHAnsi"/>
          <w:color w:val="44546A" w:themeColor="text2"/>
          <w:sz w:val="20"/>
          <w:szCs w:val="20"/>
          <w:lang w:val="sr-Cyrl-RS" w:eastAsia="ja-JP"/>
        </w:rPr>
      </w:pPr>
    </w:p>
    <w:p w14:paraId="38B2A006" w14:textId="29D3552C" w:rsidR="00BA4876" w:rsidRPr="00A37BCE" w:rsidRDefault="00BA4876" w:rsidP="00E73771">
      <w:pPr>
        <w:spacing w:after="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У циљу умањења фискалних ризика повезаних са пословањем јавних предузећа у току су процеси реструктурирања највећих јавних предузећа („Железнице Србијеˮ а.д, „Инфраструктура железнице Србије</w:t>
      </w:r>
      <w:r w:rsidR="00EB0EE8" w:rsidRPr="00A37BCE">
        <w:rPr>
          <w:rFonts w:cstheme="minorHAnsi"/>
          <w:bCs/>
          <w:color w:val="44546A" w:themeColor="text2"/>
          <w:sz w:val="20"/>
          <w:szCs w:val="72"/>
          <w:lang w:val="sr-Cyrl-RS"/>
        </w:rPr>
        <w:t>ˮ</w:t>
      </w:r>
      <w:r w:rsidRPr="00A37BCE">
        <w:rPr>
          <w:rFonts w:eastAsia="Calibri" w:cstheme="minorHAnsi"/>
          <w:color w:val="44546A" w:themeColor="text2"/>
          <w:sz w:val="20"/>
          <w:szCs w:val="20"/>
          <w:lang w:val="sr-Cyrl-RS" w:eastAsia="ja-JP"/>
        </w:rPr>
        <w:t xml:space="preserve"> а.д, „Србија Воз</w:t>
      </w:r>
      <w:r w:rsidR="00EB0EE8" w:rsidRPr="00A37BCE">
        <w:rPr>
          <w:rFonts w:cstheme="minorHAnsi"/>
          <w:bCs/>
          <w:color w:val="44546A" w:themeColor="text2"/>
          <w:sz w:val="20"/>
          <w:szCs w:val="72"/>
          <w:lang w:val="sr-Cyrl-RS"/>
        </w:rPr>
        <w:t>ˮ</w:t>
      </w:r>
      <w:r w:rsidRPr="00A37BCE">
        <w:rPr>
          <w:rFonts w:eastAsia="Calibri" w:cstheme="minorHAnsi"/>
          <w:color w:val="44546A" w:themeColor="text2"/>
          <w:sz w:val="20"/>
          <w:szCs w:val="20"/>
          <w:lang w:val="sr-Cyrl-RS" w:eastAsia="ja-JP"/>
        </w:rPr>
        <w:t xml:space="preserve"> а.д, „Србија Карго</w:t>
      </w:r>
      <w:r w:rsidR="00EB0EE8" w:rsidRPr="00A37BCE">
        <w:rPr>
          <w:rFonts w:cstheme="minorHAnsi"/>
          <w:bCs/>
          <w:color w:val="44546A" w:themeColor="text2"/>
          <w:sz w:val="20"/>
          <w:szCs w:val="72"/>
          <w:lang w:val="sr-Cyrl-RS"/>
        </w:rPr>
        <w:t>ˮ</w:t>
      </w:r>
      <w:r w:rsidRPr="00A37BCE">
        <w:rPr>
          <w:rFonts w:eastAsia="Calibri" w:cstheme="minorHAnsi"/>
          <w:color w:val="44546A" w:themeColor="text2"/>
          <w:sz w:val="20"/>
          <w:szCs w:val="20"/>
          <w:lang w:val="sr-Cyrl-RS" w:eastAsia="ja-JP"/>
        </w:rPr>
        <w:t xml:space="preserve"> а.д, ЈП ЕПС и ЈП „Србијагасˮ). Целокупан процес се спроводи у сарадњи за водећим светским финансијским институцијама – ММФ, Светском банком и Европском банком за обнову и развој (у даљем тексту: ЕБРД), како би се ова предузећа поставила на здраве основе и почела да функционишу по тржишном принципу, те умањили потенцијални фискални трошкови који могу </w:t>
      </w:r>
      <w:r w:rsidR="000E2AEF">
        <w:rPr>
          <w:rFonts w:eastAsia="Calibri" w:cstheme="minorHAnsi"/>
          <w:color w:val="44546A" w:themeColor="text2"/>
          <w:sz w:val="20"/>
          <w:szCs w:val="20"/>
          <w:lang w:val="sr-Cyrl-RS" w:eastAsia="ja-JP"/>
        </w:rPr>
        <w:t>проистећи из њиховог пословања.</w:t>
      </w:r>
    </w:p>
    <w:p w14:paraId="37B1D036" w14:textId="69C2FADD" w:rsidR="00BA4876" w:rsidRPr="00A37BCE" w:rsidRDefault="00BA4876" w:rsidP="00E73771">
      <w:pPr>
        <w:spacing w:after="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ЈП „Електропривреда Србије”. План оптимизације</w:t>
      </w:r>
      <w:r w:rsidR="00E13C52">
        <w:rPr>
          <w:rFonts w:eastAsia="Calibri" w:cstheme="minorHAnsi"/>
          <w:color w:val="44546A" w:themeColor="text2"/>
          <w:sz w:val="20"/>
          <w:szCs w:val="20"/>
          <w:lang w:val="sr-Cyrl-RS" w:eastAsia="ja-JP"/>
        </w:rPr>
        <w:t xml:space="preserve"> броја запослених </w:t>
      </w:r>
      <w:r w:rsidRPr="00A37BCE">
        <w:rPr>
          <w:rFonts w:eastAsia="Calibri" w:cstheme="minorHAnsi"/>
          <w:color w:val="44546A" w:themeColor="text2"/>
          <w:sz w:val="20"/>
          <w:szCs w:val="20"/>
          <w:lang w:val="sr-Cyrl-RS" w:eastAsia="ja-JP"/>
        </w:rPr>
        <w:t>за период 2016</w:t>
      </w:r>
      <w:r w:rsidR="00A963A9">
        <w:rPr>
          <w:rFonts w:eastAsia="Calibri" w:cstheme="minorHAnsi"/>
          <w:color w:val="44546A" w:themeColor="text2"/>
          <w:sz w:val="20"/>
          <w:szCs w:val="20"/>
          <w:lang w:val="sr-Cyrl-RS" w:eastAsia="ja-JP"/>
        </w:rPr>
        <w:t>–</w:t>
      </w:r>
      <w:r w:rsidRPr="00A37BCE">
        <w:rPr>
          <w:rFonts w:eastAsia="Calibri" w:cstheme="minorHAnsi"/>
          <w:color w:val="44546A" w:themeColor="text2"/>
          <w:sz w:val="20"/>
          <w:szCs w:val="20"/>
          <w:lang w:val="sr-Cyrl-RS" w:eastAsia="ja-JP"/>
        </w:rPr>
        <w:t>2019. године, израђен уз помоћ Светске Банке</w:t>
      </w:r>
      <w:r w:rsidR="00A03BD3">
        <w:rPr>
          <w:rFonts w:eastAsia="Calibri" w:cstheme="minorHAnsi"/>
          <w:color w:val="44546A" w:themeColor="text2"/>
          <w:sz w:val="20"/>
          <w:szCs w:val="20"/>
          <w:lang w:val="sr-Cyrl-RS" w:eastAsia="ja-JP"/>
        </w:rPr>
        <w:t>,</w:t>
      </w:r>
      <w:r w:rsidRPr="00A37BCE">
        <w:rPr>
          <w:rFonts w:eastAsia="Calibri" w:cstheme="minorHAnsi"/>
          <w:color w:val="44546A" w:themeColor="text2"/>
          <w:sz w:val="20"/>
          <w:szCs w:val="20"/>
          <w:lang w:val="sr-Cyrl-RS" w:eastAsia="ja-JP"/>
        </w:rPr>
        <w:t xml:space="preserve"> </w:t>
      </w:r>
      <w:r w:rsidR="00E13C52">
        <w:rPr>
          <w:rFonts w:eastAsia="Calibri" w:cstheme="minorHAnsi"/>
          <w:color w:val="44546A" w:themeColor="text2"/>
          <w:sz w:val="20"/>
          <w:szCs w:val="20"/>
          <w:lang w:val="sr-Cyrl-RS" w:eastAsia="ja-JP"/>
        </w:rPr>
        <w:t>успешно се спроводи</w:t>
      </w:r>
      <w:r w:rsidRPr="00A37BCE">
        <w:rPr>
          <w:rFonts w:eastAsia="Calibri" w:cstheme="minorHAnsi"/>
          <w:color w:val="44546A" w:themeColor="text2"/>
          <w:sz w:val="20"/>
          <w:szCs w:val="20"/>
          <w:lang w:val="sr-Cyrl-RS" w:eastAsia="ja-JP"/>
        </w:rPr>
        <w:t xml:space="preserve">. Уз помоћ Светске Банке и ЕБРД сагледавају се могућности даљег унапређења управљања компанијом у погледу менаџмента, система планирања и набавки. Планирано је да се компанија трансформише у акционарско друштво, </w:t>
      </w:r>
      <w:r w:rsidRPr="00A37BCE">
        <w:rPr>
          <w:rFonts w:eastAsia="Calibri" w:cstheme="minorHAnsi"/>
          <w:color w:val="44546A" w:themeColor="text2"/>
          <w:sz w:val="20"/>
          <w:szCs w:val="20"/>
          <w:lang w:val="sr-Cyrl-RS" w:eastAsia="ja-JP"/>
        </w:rPr>
        <w:lastRenderedPageBreak/>
        <w:t>као и да се сагледају остале могућности за даљи развој у циљу побољшања перформанси компаније и обезбеђења професионалног менаџмента.</w:t>
      </w:r>
    </w:p>
    <w:p w14:paraId="3B8D6CC7" w14:textId="77777777" w:rsidR="00BA4876" w:rsidRPr="00A37BCE" w:rsidRDefault="00BA4876" w:rsidP="00E73771">
      <w:pPr>
        <w:spacing w:after="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 xml:space="preserve">ЈП „Србијагас”. Након измена у организационој структури компаније чиме су основани посебни организациони делови који се баве транспортом и дистрибуцијом гаса, спроведен је план продаје имовине која се не користи за обављање основне делатности, док се за предузећа која су била главни дужници (ХИП Азотара, ХИП Петрохемија и МСК Кикинда) још увек тражи трајно решење, чиме би се смањио ризик од гомилања дугова и потреба за интервенцијама из буџета Републике. У претходном периоду степен наплате потраживања је значајно побољшан. До краја ове године, у складу с новом методологијом, предложеном од стране Светске Банке, биће усвојен план капиталних улагања. Циљ ових мера је побољшање финансијског положаја ЈП „Србијагас”, постављање компаније на одржив пут, како би постепено била напуштена пракса да </w:t>
      </w:r>
      <w:r w:rsidRPr="00A37BCE">
        <w:rPr>
          <w:rFonts w:eastAsia="Calibri" w:cstheme="minorHAnsi"/>
          <w:color w:val="44546A" w:themeColor="text2"/>
          <w:sz w:val="20"/>
          <w:szCs w:val="20"/>
          <w:lang w:val="sr-Cyrl-RS" w:eastAsia="ja-JP"/>
        </w:rPr>
        <w:lastRenderedPageBreak/>
        <w:t>се дуг предузећа сервисира из буџетских средстава.</w:t>
      </w:r>
    </w:p>
    <w:p w14:paraId="3B92DADF" w14:textId="0ECEF333" w:rsidR="00BA4876" w:rsidRPr="00A37BCE" w:rsidRDefault="00BA4876" w:rsidP="00E73771">
      <w:pPr>
        <w:spacing w:after="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Железничка предузећа</w:t>
      </w:r>
      <w:r w:rsidRPr="00025DEA">
        <w:rPr>
          <w:rFonts w:eastAsia="Calibri" w:cstheme="minorHAnsi"/>
          <w:color w:val="44546A" w:themeColor="text2"/>
          <w:sz w:val="20"/>
          <w:szCs w:val="20"/>
          <w:vertAlign w:val="superscript"/>
          <w:lang w:val="sr-Cyrl-RS" w:eastAsia="ja-JP"/>
        </w:rPr>
        <w:footnoteReference w:id="17"/>
      </w:r>
      <w:r w:rsidRPr="00A37BCE">
        <w:rPr>
          <w:rFonts w:eastAsia="Calibri" w:cstheme="minorHAnsi"/>
          <w:color w:val="44546A" w:themeColor="text2"/>
          <w:sz w:val="20"/>
          <w:szCs w:val="20"/>
          <w:lang w:val="sr-Cyrl-RS" w:eastAsia="ja-JP"/>
        </w:rPr>
        <w:t xml:space="preserve">. У току је спровођење Плана за реформу железнице 2016–2020. године, који обухвата корпоративну реорганизацију, рационализацију постојећег броја запослених, оптимизацију инфраструктуре и њену обнову, како би овај стратешки значајан систем понудио што већи квалитет транспорта робе и путника. План рационализације броја запослених је у највећем делу спроведен у претходне </w:t>
      </w:r>
      <w:r w:rsidR="00140F69">
        <w:rPr>
          <w:rFonts w:eastAsia="Calibri" w:cstheme="minorHAnsi"/>
          <w:color w:val="44546A" w:themeColor="text2"/>
          <w:sz w:val="20"/>
          <w:szCs w:val="20"/>
          <w:lang w:val="sr-Cyrl-RS" w:eastAsia="ja-JP"/>
        </w:rPr>
        <w:t>две</w:t>
      </w:r>
      <w:r w:rsidRPr="00A37BCE">
        <w:rPr>
          <w:rFonts w:eastAsia="Calibri" w:cstheme="minorHAnsi"/>
          <w:color w:val="44546A" w:themeColor="text2"/>
          <w:sz w:val="20"/>
          <w:szCs w:val="20"/>
          <w:lang w:val="sr-Cyrl-RS" w:eastAsia="ja-JP"/>
        </w:rPr>
        <w:t xml:space="preserve"> године, а у наредном периоду наставиће се кроз процес природног одлива и контролу запошљавања. У претходном периоду, такође, дошло је до обуставе саобраћаја на око 1.100 к</w:t>
      </w:r>
      <w:r w:rsidR="00EB0EE8">
        <w:rPr>
          <w:rFonts w:eastAsia="Calibri" w:cstheme="minorHAnsi"/>
          <w:color w:val="44546A" w:themeColor="text2"/>
          <w:sz w:val="20"/>
          <w:szCs w:val="20"/>
          <w:lang w:val="sr-Cyrl-RS" w:eastAsia="ja-JP"/>
        </w:rPr>
        <w:t>илометара</w:t>
      </w:r>
      <w:r w:rsidRPr="00A37BCE">
        <w:rPr>
          <w:rFonts w:eastAsia="Calibri" w:cstheme="minorHAnsi"/>
          <w:color w:val="44546A" w:themeColor="text2"/>
          <w:sz w:val="20"/>
          <w:szCs w:val="20"/>
          <w:lang w:val="sr-Cyrl-RS" w:eastAsia="ja-JP"/>
        </w:rPr>
        <w:t xml:space="preserve"> пруга које су ван експлоатације или су означене као нерентабилне, што ће битно утицати на финансијске перформансе компаније. С друге стране, покренути су значајни инфраструктурни пројекти на међународним железничким коридорима и </w:t>
      </w:r>
      <w:r w:rsidR="000E2AEF">
        <w:rPr>
          <w:rFonts w:eastAsia="Calibri" w:cstheme="minorHAnsi"/>
          <w:color w:val="44546A" w:themeColor="text2"/>
          <w:sz w:val="20"/>
          <w:szCs w:val="20"/>
          <w:lang w:val="sr-Cyrl-RS" w:eastAsia="ja-JP"/>
        </w:rPr>
        <w:t>модернизација возних средстава.</w:t>
      </w:r>
    </w:p>
    <w:p w14:paraId="58570A65" w14:textId="77777777" w:rsidR="0076301D" w:rsidRPr="00A37BCE" w:rsidRDefault="0076301D" w:rsidP="00E73771">
      <w:pPr>
        <w:spacing w:after="0" w:line="276" w:lineRule="auto"/>
        <w:jc w:val="both"/>
        <w:rPr>
          <w:rFonts w:eastAsia="Calibri" w:cstheme="minorHAnsi"/>
          <w:color w:val="44546A" w:themeColor="text2"/>
          <w:sz w:val="20"/>
          <w:szCs w:val="20"/>
          <w:lang w:val="sr-Cyrl-RS" w:eastAsia="ja-JP"/>
        </w:rPr>
      </w:pPr>
    </w:p>
    <w:p w14:paraId="0BE368EB" w14:textId="093F7DB7" w:rsidR="00BA4876" w:rsidRPr="00A37BCE" w:rsidRDefault="00BA4876" w:rsidP="00BA4876">
      <w:pPr>
        <w:spacing w:after="120" w:line="276" w:lineRule="auto"/>
        <w:jc w:val="center"/>
        <w:rPr>
          <w:rFonts w:cstheme="minorHAnsi"/>
          <w:b/>
          <w:bCs/>
          <w:color w:val="2F5496" w:themeColor="accent1" w:themeShade="BF"/>
          <w:szCs w:val="20"/>
          <w:lang w:val="sr-Cyrl-RS"/>
        </w:rPr>
      </w:pPr>
      <w:r w:rsidRPr="00A37BCE">
        <w:rPr>
          <w:rFonts w:cstheme="minorHAnsi"/>
          <w:b/>
          <w:bCs/>
          <w:color w:val="2F5496" w:themeColor="accent1" w:themeShade="BF"/>
          <w:szCs w:val="20"/>
          <w:lang w:val="sr-Cyrl-RS"/>
        </w:rPr>
        <w:t>Уплата добити у буџет Републике</w:t>
      </w:r>
    </w:p>
    <w:p w14:paraId="2E3CB2EC" w14:textId="4D5F8DB2" w:rsidR="00BA4876" w:rsidRDefault="00BA4876" w:rsidP="00BA4876">
      <w:pPr>
        <w:spacing w:after="120" w:line="276" w:lineRule="auto"/>
        <w:jc w:val="both"/>
        <w:rPr>
          <w:rFonts w:eastAsia="MS PGothic" w:cstheme="minorHAnsi"/>
          <w:bCs/>
          <w:color w:val="44546A" w:themeColor="text2"/>
          <w:sz w:val="20"/>
          <w:szCs w:val="20"/>
          <w:lang w:val="sr-Cyrl-RS" w:eastAsia="ja-JP"/>
        </w:rPr>
      </w:pPr>
      <w:r w:rsidRPr="00A37BCE">
        <w:rPr>
          <w:rFonts w:eastAsia="Calibri" w:cstheme="minorHAnsi"/>
          <w:color w:val="44546A" w:themeColor="text2"/>
          <w:sz w:val="20"/>
          <w:szCs w:val="20"/>
          <w:lang w:val="sr-Cyrl-RS" w:eastAsia="ja-JP"/>
        </w:rPr>
        <w:t>Уплата добити од стране јавних предузећа и дивиденди друштава капитала у којима држава има власништво представљају значајан део непореских прихода. Од успешности пословања ових предузећа зависи и висина прихода</w:t>
      </w:r>
      <w:r w:rsidRPr="00A37BCE">
        <w:rPr>
          <w:rFonts w:eastAsia="MS PGothic" w:cstheme="minorHAnsi"/>
          <w:bCs/>
          <w:color w:val="44546A" w:themeColor="text2"/>
          <w:sz w:val="20"/>
          <w:szCs w:val="20"/>
          <w:lang w:val="sr-Cyrl-RS" w:eastAsia="ja-JP"/>
        </w:rPr>
        <w:t xml:space="preserve"> буџета по овом основу. Уплата редовне добити и дивиденди је редован буџетски непорески приход, док се уплате из нераспоређене добити третирају као приход са једнократним карактером и не представљају трајни извор прихода.</w:t>
      </w:r>
    </w:p>
    <w:p w14:paraId="65CBD515" w14:textId="77777777" w:rsidR="000E2AEF" w:rsidRPr="00A37BCE" w:rsidRDefault="000E2AEF" w:rsidP="00BA4876">
      <w:pPr>
        <w:spacing w:after="120" w:line="276" w:lineRule="auto"/>
        <w:jc w:val="both"/>
        <w:rPr>
          <w:rFonts w:eastAsia="MS PGothic" w:cstheme="minorHAnsi"/>
          <w:bCs/>
          <w:color w:val="44546A" w:themeColor="text2"/>
          <w:sz w:val="20"/>
          <w:szCs w:val="20"/>
          <w:lang w:val="sr-Cyrl-RS" w:eastAsia="ja-JP"/>
        </w:rPr>
      </w:pPr>
    </w:p>
    <w:tbl>
      <w:tblPr>
        <w:tblStyle w:val="LightShading-Accent336"/>
        <w:tblpPr w:leftFromText="180" w:rightFromText="180" w:vertAnchor="text" w:horzAnchor="margin" w:tblpY="-80"/>
        <w:tblW w:w="0" w:type="auto"/>
        <w:tblBorders>
          <w:top w:val="none" w:sz="0" w:space="0" w:color="auto"/>
          <w:bottom w:val="none" w:sz="0" w:space="0" w:color="auto"/>
        </w:tblBorders>
        <w:tblLook w:val="04A0" w:firstRow="1" w:lastRow="0" w:firstColumn="1" w:lastColumn="0" w:noHBand="0" w:noVBand="1"/>
      </w:tblPr>
      <w:tblGrid>
        <w:gridCol w:w="2530"/>
        <w:gridCol w:w="56"/>
        <w:gridCol w:w="487"/>
        <w:gridCol w:w="56"/>
        <w:gridCol w:w="1191"/>
      </w:tblGrid>
      <w:tr w:rsidR="00B80E26" w:rsidRPr="00A37BCE" w14:paraId="6A607B7D" w14:textId="77777777" w:rsidTr="00B80E26">
        <w:trPr>
          <w:cnfStyle w:val="100000000000" w:firstRow="1" w:lastRow="0" w:firstColumn="0" w:lastColumn="0" w:oddVBand="0" w:evenVBand="0" w:oddHBand="0" w:evenHBand="0" w:firstRowFirstColumn="0" w:firstRowLastColumn="0" w:lastRowFirstColumn="0" w:lastRowLastColumn="0"/>
          <w:trHeight w:val="24"/>
        </w:trPr>
        <w:tc>
          <w:tcPr>
            <w:cnfStyle w:val="001000000000" w:firstRow="0" w:lastRow="0" w:firstColumn="1" w:lastColumn="0" w:oddVBand="0" w:evenVBand="0" w:oddHBand="0" w:evenHBand="0" w:firstRowFirstColumn="0" w:firstRowLastColumn="0" w:lastRowFirstColumn="0" w:lastRowLastColumn="0"/>
            <w:tcW w:w="0" w:type="auto"/>
            <w:gridSpan w:val="5"/>
            <w:tcBorders>
              <w:top w:val="none" w:sz="0" w:space="0" w:color="auto"/>
              <w:left w:val="none" w:sz="0" w:space="0" w:color="auto"/>
              <w:bottom w:val="single" w:sz="4" w:space="0" w:color="002060"/>
              <w:right w:val="none" w:sz="0" w:space="0" w:color="auto"/>
            </w:tcBorders>
            <w:shd w:val="clear" w:color="auto" w:fill="auto"/>
            <w:noWrap/>
            <w:hideMark/>
          </w:tcPr>
          <w:p w14:paraId="604FA457" w14:textId="0E4DB2C3" w:rsidR="00B80E26" w:rsidRPr="00A37BCE" w:rsidRDefault="00B80E26" w:rsidP="00B80E26">
            <w:pPr>
              <w:spacing w:line="276" w:lineRule="auto"/>
              <w:jc w:val="center"/>
              <w:rPr>
                <w:rFonts w:asciiTheme="minorHAnsi" w:eastAsia="MS PGothic" w:hAnsiTheme="minorHAnsi" w:cstheme="minorHAnsi"/>
                <w:color w:val="002060"/>
                <w:lang w:val="sr-Cyrl-RS"/>
              </w:rPr>
            </w:pPr>
            <w:r w:rsidRPr="00A37BCE">
              <w:rPr>
                <w:rFonts w:asciiTheme="minorHAnsi" w:eastAsia="MS PGothic" w:hAnsiTheme="minorHAnsi" w:cstheme="minorHAnsi"/>
                <w:color w:val="002060"/>
                <w:lang w:val="sr-Cyrl-RS"/>
              </w:rPr>
              <w:t>Табела 1</w:t>
            </w:r>
            <w:r w:rsidR="005B01D9" w:rsidRPr="00A37BCE">
              <w:rPr>
                <w:rFonts w:asciiTheme="minorHAnsi" w:eastAsia="MS PGothic" w:hAnsiTheme="minorHAnsi" w:cstheme="minorHAnsi"/>
                <w:color w:val="002060"/>
                <w:lang w:val="sr-Cyrl-RS"/>
              </w:rPr>
              <w:t>9</w:t>
            </w:r>
            <w:r w:rsidRPr="00A37BCE">
              <w:rPr>
                <w:rFonts w:asciiTheme="minorHAnsi" w:eastAsia="MS PGothic" w:hAnsiTheme="minorHAnsi" w:cstheme="minorHAnsi"/>
                <w:color w:val="002060"/>
                <w:lang w:val="sr-Cyrl-RS"/>
              </w:rPr>
              <w:t>. Нето добит ЈП уплаћена у буџет, у млрд динара</w:t>
            </w:r>
          </w:p>
        </w:tc>
      </w:tr>
      <w:tr w:rsidR="00B80E26" w:rsidRPr="00A37BCE" w14:paraId="06521EB3" w14:textId="77777777" w:rsidTr="00B80E26">
        <w:trPr>
          <w:cnfStyle w:val="000000100000" w:firstRow="0" w:lastRow="0" w:firstColumn="0" w:lastColumn="0" w:oddVBand="0" w:evenVBand="0" w:oddHBand="1" w:evenHBand="0" w:firstRowFirstColumn="0" w:firstRowLastColumn="0" w:lastRowFirstColumn="0" w:lastRowLastColumn="0"/>
          <w:trHeight w:val="24"/>
        </w:trPr>
        <w:tc>
          <w:tcPr>
            <w:cnfStyle w:val="001000000000" w:firstRow="0" w:lastRow="0" w:firstColumn="1" w:lastColumn="0" w:oddVBand="0" w:evenVBand="0" w:oddHBand="0" w:evenHBand="0" w:firstRowFirstColumn="0" w:firstRowLastColumn="0" w:lastRowFirstColumn="0" w:lastRowLastColumn="0"/>
            <w:tcW w:w="2456" w:type="dxa"/>
            <w:tcBorders>
              <w:top w:val="single" w:sz="4" w:space="0" w:color="002060"/>
              <w:left w:val="none" w:sz="0" w:space="0" w:color="auto"/>
              <w:right w:val="none" w:sz="0" w:space="0" w:color="auto"/>
            </w:tcBorders>
            <w:shd w:val="clear" w:color="auto" w:fill="auto"/>
            <w:noWrap/>
          </w:tcPr>
          <w:p w14:paraId="126E5B1B" w14:textId="77777777" w:rsidR="00B80E26" w:rsidRPr="00A37BCE" w:rsidRDefault="00B80E26" w:rsidP="00B80E26">
            <w:pPr>
              <w:spacing w:line="276" w:lineRule="auto"/>
              <w:jc w:val="both"/>
              <w:rPr>
                <w:rFonts w:asciiTheme="minorHAnsi" w:eastAsia="Times New Roman" w:hAnsiTheme="minorHAnsi" w:cstheme="minorHAnsi"/>
                <w:b w:val="0"/>
                <w:color w:val="002060"/>
                <w:sz w:val="18"/>
                <w:lang w:val="sr-Cyrl-RS"/>
              </w:rPr>
            </w:pPr>
          </w:p>
        </w:tc>
        <w:tc>
          <w:tcPr>
            <w:tcW w:w="694" w:type="dxa"/>
            <w:gridSpan w:val="3"/>
            <w:tcBorders>
              <w:top w:val="single" w:sz="4" w:space="0" w:color="002060"/>
              <w:left w:val="none" w:sz="0" w:space="0" w:color="auto"/>
              <w:bottom w:val="single" w:sz="4" w:space="0" w:color="002060"/>
              <w:right w:val="none" w:sz="0" w:space="0" w:color="auto"/>
            </w:tcBorders>
            <w:shd w:val="clear" w:color="auto" w:fill="auto"/>
          </w:tcPr>
          <w:p w14:paraId="2EA9D57B" w14:textId="77777777" w:rsidR="00B80E26" w:rsidRPr="00A37BCE" w:rsidRDefault="00B80E26" w:rsidP="00B80E26">
            <w:pPr>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lang w:val="sr-Cyrl-RS"/>
              </w:rPr>
            </w:pPr>
            <w:r w:rsidRPr="00A37BCE">
              <w:rPr>
                <w:rFonts w:asciiTheme="minorHAnsi" w:hAnsiTheme="minorHAnsi" w:cstheme="minorHAnsi"/>
                <w:color w:val="002060"/>
                <w:sz w:val="18"/>
                <w:lang w:val="sr-Cyrl-RS"/>
              </w:rPr>
              <w:t>2017</w:t>
            </w:r>
          </w:p>
        </w:tc>
        <w:tc>
          <w:tcPr>
            <w:tcW w:w="1170" w:type="dxa"/>
            <w:tcBorders>
              <w:top w:val="single" w:sz="4" w:space="0" w:color="002060"/>
              <w:left w:val="none" w:sz="0" w:space="0" w:color="auto"/>
              <w:bottom w:val="single" w:sz="4" w:space="0" w:color="002060"/>
              <w:right w:val="none" w:sz="0" w:space="0" w:color="auto"/>
            </w:tcBorders>
            <w:shd w:val="clear" w:color="auto" w:fill="auto"/>
            <w:noWrap/>
          </w:tcPr>
          <w:p w14:paraId="74CE46DC" w14:textId="28815006" w:rsidR="00B80E26" w:rsidRPr="00A37BCE" w:rsidRDefault="00B80E26" w:rsidP="00B80E26">
            <w:pPr>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lang w:val="sr-Cyrl-RS"/>
              </w:rPr>
            </w:pPr>
            <w:r w:rsidRPr="00A37BCE">
              <w:rPr>
                <w:rFonts w:asciiTheme="minorHAnsi" w:hAnsiTheme="minorHAnsi" w:cstheme="minorHAnsi"/>
                <w:color w:val="002060"/>
                <w:sz w:val="18"/>
                <w:lang w:val="sr-Cyrl-RS"/>
              </w:rPr>
              <w:t>2018</w:t>
            </w:r>
          </w:p>
          <w:p w14:paraId="446F8BC7" w14:textId="7B3D3244" w:rsidR="00B80E26" w:rsidRPr="00A37BCE" w:rsidRDefault="00B80E26" w:rsidP="009910DA">
            <w:pPr>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lang w:val="sr-Cyrl-RS"/>
              </w:rPr>
            </w:pPr>
            <w:r w:rsidRPr="00A37BCE">
              <w:rPr>
                <w:rFonts w:asciiTheme="minorHAnsi" w:hAnsiTheme="minorHAnsi" w:cstheme="minorHAnsi"/>
                <w:color w:val="002060"/>
                <w:sz w:val="18"/>
                <w:lang w:val="sr-Cyrl-RS"/>
              </w:rPr>
              <w:t>(јан</w:t>
            </w:r>
            <w:r w:rsidR="009910DA">
              <w:rPr>
                <w:rFonts w:asciiTheme="minorHAnsi" w:hAnsiTheme="minorHAnsi" w:cstheme="minorHAnsi"/>
                <w:color w:val="002060"/>
                <w:sz w:val="18"/>
                <w:lang w:val="sr-Cyrl-RS"/>
              </w:rPr>
              <w:t>–</w:t>
            </w:r>
            <w:r w:rsidRPr="00A37BCE">
              <w:rPr>
                <w:rFonts w:asciiTheme="minorHAnsi" w:hAnsiTheme="minorHAnsi" w:cstheme="minorHAnsi"/>
                <w:color w:val="002060"/>
                <w:sz w:val="18"/>
                <w:lang w:val="sr-Cyrl-RS"/>
              </w:rPr>
              <w:t>сеп)</w:t>
            </w:r>
          </w:p>
        </w:tc>
      </w:tr>
      <w:tr w:rsidR="00B80E26" w:rsidRPr="00A37BCE" w14:paraId="31B88C34" w14:textId="77777777" w:rsidTr="00B80E26">
        <w:trPr>
          <w:trHeight w:val="24"/>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auto"/>
            <w:noWrap/>
            <w:hideMark/>
          </w:tcPr>
          <w:p w14:paraId="17705E7F" w14:textId="77777777" w:rsidR="00B80E26" w:rsidRPr="00A37BCE" w:rsidRDefault="00B80E26" w:rsidP="00B80E26">
            <w:pPr>
              <w:spacing w:line="276" w:lineRule="auto"/>
              <w:jc w:val="both"/>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Уплата добити у буџет</w:t>
            </w:r>
          </w:p>
        </w:tc>
        <w:tc>
          <w:tcPr>
            <w:tcW w:w="0" w:type="auto"/>
            <w:tcBorders>
              <w:top w:val="single" w:sz="4" w:space="0" w:color="002060"/>
            </w:tcBorders>
            <w:shd w:val="clear" w:color="auto" w:fill="auto"/>
            <w:vAlign w:val="center"/>
          </w:tcPr>
          <w:p w14:paraId="4CE5DAB8" w14:textId="77777777" w:rsidR="00B80E26" w:rsidRPr="00A37BCE" w:rsidRDefault="00B80E26" w:rsidP="003A4FB0">
            <w:pPr>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lang w:val="sr-Cyrl-RS"/>
              </w:rPr>
            </w:pPr>
            <w:r w:rsidRPr="00A37BCE">
              <w:rPr>
                <w:rFonts w:asciiTheme="minorHAnsi" w:hAnsiTheme="minorHAnsi" w:cstheme="minorHAnsi"/>
                <w:color w:val="002060"/>
                <w:sz w:val="18"/>
                <w:lang w:val="sr-Cyrl-RS"/>
              </w:rPr>
              <w:t>7,9</w:t>
            </w:r>
          </w:p>
        </w:tc>
        <w:tc>
          <w:tcPr>
            <w:tcW w:w="0" w:type="auto"/>
            <w:gridSpan w:val="2"/>
            <w:tcBorders>
              <w:top w:val="single" w:sz="4" w:space="0" w:color="002060"/>
            </w:tcBorders>
            <w:shd w:val="clear" w:color="auto" w:fill="auto"/>
            <w:noWrap/>
            <w:vAlign w:val="center"/>
            <w:hideMark/>
          </w:tcPr>
          <w:p w14:paraId="2904A19B" w14:textId="77777777" w:rsidR="00B80E26" w:rsidRPr="00A37BCE" w:rsidRDefault="00B80E26" w:rsidP="003A4FB0">
            <w:pPr>
              <w:spacing w:line="276"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lang w:val="sr-Cyrl-RS"/>
              </w:rPr>
            </w:pPr>
            <w:r w:rsidRPr="00A37BCE">
              <w:rPr>
                <w:rFonts w:asciiTheme="minorHAnsi" w:hAnsiTheme="minorHAnsi" w:cstheme="minorHAnsi"/>
                <w:color w:val="002060"/>
                <w:sz w:val="18"/>
                <w:lang w:val="sr-Cyrl-RS"/>
              </w:rPr>
              <w:t>13,1</w:t>
            </w:r>
          </w:p>
        </w:tc>
      </w:tr>
      <w:tr w:rsidR="00B80E26" w:rsidRPr="00A37BCE" w14:paraId="0CB1925F" w14:textId="77777777" w:rsidTr="00B80E26">
        <w:trPr>
          <w:cnfStyle w:val="000000100000" w:firstRow="0" w:lastRow="0" w:firstColumn="0" w:lastColumn="0" w:oddVBand="0" w:evenVBand="0" w:oddHBand="1" w:evenHBand="0" w:firstRowFirstColumn="0" w:firstRowLastColumn="0" w:lastRowFirstColumn="0" w:lastRowLastColumn="0"/>
          <w:trHeight w:val="24"/>
        </w:trPr>
        <w:tc>
          <w:tcPr>
            <w:cnfStyle w:val="001000000000" w:firstRow="0" w:lastRow="0" w:firstColumn="1" w:lastColumn="0" w:oddVBand="0" w:evenVBand="0" w:oddHBand="0" w:evenHBand="0" w:firstRowFirstColumn="0" w:firstRowLastColumn="0" w:lastRowFirstColumn="0" w:lastRowLastColumn="0"/>
            <w:tcW w:w="0" w:type="auto"/>
            <w:gridSpan w:val="2"/>
            <w:tcBorders>
              <w:left w:val="none" w:sz="0" w:space="0" w:color="auto"/>
              <w:bottom w:val="single" w:sz="4" w:space="0" w:color="002060"/>
              <w:right w:val="none" w:sz="0" w:space="0" w:color="auto"/>
            </w:tcBorders>
            <w:shd w:val="clear" w:color="auto" w:fill="auto"/>
            <w:noWrap/>
            <w:hideMark/>
          </w:tcPr>
          <w:p w14:paraId="0FE77904" w14:textId="77777777" w:rsidR="00B80E26" w:rsidRPr="00A37BCE" w:rsidRDefault="00B80E26" w:rsidP="00B80E26">
            <w:pPr>
              <w:spacing w:line="276" w:lineRule="auto"/>
              <w:jc w:val="both"/>
              <w:rPr>
                <w:rFonts w:asciiTheme="minorHAnsi" w:eastAsia="Times New Roman" w:hAnsiTheme="minorHAnsi" w:cstheme="minorHAnsi"/>
                <w:b w:val="0"/>
                <w:color w:val="002060"/>
                <w:sz w:val="18"/>
                <w:lang w:val="sr-Cyrl-RS"/>
              </w:rPr>
            </w:pPr>
            <w:r w:rsidRPr="00A37BCE">
              <w:rPr>
                <w:rFonts w:asciiTheme="minorHAnsi" w:eastAsia="Times New Roman" w:hAnsiTheme="minorHAnsi" w:cstheme="minorHAnsi"/>
                <w:b w:val="0"/>
                <w:color w:val="002060"/>
                <w:sz w:val="18"/>
                <w:lang w:val="sr-Cyrl-RS"/>
              </w:rPr>
              <w:t>% од укупних прихода буџета Републике</w:t>
            </w:r>
          </w:p>
        </w:tc>
        <w:tc>
          <w:tcPr>
            <w:tcW w:w="0" w:type="auto"/>
            <w:tcBorders>
              <w:left w:val="none" w:sz="0" w:space="0" w:color="auto"/>
              <w:bottom w:val="single" w:sz="4" w:space="0" w:color="002060"/>
              <w:right w:val="none" w:sz="0" w:space="0" w:color="auto"/>
            </w:tcBorders>
            <w:shd w:val="clear" w:color="auto" w:fill="auto"/>
            <w:vAlign w:val="center"/>
          </w:tcPr>
          <w:p w14:paraId="3E1A44ED" w14:textId="77777777" w:rsidR="00B80E26" w:rsidRPr="00A37BCE" w:rsidRDefault="00B80E26" w:rsidP="003A4FB0">
            <w:pPr>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highlight w:val="yellow"/>
                <w:lang w:val="sr-Cyrl-RS"/>
              </w:rPr>
            </w:pPr>
            <w:r w:rsidRPr="00A37BCE">
              <w:rPr>
                <w:rFonts w:asciiTheme="minorHAnsi" w:hAnsiTheme="minorHAnsi" w:cstheme="minorHAnsi"/>
                <w:color w:val="002060"/>
                <w:sz w:val="18"/>
                <w:lang w:val="sr-Cyrl-RS"/>
              </w:rPr>
              <w:t>0,7</w:t>
            </w:r>
          </w:p>
        </w:tc>
        <w:tc>
          <w:tcPr>
            <w:tcW w:w="0" w:type="auto"/>
            <w:gridSpan w:val="2"/>
            <w:tcBorders>
              <w:left w:val="none" w:sz="0" w:space="0" w:color="auto"/>
              <w:bottom w:val="single" w:sz="4" w:space="0" w:color="002060"/>
              <w:right w:val="none" w:sz="0" w:space="0" w:color="auto"/>
            </w:tcBorders>
            <w:shd w:val="clear" w:color="auto" w:fill="auto"/>
            <w:noWrap/>
            <w:vAlign w:val="center"/>
            <w:hideMark/>
          </w:tcPr>
          <w:p w14:paraId="10D313F7" w14:textId="77777777" w:rsidR="00B80E26" w:rsidRPr="00A37BCE" w:rsidRDefault="00B80E26" w:rsidP="003A4FB0">
            <w:pPr>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lang w:val="sr-Cyrl-RS"/>
              </w:rPr>
            </w:pPr>
            <w:r w:rsidRPr="00A37BCE">
              <w:rPr>
                <w:rFonts w:asciiTheme="minorHAnsi" w:hAnsiTheme="minorHAnsi" w:cstheme="minorHAnsi"/>
                <w:color w:val="002060"/>
                <w:sz w:val="18"/>
                <w:lang w:val="sr-Cyrl-RS"/>
              </w:rPr>
              <w:t>1,5</w:t>
            </w:r>
          </w:p>
        </w:tc>
      </w:tr>
    </w:tbl>
    <w:p w14:paraId="35D8DED1" w14:textId="77777777" w:rsidR="00B80E26" w:rsidRPr="00A37BCE" w:rsidRDefault="00B80E26" w:rsidP="00B80E26">
      <w:pPr>
        <w:spacing w:after="120" w:line="276" w:lineRule="auto"/>
        <w:jc w:val="both"/>
        <w:rPr>
          <w:rFonts w:eastAsia="MS PGothic" w:cstheme="minorHAnsi"/>
          <w:bCs/>
          <w:color w:val="44546A" w:themeColor="text2"/>
          <w:sz w:val="16"/>
          <w:szCs w:val="20"/>
          <w:lang w:val="sr-Cyrl-RS" w:eastAsia="ja-JP"/>
        </w:rPr>
      </w:pPr>
      <w:r w:rsidRPr="00315856">
        <w:rPr>
          <w:rFonts w:eastAsia="MS PGothic" w:cstheme="minorHAnsi"/>
          <w:bCs/>
          <w:color w:val="44546A" w:themeColor="text2"/>
          <w:sz w:val="16"/>
          <w:szCs w:val="20"/>
          <w:lang w:val="sr-Cyrl-RS" w:eastAsia="ja-JP"/>
        </w:rPr>
        <w:t>Извор:</w:t>
      </w:r>
      <w:r w:rsidRPr="00A37BCE">
        <w:rPr>
          <w:rFonts w:eastAsia="MS PGothic" w:cstheme="minorHAnsi"/>
          <w:bCs/>
          <w:color w:val="44546A" w:themeColor="text2"/>
          <w:sz w:val="16"/>
          <w:szCs w:val="20"/>
          <w:lang w:val="sr-Cyrl-RS" w:eastAsia="ja-JP"/>
        </w:rPr>
        <w:t xml:space="preserve"> </w:t>
      </w:r>
      <w:r w:rsidRPr="00A37BCE">
        <w:rPr>
          <w:rFonts w:eastAsia="Calibri" w:cstheme="minorHAnsi"/>
          <w:color w:val="44546A" w:themeColor="text2"/>
          <w:sz w:val="16"/>
          <w:szCs w:val="20"/>
          <w:lang w:val="sr-Cyrl-RS"/>
        </w:rPr>
        <w:t>Министарство финансија</w:t>
      </w:r>
    </w:p>
    <w:p w14:paraId="69A8E05F" w14:textId="1348FD5D"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lastRenderedPageBreak/>
        <w:t>Приходи буџета по основу уплате добити јавних предузећа, како редовне, тако и из нераспоређене добити претходних година, у 2017. години износили су 0,7% укупних буџетских прихода</w:t>
      </w:r>
      <w:r w:rsidRPr="00887C06">
        <w:rPr>
          <w:rFonts w:eastAsia="Calibri" w:cstheme="minorHAnsi"/>
          <w:color w:val="44546A" w:themeColor="text2"/>
          <w:sz w:val="20"/>
          <w:szCs w:val="20"/>
          <w:vertAlign w:val="superscript"/>
          <w:lang w:val="sr-Cyrl-RS" w:eastAsia="ja-JP"/>
        </w:rPr>
        <w:footnoteReference w:id="18"/>
      </w:r>
      <w:r w:rsidRPr="00A37BCE">
        <w:rPr>
          <w:rFonts w:eastAsia="Calibri" w:cstheme="minorHAnsi"/>
          <w:color w:val="44546A" w:themeColor="text2"/>
          <w:sz w:val="20"/>
          <w:szCs w:val="20"/>
          <w:lang w:val="sr-Cyrl-RS" w:eastAsia="ja-JP"/>
        </w:rPr>
        <w:t>. Уплаћена добит ЈП, закључно са септембром 2018. године износила је 13,1 млрд динара, односно 1,5% укупних прихода буџета.</w:t>
      </w:r>
    </w:p>
    <w:p w14:paraId="54D30CC9" w14:textId="77777777"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Обавеза за јавна предузећа да уплате најмање 50% добити остварене у претходној години прописана је и Законом о буџету Републике Србије за 2018. годину. По овом основу планирана је уплата у буџет у 2018. години у износу од око 5 млрд динара (остатак планираног износа од 15,5 млрд односи се на дивиденде привредних друштава). Планирани износ је премашен и у буџет је закључно са септембром уплаћено 13,1 млрд динара.</w:t>
      </w:r>
    </w:p>
    <w:p w14:paraId="6E194908" w14:textId="62D0D4EB" w:rsidR="00642DA6" w:rsidRPr="000D0A45" w:rsidRDefault="00BA4876" w:rsidP="000D0A45">
      <w:pPr>
        <w:spacing w:after="120" w:line="276" w:lineRule="auto"/>
        <w:jc w:val="both"/>
        <w:rPr>
          <w:rFonts w:eastAsia="MS PGothic" w:cstheme="minorHAnsi"/>
          <w:bCs/>
          <w:color w:val="44546A" w:themeColor="text2"/>
          <w:sz w:val="20"/>
          <w:szCs w:val="20"/>
          <w:lang w:val="sr-Cyrl-RS" w:eastAsia="ja-JP"/>
        </w:rPr>
      </w:pPr>
      <w:r w:rsidRPr="00A37BCE">
        <w:rPr>
          <w:rFonts w:eastAsia="Calibri" w:cstheme="minorHAnsi"/>
          <w:color w:val="44546A" w:themeColor="text2"/>
          <w:sz w:val="20"/>
          <w:szCs w:val="20"/>
          <w:lang w:val="sr-Cyrl-RS" w:eastAsia="ja-JP"/>
        </w:rPr>
        <w:t>Ублажавање потенцијалних ризика, који настају као последица пословања јавних предузећа, обухвата низ мера везаних за одговорност, профитабилност и транспарентност у пословању ових предузећа. Почетком 2016. године је усвојен нови Закон о јавним предузећима који ће ојачати структуру управљања и одговорност јавних предузећа. Процеси реструктурирања</w:t>
      </w:r>
      <w:r w:rsidRPr="00A37BCE">
        <w:rPr>
          <w:rFonts w:eastAsia="MS PGothic" w:cstheme="minorHAnsi"/>
          <w:bCs/>
          <w:color w:val="44546A" w:themeColor="text2"/>
          <w:sz w:val="20"/>
          <w:szCs w:val="20"/>
          <w:lang w:val="sr-Cyrl-RS" w:eastAsia="ja-JP"/>
        </w:rPr>
        <w:t xml:space="preserve"> покренути су у ЈП ЕПС, ЈП „Србијагасˮ и „Железнице Србије” а.д, при чему ће од успешности самог процеса реструктурирања и брзине спровођења усвојених мера зависити ефикасност пословања у будућности.</w:t>
      </w:r>
    </w:p>
    <w:p w14:paraId="395DDFC2" w14:textId="373457CE" w:rsidR="00BA4876" w:rsidRPr="00A37BCE" w:rsidRDefault="00BA4876" w:rsidP="00BA4876">
      <w:pPr>
        <w:spacing w:after="0" w:line="276" w:lineRule="auto"/>
        <w:jc w:val="center"/>
        <w:rPr>
          <w:rFonts w:cstheme="minorHAnsi"/>
          <w:b/>
          <w:bCs/>
          <w:color w:val="2F5496" w:themeColor="accent1" w:themeShade="BF"/>
          <w:szCs w:val="20"/>
          <w:lang w:val="sr-Cyrl-RS"/>
        </w:rPr>
      </w:pPr>
      <w:r w:rsidRPr="00A37BCE">
        <w:rPr>
          <w:rFonts w:cstheme="minorHAnsi"/>
          <w:b/>
          <w:bCs/>
          <w:color w:val="2F5496" w:themeColor="accent1" w:themeShade="BF"/>
          <w:szCs w:val="20"/>
          <w:lang w:val="sr-Cyrl-RS"/>
        </w:rPr>
        <w:t>Државне финансијске институције, банкарски систем и осигурање депозита</w:t>
      </w:r>
    </w:p>
    <w:p w14:paraId="615DDBE8" w14:textId="77777777" w:rsidR="00BA4876" w:rsidRPr="00A37BCE" w:rsidRDefault="00BA4876" w:rsidP="00BA4876">
      <w:pPr>
        <w:spacing w:after="0" w:line="276" w:lineRule="auto"/>
        <w:jc w:val="center"/>
        <w:rPr>
          <w:rFonts w:cstheme="minorHAnsi"/>
          <w:color w:val="44546A" w:themeColor="text2"/>
          <w:sz w:val="20"/>
          <w:szCs w:val="20"/>
          <w:lang w:val="sr-Cyrl-RS"/>
        </w:rPr>
      </w:pPr>
    </w:p>
    <w:p w14:paraId="68CA4997" w14:textId="40753409" w:rsidR="00BA4876" w:rsidRPr="00A37BCE" w:rsidRDefault="00BA4876" w:rsidP="00BA4876">
      <w:pPr>
        <w:spacing w:after="120" w:line="276" w:lineRule="auto"/>
        <w:jc w:val="both"/>
        <w:rPr>
          <w:rFonts w:cstheme="minorHAnsi"/>
          <w:color w:val="44546A" w:themeColor="text2"/>
          <w:sz w:val="20"/>
          <w:szCs w:val="20"/>
          <w:lang w:val="sr-Cyrl-RS"/>
        </w:rPr>
      </w:pPr>
      <w:r w:rsidRPr="00A37BCE">
        <w:rPr>
          <w:rFonts w:cstheme="minorHAnsi"/>
          <w:color w:val="44546A" w:themeColor="text2"/>
          <w:sz w:val="20"/>
          <w:szCs w:val="20"/>
          <w:lang w:val="sr-Cyrl-RS"/>
        </w:rPr>
        <w:t>Пре периода фискалне консолидације Република Србија имала је значајне фискалне трошкове спашавања државних банака. Укупни трошкови државних интервенција у банк</w:t>
      </w:r>
      <w:r w:rsidR="00A963A9">
        <w:rPr>
          <w:rFonts w:cstheme="minorHAnsi"/>
          <w:color w:val="44546A" w:themeColor="text2"/>
          <w:sz w:val="20"/>
          <w:szCs w:val="20"/>
          <w:lang w:val="sr-Cyrl-RS"/>
        </w:rPr>
        <w:t>арском сектору у периоду 2012–</w:t>
      </w:r>
      <w:r w:rsidRPr="00A37BCE">
        <w:rPr>
          <w:rFonts w:cstheme="minorHAnsi"/>
          <w:color w:val="44546A" w:themeColor="text2"/>
          <w:sz w:val="20"/>
          <w:szCs w:val="20"/>
          <w:lang w:val="sr-Cyrl-RS"/>
        </w:rPr>
        <w:t xml:space="preserve">2015. године износили су око 900 милиона евра. То је износ издвојен за докапитализацију банака, различите финансијске трансакције приликом припајања неуспешних </w:t>
      </w:r>
      <w:r w:rsidRPr="00A37BCE">
        <w:rPr>
          <w:rFonts w:cstheme="minorHAnsi"/>
          <w:color w:val="44546A" w:themeColor="text2"/>
          <w:sz w:val="20"/>
          <w:szCs w:val="20"/>
          <w:lang w:val="sr-Cyrl-RS"/>
        </w:rPr>
        <w:lastRenderedPageBreak/>
        <w:t>банака успешнијим, укључујући и исплату осигураних и неосигураних депозита (за шта су коришћена средства Аг</w:t>
      </w:r>
      <w:r w:rsidR="000E2AEF">
        <w:rPr>
          <w:rFonts w:cstheme="minorHAnsi"/>
          <w:color w:val="44546A" w:themeColor="text2"/>
          <w:sz w:val="20"/>
          <w:szCs w:val="20"/>
          <w:lang w:val="sr-Cyrl-RS"/>
        </w:rPr>
        <w:t>енције за осигурање депозита).</w:t>
      </w:r>
    </w:p>
    <w:p w14:paraId="33761ECA" w14:textId="77777777" w:rsidR="00BA4876" w:rsidRPr="00A37BCE" w:rsidRDefault="00BA4876" w:rsidP="00BA4876">
      <w:pPr>
        <w:spacing w:after="120" w:line="276" w:lineRule="auto"/>
        <w:jc w:val="both"/>
        <w:rPr>
          <w:rFonts w:cstheme="minorHAnsi"/>
          <w:color w:val="44546A" w:themeColor="text2"/>
          <w:sz w:val="20"/>
          <w:szCs w:val="20"/>
          <w:lang w:val="sr-Cyrl-RS"/>
        </w:rPr>
      </w:pPr>
      <w:r w:rsidRPr="00A37BCE">
        <w:rPr>
          <w:rFonts w:cstheme="minorHAnsi"/>
          <w:color w:val="44546A" w:themeColor="text2"/>
          <w:sz w:val="20"/>
          <w:szCs w:val="20"/>
          <w:lang w:val="sr-Cyrl-RS"/>
        </w:rPr>
        <w:t>Република Србија данас у банкарском сектору земље има директан удео у капиталу:</w:t>
      </w:r>
    </w:p>
    <w:p w14:paraId="55880BAA" w14:textId="616D57D9" w:rsidR="00BA4876" w:rsidRPr="00A37BCE" w:rsidRDefault="00BA4876" w:rsidP="00B80E26">
      <w:pPr>
        <w:numPr>
          <w:ilvl w:val="0"/>
          <w:numId w:val="9"/>
        </w:numPr>
        <w:tabs>
          <w:tab w:val="left" w:pos="180"/>
        </w:tabs>
        <w:spacing w:after="120" w:line="276" w:lineRule="auto"/>
        <w:ind w:hanging="720"/>
        <w:contextualSpacing/>
        <w:rPr>
          <w:rFonts w:cstheme="minorHAnsi"/>
          <w:color w:val="44546A" w:themeColor="text2"/>
          <w:sz w:val="20"/>
          <w:szCs w:val="20"/>
          <w:lang w:val="sr-Cyrl-RS"/>
        </w:rPr>
      </w:pPr>
      <w:r w:rsidRPr="00A37BCE">
        <w:rPr>
          <w:rFonts w:cstheme="minorHAnsi"/>
          <w:color w:val="44546A" w:themeColor="text2"/>
          <w:sz w:val="20"/>
          <w:szCs w:val="20"/>
          <w:lang w:val="sr-Cyrl-RS"/>
        </w:rPr>
        <w:t>Банке Поштанска штедионица а.д Београд</w:t>
      </w:r>
      <w:r w:rsidR="00B80E26" w:rsidRPr="00A37BCE">
        <w:rPr>
          <w:rFonts w:cstheme="minorHAnsi"/>
          <w:color w:val="44546A" w:themeColor="text2"/>
          <w:sz w:val="20"/>
          <w:szCs w:val="20"/>
          <w:lang w:val="sr-Cyrl-RS"/>
        </w:rPr>
        <w:t xml:space="preserve"> </w:t>
      </w:r>
      <w:r w:rsidRPr="00A37BCE">
        <w:rPr>
          <w:rFonts w:cstheme="minorHAnsi"/>
          <w:color w:val="44546A" w:themeColor="text2"/>
          <w:sz w:val="20"/>
          <w:szCs w:val="20"/>
          <w:lang w:val="sr-Cyrl-RS"/>
        </w:rPr>
        <w:t>(74,5%),</w:t>
      </w:r>
    </w:p>
    <w:p w14:paraId="5F346241" w14:textId="7E2230BF" w:rsidR="00BA4876" w:rsidRPr="00A37BCE" w:rsidRDefault="00BA4876" w:rsidP="00BA4876">
      <w:pPr>
        <w:numPr>
          <w:ilvl w:val="0"/>
          <w:numId w:val="9"/>
        </w:numPr>
        <w:tabs>
          <w:tab w:val="left" w:pos="180"/>
        </w:tabs>
        <w:spacing w:after="120" w:line="276" w:lineRule="auto"/>
        <w:ind w:hanging="720"/>
        <w:contextualSpacing/>
        <w:jc w:val="both"/>
        <w:rPr>
          <w:rFonts w:cstheme="minorHAnsi"/>
          <w:color w:val="44546A" w:themeColor="text2"/>
          <w:sz w:val="20"/>
          <w:szCs w:val="20"/>
          <w:lang w:val="sr-Cyrl-RS"/>
        </w:rPr>
      </w:pPr>
      <w:r w:rsidRPr="00A37BCE">
        <w:rPr>
          <w:rFonts w:cstheme="minorHAnsi"/>
          <w:color w:val="44546A" w:themeColor="text2"/>
          <w:sz w:val="20"/>
          <w:szCs w:val="20"/>
          <w:lang w:val="sr-Cyrl-RS"/>
        </w:rPr>
        <w:t>Комерцијалне банке а.</w:t>
      </w:r>
      <w:r w:rsidR="00EB0EE8">
        <w:rPr>
          <w:rFonts w:cstheme="minorHAnsi"/>
          <w:color w:val="44546A" w:themeColor="text2"/>
          <w:sz w:val="20"/>
          <w:szCs w:val="20"/>
          <w:lang w:val="sr-Cyrl-RS"/>
        </w:rPr>
        <w:t xml:space="preserve"> </w:t>
      </w:r>
      <w:r w:rsidRPr="00A37BCE">
        <w:rPr>
          <w:rFonts w:cstheme="minorHAnsi"/>
          <w:color w:val="44546A" w:themeColor="text2"/>
          <w:sz w:val="20"/>
          <w:szCs w:val="20"/>
          <w:lang w:val="sr-Cyrl-RS"/>
        </w:rPr>
        <w:t>д. Београд (41,74%),</w:t>
      </w:r>
    </w:p>
    <w:p w14:paraId="77AA4E39" w14:textId="00B515E3" w:rsidR="00BA4876" w:rsidRPr="00A37BCE" w:rsidRDefault="00BA4876" w:rsidP="00BA4876">
      <w:pPr>
        <w:numPr>
          <w:ilvl w:val="0"/>
          <w:numId w:val="9"/>
        </w:numPr>
        <w:tabs>
          <w:tab w:val="left" w:pos="180"/>
        </w:tabs>
        <w:spacing w:after="120" w:line="276" w:lineRule="auto"/>
        <w:ind w:hanging="720"/>
        <w:contextualSpacing/>
        <w:jc w:val="both"/>
        <w:rPr>
          <w:rFonts w:cstheme="minorHAnsi"/>
          <w:color w:val="44546A" w:themeColor="text2"/>
          <w:sz w:val="20"/>
          <w:szCs w:val="20"/>
          <w:lang w:val="sr-Cyrl-RS"/>
        </w:rPr>
      </w:pPr>
      <w:r w:rsidRPr="00A37BCE">
        <w:rPr>
          <w:rFonts w:cstheme="minorHAnsi"/>
          <w:color w:val="44546A" w:themeColor="text2"/>
          <w:sz w:val="20"/>
          <w:szCs w:val="20"/>
          <w:lang w:val="sr-Cyrl-RS"/>
        </w:rPr>
        <w:t>Јубмес банке а.</w:t>
      </w:r>
      <w:r w:rsidR="00EB0EE8">
        <w:rPr>
          <w:rFonts w:cstheme="minorHAnsi"/>
          <w:color w:val="44546A" w:themeColor="text2"/>
          <w:sz w:val="20"/>
          <w:szCs w:val="20"/>
          <w:lang w:val="sr-Cyrl-RS"/>
        </w:rPr>
        <w:t xml:space="preserve"> </w:t>
      </w:r>
      <w:r w:rsidRPr="00A37BCE">
        <w:rPr>
          <w:rFonts w:cstheme="minorHAnsi"/>
          <w:color w:val="44546A" w:themeColor="text2"/>
          <w:sz w:val="20"/>
          <w:szCs w:val="20"/>
          <w:lang w:val="sr-Cyrl-RS"/>
        </w:rPr>
        <w:t>д Београд (20,2%),</w:t>
      </w:r>
    </w:p>
    <w:p w14:paraId="5B87CF26" w14:textId="3EAA47F0" w:rsidR="00BA4876" w:rsidRPr="00A37BCE" w:rsidRDefault="00BA4876" w:rsidP="00BA4876">
      <w:pPr>
        <w:numPr>
          <w:ilvl w:val="0"/>
          <w:numId w:val="9"/>
        </w:numPr>
        <w:tabs>
          <w:tab w:val="left" w:pos="180"/>
        </w:tabs>
        <w:spacing w:after="120" w:line="276" w:lineRule="auto"/>
        <w:ind w:hanging="720"/>
        <w:contextualSpacing/>
        <w:jc w:val="both"/>
        <w:rPr>
          <w:rFonts w:cstheme="minorHAnsi"/>
          <w:color w:val="44546A" w:themeColor="text2"/>
          <w:sz w:val="20"/>
          <w:szCs w:val="20"/>
          <w:lang w:val="sr-Cyrl-RS"/>
        </w:rPr>
      </w:pPr>
      <w:r w:rsidRPr="00A37BCE">
        <w:rPr>
          <w:rFonts w:cstheme="minorHAnsi"/>
          <w:color w:val="44546A" w:themeColor="text2"/>
          <w:sz w:val="20"/>
          <w:szCs w:val="20"/>
          <w:lang w:val="sr-Cyrl-RS"/>
        </w:rPr>
        <w:t>Српске банке а.</w:t>
      </w:r>
      <w:r w:rsidR="00EB0EE8">
        <w:rPr>
          <w:rFonts w:cstheme="minorHAnsi"/>
          <w:color w:val="44546A" w:themeColor="text2"/>
          <w:sz w:val="20"/>
          <w:szCs w:val="20"/>
          <w:lang w:val="sr-Cyrl-RS"/>
        </w:rPr>
        <w:t xml:space="preserve"> </w:t>
      </w:r>
      <w:r w:rsidRPr="00A37BCE">
        <w:rPr>
          <w:rFonts w:cstheme="minorHAnsi"/>
          <w:color w:val="44546A" w:themeColor="text2"/>
          <w:sz w:val="20"/>
          <w:szCs w:val="20"/>
          <w:lang w:val="sr-Cyrl-RS"/>
        </w:rPr>
        <w:t>д Београд (76,7%).</w:t>
      </w:r>
    </w:p>
    <w:p w14:paraId="0422DB1F" w14:textId="46E79775" w:rsidR="00BA4876" w:rsidRPr="00A37BCE" w:rsidRDefault="00BA4876" w:rsidP="00BA4876">
      <w:pPr>
        <w:spacing w:after="120" w:line="276" w:lineRule="auto"/>
        <w:jc w:val="both"/>
        <w:rPr>
          <w:rFonts w:cstheme="minorHAnsi"/>
          <w:color w:val="44546A" w:themeColor="text2"/>
          <w:sz w:val="20"/>
          <w:szCs w:val="20"/>
          <w:lang w:val="sr-Cyrl-RS"/>
        </w:rPr>
      </w:pPr>
      <w:r w:rsidRPr="00A37BCE">
        <w:rPr>
          <w:rFonts w:cstheme="minorHAnsi"/>
          <w:color w:val="44546A" w:themeColor="text2"/>
          <w:sz w:val="20"/>
          <w:szCs w:val="20"/>
          <w:lang w:val="sr-Cyrl-RS"/>
        </w:rPr>
        <w:t>У циљу доследног спровођења излазне стратегије и смањења фискалних ризика по овом основу настављају се реформске активности у области држ</w:t>
      </w:r>
      <w:r w:rsidR="000E2AEF">
        <w:rPr>
          <w:rFonts w:cstheme="minorHAnsi"/>
          <w:color w:val="44546A" w:themeColor="text2"/>
          <w:sz w:val="20"/>
          <w:szCs w:val="20"/>
          <w:lang w:val="sr-Cyrl-RS"/>
        </w:rPr>
        <w:t>авних финансијских институција.</w:t>
      </w:r>
    </w:p>
    <w:p w14:paraId="483CE078" w14:textId="45A3B885" w:rsidR="00BA4876" w:rsidRPr="00A37BCE" w:rsidRDefault="00BA4876" w:rsidP="00BA4876">
      <w:pPr>
        <w:spacing w:after="120" w:line="276" w:lineRule="auto"/>
        <w:jc w:val="both"/>
        <w:rPr>
          <w:rFonts w:cstheme="minorHAnsi"/>
          <w:color w:val="44546A" w:themeColor="text2"/>
          <w:sz w:val="20"/>
          <w:szCs w:val="20"/>
          <w:lang w:val="sr-Cyrl-RS"/>
        </w:rPr>
      </w:pPr>
      <w:r w:rsidRPr="00A37BCE">
        <w:rPr>
          <w:rFonts w:cstheme="minorHAnsi"/>
          <w:color w:val="002060"/>
          <w:sz w:val="20"/>
          <w:szCs w:val="20"/>
          <w:lang w:val="sr-Cyrl-RS"/>
        </w:rPr>
        <w:t xml:space="preserve">Банка Поштанска штедионица. </w:t>
      </w:r>
      <w:r w:rsidRPr="00A37BCE">
        <w:rPr>
          <w:rFonts w:cstheme="minorHAnsi"/>
          <w:color w:val="44546A" w:themeColor="text2"/>
          <w:sz w:val="20"/>
          <w:szCs w:val="20"/>
          <w:lang w:val="sr-Cyrl-RS"/>
        </w:rPr>
        <w:t>Уз подршку Светске банке наставиће се са спровођењем нове стратегије за Банку Поштанска штедионица са нагласком на преусмеравање пословања са становништвом, предузетницима, микропредузећима и малим предузећима; побољшање интерне организације банке, корпоративног управљања и управљања ризиком; јачање ИТ инфраструктуре, као и план пословања за период 2018</w:t>
      </w:r>
      <w:r w:rsidR="00A963A9" w:rsidRPr="00A963A9">
        <w:rPr>
          <w:rFonts w:cstheme="minorHAnsi"/>
          <w:color w:val="44546A" w:themeColor="text2"/>
          <w:sz w:val="20"/>
          <w:szCs w:val="20"/>
          <w:lang w:val="sr-Cyrl-RS"/>
        </w:rPr>
        <w:t>–</w:t>
      </w:r>
      <w:r w:rsidRPr="00A37BCE">
        <w:rPr>
          <w:rFonts w:cstheme="minorHAnsi"/>
          <w:color w:val="44546A" w:themeColor="text2"/>
          <w:sz w:val="20"/>
          <w:szCs w:val="20"/>
          <w:lang w:val="sr-Cyrl-RS"/>
        </w:rPr>
        <w:t>2020. године.</w:t>
      </w:r>
    </w:p>
    <w:p w14:paraId="627C3BE0" w14:textId="3FCE2931" w:rsidR="00BA4876" w:rsidRPr="00A37BCE" w:rsidRDefault="00BA4876" w:rsidP="00BA4876">
      <w:pPr>
        <w:spacing w:after="120" w:line="276" w:lineRule="auto"/>
        <w:jc w:val="both"/>
        <w:rPr>
          <w:rFonts w:cstheme="minorHAnsi"/>
          <w:color w:val="44546A" w:themeColor="text2"/>
          <w:sz w:val="20"/>
          <w:szCs w:val="20"/>
          <w:lang w:val="sr-Cyrl-RS"/>
        </w:rPr>
      </w:pPr>
      <w:r w:rsidRPr="00A37BCE">
        <w:rPr>
          <w:rFonts w:cstheme="minorHAnsi"/>
          <w:color w:val="002060"/>
          <w:sz w:val="20"/>
          <w:szCs w:val="20"/>
          <w:lang w:val="sr-Cyrl-RS"/>
        </w:rPr>
        <w:t>Комерцијалн</w:t>
      </w:r>
      <w:r w:rsidR="00FC692C">
        <w:rPr>
          <w:rFonts w:cstheme="minorHAnsi"/>
          <w:color w:val="002060"/>
          <w:sz w:val="20"/>
          <w:szCs w:val="20"/>
          <w:lang w:val="sr-Cyrl-RS"/>
        </w:rPr>
        <w:t>а</w:t>
      </w:r>
      <w:r w:rsidRPr="00A37BCE">
        <w:rPr>
          <w:rFonts w:cstheme="minorHAnsi"/>
          <w:color w:val="002060"/>
          <w:sz w:val="20"/>
          <w:szCs w:val="20"/>
          <w:lang w:val="sr-Cyrl-RS"/>
        </w:rPr>
        <w:t xml:space="preserve"> банка. </w:t>
      </w:r>
      <w:r w:rsidRPr="00A37BCE">
        <w:rPr>
          <w:rFonts w:cstheme="minorHAnsi"/>
          <w:color w:val="44546A" w:themeColor="text2"/>
          <w:sz w:val="20"/>
          <w:szCs w:val="20"/>
          <w:lang w:val="sr-Cyrl-RS"/>
        </w:rPr>
        <w:t>Активности у вези са приватизацијом Комерцијалне банке односе се на расписивање позива за достављање Изјаве о заинтересованости ради избора Финансијског саветника за продају удела Републике Србије у капиталу те банке. Након избора Финансијског саветника следи наредна фаза имплементације процеса приватизације по доношењу одлуке о покретању процеса приватизације од стране Владе.</w:t>
      </w:r>
    </w:p>
    <w:p w14:paraId="5311E9E0" w14:textId="34EAA9D2" w:rsidR="00BA4876" w:rsidRPr="00A37BCE" w:rsidRDefault="00BA4876" w:rsidP="00BA4876">
      <w:pPr>
        <w:spacing w:after="120" w:line="276" w:lineRule="auto"/>
        <w:jc w:val="both"/>
        <w:rPr>
          <w:rFonts w:cstheme="minorHAnsi"/>
          <w:color w:val="44546A" w:themeColor="text2"/>
          <w:sz w:val="20"/>
          <w:szCs w:val="20"/>
          <w:lang w:val="sr-Cyrl-RS"/>
        </w:rPr>
      </w:pPr>
      <w:r w:rsidRPr="00A37BCE">
        <w:rPr>
          <w:rFonts w:cstheme="minorHAnsi"/>
          <w:color w:val="002060"/>
          <w:sz w:val="20"/>
          <w:szCs w:val="20"/>
          <w:lang w:val="sr-Cyrl-RS"/>
        </w:rPr>
        <w:t>Јубмес банка.</w:t>
      </w:r>
      <w:r w:rsidRPr="00A37BCE">
        <w:rPr>
          <w:rFonts w:cstheme="minorHAnsi"/>
          <w:color w:val="44546A" w:themeColor="text2"/>
          <w:sz w:val="20"/>
          <w:szCs w:val="20"/>
          <w:lang w:val="sr-Cyrl-RS"/>
        </w:rPr>
        <w:t xml:space="preserve"> Влада </w:t>
      </w:r>
      <w:r w:rsidR="00CD625C">
        <w:rPr>
          <w:rFonts w:cstheme="minorHAnsi"/>
          <w:color w:val="44546A" w:themeColor="text2"/>
          <w:sz w:val="20"/>
          <w:szCs w:val="20"/>
          <w:lang w:val="sr-Cyrl-RS"/>
        </w:rPr>
        <w:t xml:space="preserve">је </w:t>
      </w:r>
      <w:r w:rsidRPr="00A37BCE">
        <w:rPr>
          <w:rFonts w:cstheme="minorHAnsi"/>
          <w:color w:val="44546A" w:themeColor="text2"/>
          <w:sz w:val="20"/>
          <w:szCs w:val="20"/>
          <w:lang w:val="sr-Cyrl-RS"/>
        </w:rPr>
        <w:t>препоручила</w:t>
      </w:r>
      <w:r w:rsidR="00CD625C">
        <w:rPr>
          <w:rFonts w:cstheme="minorHAnsi"/>
          <w:color w:val="44546A" w:themeColor="text2"/>
          <w:sz w:val="20"/>
          <w:szCs w:val="20"/>
          <w:lang w:val="sr-Cyrl-RS"/>
        </w:rPr>
        <w:t xml:space="preserve"> </w:t>
      </w:r>
      <w:r w:rsidRPr="00A37BCE">
        <w:rPr>
          <w:rFonts w:cstheme="minorHAnsi"/>
          <w:color w:val="44546A" w:themeColor="text2"/>
          <w:sz w:val="20"/>
          <w:szCs w:val="20"/>
          <w:lang w:val="sr-Cyrl-RS"/>
        </w:rPr>
        <w:t xml:space="preserve">покретање поступка продаје капитала Јубмес банке, које је у директном власништву Републике Србије, марта 2018. године, сходно чему су Министарству финансија достављене изјаве о </w:t>
      </w:r>
      <w:r w:rsidRPr="00A37BCE">
        <w:rPr>
          <w:rFonts w:cstheme="minorHAnsi"/>
          <w:color w:val="44546A" w:themeColor="text2"/>
          <w:sz w:val="20"/>
          <w:szCs w:val="20"/>
          <w:lang w:val="sr-Cyrl-RS"/>
        </w:rPr>
        <w:lastRenderedPageBreak/>
        <w:t>заинтересованости. За очекивати је да у најскоријем року буде спроведена деетатизација ове банке.</w:t>
      </w:r>
    </w:p>
    <w:p w14:paraId="7146069F" w14:textId="064B0757" w:rsidR="00BA4876" w:rsidRPr="00A37BCE" w:rsidRDefault="00BA4876" w:rsidP="00BA4876">
      <w:pPr>
        <w:spacing w:after="120" w:line="276" w:lineRule="auto"/>
        <w:jc w:val="both"/>
        <w:rPr>
          <w:rFonts w:cstheme="minorHAnsi"/>
          <w:color w:val="44546A" w:themeColor="text2"/>
          <w:sz w:val="20"/>
          <w:szCs w:val="20"/>
          <w:lang w:val="sr-Cyrl-RS"/>
        </w:rPr>
      </w:pPr>
      <w:r w:rsidRPr="00A37BCE">
        <w:rPr>
          <w:rFonts w:cstheme="minorHAnsi"/>
          <w:color w:val="002060"/>
          <w:sz w:val="20"/>
          <w:szCs w:val="20"/>
          <w:lang w:val="sr-Cyrl-RS"/>
        </w:rPr>
        <w:t xml:space="preserve">Српска банка. </w:t>
      </w:r>
      <w:r w:rsidRPr="00A37BCE">
        <w:rPr>
          <w:rFonts w:cstheme="minorHAnsi"/>
          <w:color w:val="44546A" w:themeColor="text2"/>
          <w:sz w:val="20"/>
          <w:szCs w:val="20"/>
          <w:lang w:val="sr-Cyrl-RS"/>
        </w:rPr>
        <w:t>У складу са Владином стратегијом за државне банке, покренут је поступак формирања Стручне радне групе за трaнсфoрмaциjу Српске банке у спeциjaлизoвaну финансијску институцију за пружање свих врста финансијских услуга и подршке нaмeнскoj индустрији Р</w:t>
      </w:r>
      <w:r w:rsidR="000E2AEF">
        <w:rPr>
          <w:rFonts w:cstheme="minorHAnsi"/>
          <w:color w:val="44546A" w:themeColor="text2"/>
          <w:sz w:val="20"/>
          <w:szCs w:val="20"/>
          <w:lang w:val="sr-Cyrl-RS"/>
        </w:rPr>
        <w:t>епублике Србије.</w:t>
      </w:r>
    </w:p>
    <w:p w14:paraId="2678F035" w14:textId="5E492398"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Реформа прописа који уређују српски финансијски систем</w:t>
      </w:r>
      <w:r w:rsidRPr="00920720">
        <w:rPr>
          <w:rFonts w:eastAsia="Calibri" w:cstheme="minorHAnsi"/>
          <w:color w:val="44546A" w:themeColor="text2"/>
          <w:sz w:val="20"/>
          <w:szCs w:val="20"/>
          <w:vertAlign w:val="superscript"/>
          <w:lang w:val="sr-Cyrl-RS" w:eastAsia="ja-JP"/>
        </w:rPr>
        <w:footnoteReference w:id="19"/>
      </w:r>
      <w:r w:rsidRPr="00A37BCE">
        <w:rPr>
          <w:rFonts w:eastAsia="Calibri" w:cstheme="minorHAnsi"/>
          <w:color w:val="44546A" w:themeColor="text2"/>
          <w:sz w:val="20"/>
          <w:szCs w:val="20"/>
          <w:lang w:val="sr-Cyrl-RS" w:eastAsia="ja-JP"/>
        </w:rPr>
        <w:t xml:space="preserve"> спроведена је фебруара 2015. године. Једна од карактеристика те реформе јесте и пренос надлежности праћења резултата пословања и рада органа управљања у банкама, друштвима за осигурање и другим финансијским институцијама чији је акционар Република Србија, као и организовање и спровођење поступка продаје акција у њима, са Агенције за осигурање депозита на Министарство финансија, почев од 1. априла 2015. године. Реформом прописа је у домаћу регулативу транспонована и Директива о реструктурирању банака (</w:t>
      </w:r>
      <w:r w:rsidRPr="00EB0EE8">
        <w:rPr>
          <w:rFonts w:eastAsia="Calibri" w:cstheme="minorHAnsi"/>
          <w:i/>
          <w:color w:val="44546A" w:themeColor="text2"/>
          <w:sz w:val="20"/>
          <w:szCs w:val="20"/>
          <w:lang w:val="sr-Cyrl-RS" w:eastAsia="ja-JP"/>
        </w:rPr>
        <w:t>Bank Recovery and Resolution Directive</w:t>
      </w:r>
      <w:r w:rsidRPr="00A37BCE">
        <w:rPr>
          <w:rFonts w:eastAsia="Calibri" w:cstheme="minorHAnsi"/>
          <w:color w:val="44546A" w:themeColor="text2"/>
          <w:sz w:val="20"/>
          <w:szCs w:val="20"/>
          <w:lang w:val="sr-Cyrl-RS" w:eastAsia="ja-JP"/>
        </w:rPr>
        <w:t xml:space="preserve"> – BRRD) и функција реструктурирања банака поверена је НБС. У децембру 2016. године усвојен је сет прописа којима се у домаћи регулаторни оквир имплементирају Базел III стандарди, чиме је постигнут значајан степен усклађености домаћих прописа са релевантним прописима Европске уније у овој области, а током 2017. се наставило са активностима на унапређењу домаћих прописа којима се уређује пословање банака, а у циљу њиховог даљег усклађивања са прописима ЕУ. Основни циљеви усвајања ових прописа су повећање отпорности банкарског сектора повећањем квалитета капитала и увођењем заштитних слојева капитала, боље праћење и контрола изложености банке ризику ликвидности, даље јачање тржишне дисциплине и транспарентности пословања банака у Републици Србији објављивањем свих релевантних информација о пословању банке, као и </w:t>
      </w:r>
      <w:r w:rsidRPr="00A37BCE">
        <w:rPr>
          <w:rFonts w:eastAsia="Calibri" w:cstheme="minorHAnsi"/>
          <w:color w:val="44546A" w:themeColor="text2"/>
          <w:sz w:val="20"/>
          <w:szCs w:val="20"/>
          <w:lang w:val="sr-Cyrl-RS" w:eastAsia="ja-JP"/>
        </w:rPr>
        <w:lastRenderedPageBreak/>
        <w:t>прилагођавање извештајног систе</w:t>
      </w:r>
      <w:r w:rsidR="000E2AEF">
        <w:rPr>
          <w:rFonts w:eastAsia="Calibri" w:cstheme="minorHAnsi"/>
          <w:color w:val="44546A" w:themeColor="text2"/>
          <w:sz w:val="20"/>
          <w:szCs w:val="20"/>
          <w:lang w:val="sr-Cyrl-RS" w:eastAsia="ja-JP"/>
        </w:rPr>
        <w:t>ма новим регулаторним решењима.</w:t>
      </w:r>
    </w:p>
    <w:p w14:paraId="08A3F135" w14:textId="02720D1F"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Један од ограничавајућих фактора за раст кредитне активности представљао је релативно висок ниво проблематичних кредита. У августу 2015. године усвојена је Стратегија за решавање проблематичних кредита која се спроводи имплементацијом два акциона плана, један припремљен од стране Владе и други припремљен од стране НБС, у циљу спуштања нивоа проблематичних кредита. Кључне области имплементације подразумевале су јачање капацитета банака за решавање проблематичних кредита, унапређење регулативе за процену вредности средстава обезбеђења, развој тржиш</w:t>
      </w:r>
      <w:r w:rsidR="000E2AEF">
        <w:rPr>
          <w:rFonts w:eastAsia="Calibri" w:cstheme="minorHAnsi"/>
          <w:color w:val="44546A" w:themeColor="text2"/>
          <w:sz w:val="20"/>
          <w:szCs w:val="20"/>
          <w:lang w:val="sr-Cyrl-RS" w:eastAsia="ja-JP"/>
        </w:rPr>
        <w:t>та проблематичних кредита и др.</w:t>
      </w:r>
    </w:p>
    <w:p w14:paraId="14692A77" w14:textId="79642DF0" w:rsidR="00BA4876" w:rsidRPr="00A37BCE" w:rsidRDefault="00DF232B" w:rsidP="00BA4876">
      <w:pPr>
        <w:spacing w:after="120" w:line="276" w:lineRule="auto"/>
        <w:jc w:val="both"/>
        <w:rPr>
          <w:rFonts w:eastAsia="Calibri" w:cstheme="minorHAnsi"/>
          <w:color w:val="44546A" w:themeColor="text2"/>
          <w:sz w:val="20"/>
          <w:szCs w:val="20"/>
          <w:lang w:val="sr-Cyrl-RS" w:eastAsia="ja-JP"/>
        </w:rPr>
      </w:pPr>
      <w:r w:rsidRPr="00DF232B">
        <w:rPr>
          <w:rFonts w:eastAsia="Calibri" w:cstheme="minorHAnsi"/>
          <w:color w:val="44546A" w:themeColor="text2"/>
          <w:sz w:val="20"/>
          <w:szCs w:val="20"/>
          <w:lang w:val="sr-Cyrl-RS" w:eastAsia="ja-JP"/>
        </w:rPr>
        <w:t>Од доношења поменуте стратегије, усвојен је и измењен већи број законских и подзаконских аката, унапређен је институционални капацитет и спроведене су бројне мере за лакши отпис и пренос ненаплативих потраживања кроз доношење Закона о проценитељима вредности непокретности (почетак примене закона – јун 2017) који је, између осталог, увео нову професију – лиценциране проценитеље вредности непокретности и прописао обавезну процену која се спроводи у случајевима који се односе на Закон о хипотеци и Закон о стечају, као и приликом вршења процена за потребе кредитних послова који су обезбеђени хипотеком; образовање стручног одбора (стручно тело које треба да допринесе уређењу и унапређењу професије проценитеља вредности непокретности) и доношење Нaциoнaлних стaндaрда, кодекса eтикe и прaвилa прoфeсиoнaлнoг пoнaшaњa лицeнцирaнoг прoцeнитeљa (у јулу 2017) који, између осталог, дефинишу oснoве прoцeнe врeднoсти нeпoкрeтнoсти, пoступaк вршeњa прoцeнe, прeтпoстaвкe и чињeницe oд знaчaja кoje сe мoрajу узeти у oбзир приликoм изрaдe извeштaja прoцeнe, минимaлни сaдржaj извeштaja o прoцeни и прaвилa прoфeсиoнaлнoг пoнaшaњa лицeнцирaнoг прoцeнитeљa;</w:t>
      </w:r>
      <w:r w:rsidR="00BA4876" w:rsidRPr="00A37BCE">
        <w:rPr>
          <w:rFonts w:eastAsia="Calibri" w:cstheme="minorHAnsi"/>
          <w:color w:val="44546A" w:themeColor="text2"/>
          <w:sz w:val="20"/>
          <w:szCs w:val="20"/>
          <w:lang w:val="sr-Cyrl-RS" w:eastAsia="ja-JP"/>
        </w:rPr>
        <w:t xml:space="preserve"> усвајање измена и допуна Закона о порезу на добит и Закона о порезу на доходак грађана што је омогућило </w:t>
      </w:r>
      <w:r w:rsidR="00BA4876" w:rsidRPr="00A37BCE">
        <w:rPr>
          <w:rFonts w:eastAsia="Calibri" w:cstheme="minorHAnsi"/>
          <w:color w:val="44546A" w:themeColor="text2"/>
          <w:sz w:val="20"/>
          <w:szCs w:val="20"/>
          <w:lang w:val="sr-Cyrl-RS" w:eastAsia="ja-JP"/>
        </w:rPr>
        <w:lastRenderedPageBreak/>
        <w:t xml:space="preserve">релаксиранију пореску политику за одобравање и отпис банкарских потраживања (крај 2017); усвајање амандмана на Закон о стечају којима је скраћен стечајни поступак и побољшан положај осигураних поверилаца (децембра 2017); припрему студије о могућностима увођења банкрота приватних појединаца и предузетника у Републици Србији (јула 2018) и друго. Од преосталих активности, предвиђених овом стратегијом, израђен је Нацрт измена Закона о парничном поступку који се очекује да формално буде, ради усвајања, упућен у </w:t>
      </w:r>
      <w:r w:rsidR="00054A7A">
        <w:rPr>
          <w:rFonts w:eastAsia="Calibri" w:cstheme="minorHAnsi"/>
          <w:color w:val="44546A" w:themeColor="text2"/>
          <w:sz w:val="20"/>
          <w:szCs w:val="20"/>
          <w:lang w:val="sr-Cyrl-RS" w:eastAsia="ja-JP"/>
        </w:rPr>
        <w:t>Народну скупштину</w:t>
      </w:r>
      <w:r w:rsidR="00BA4876" w:rsidRPr="00A37BCE">
        <w:rPr>
          <w:rFonts w:eastAsia="Calibri" w:cstheme="minorHAnsi"/>
          <w:color w:val="44546A" w:themeColor="text2"/>
          <w:sz w:val="20"/>
          <w:szCs w:val="20"/>
          <w:lang w:val="sr-Cyrl-RS" w:eastAsia="ja-JP"/>
        </w:rPr>
        <w:t xml:space="preserve"> до краја текуће године.</w:t>
      </w:r>
    </w:p>
    <w:p w14:paraId="218ED127" w14:textId="316F5C2B"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 xml:space="preserve">Имплементација мера за решавање проблематичних кредита наставља да даје резултате. Пословне банке су, наиме, и током другог тромесечја 2018. године наставиле са активностима у вези са решавањем проблематичних кредита, када су отписале 15 млрд динара, а лицима ван банкарског сектора продале </w:t>
      </w:r>
      <w:r w:rsidR="00FB6B61" w:rsidRPr="00FB6B61">
        <w:rPr>
          <w:rFonts w:eastAsia="Calibri" w:cstheme="minorHAnsi"/>
          <w:color w:val="44546A" w:themeColor="text2"/>
          <w:sz w:val="20"/>
          <w:szCs w:val="20"/>
          <w:lang w:val="sr-Cyrl-RS" w:eastAsia="ja-JP"/>
        </w:rPr>
        <w:t>проблематичне</w:t>
      </w:r>
      <w:r w:rsidRPr="00A37BCE">
        <w:rPr>
          <w:rFonts w:eastAsia="Calibri" w:cstheme="minorHAnsi"/>
          <w:color w:val="44546A" w:themeColor="text2"/>
          <w:sz w:val="20"/>
          <w:szCs w:val="20"/>
          <w:lang w:val="sr-Cyrl-RS" w:eastAsia="ja-JP"/>
        </w:rPr>
        <w:t xml:space="preserve"> пласмане у износу од око 6,3 млрд динара. Посматрано од почетка 2018. године, учешће проблематичних кредита у укупним кредитима смањено на 6,5% у августу. После рекордног смањења НПЛ показатеља у 2017. години од 7,2 </w:t>
      </w:r>
      <w:r w:rsidR="004B175D">
        <w:rPr>
          <w:rFonts w:eastAsia="Calibri" w:cstheme="minorHAnsi"/>
          <w:color w:val="44546A" w:themeColor="text2"/>
          <w:sz w:val="20"/>
          <w:szCs w:val="20"/>
          <w:lang w:val="sr-Cyrl-RS" w:eastAsia="ja-JP"/>
        </w:rPr>
        <w:t>п. п.</w:t>
      </w:r>
      <w:r w:rsidRPr="00A37BCE">
        <w:rPr>
          <w:rFonts w:eastAsia="Calibri" w:cstheme="minorHAnsi"/>
          <w:color w:val="44546A" w:themeColor="text2"/>
          <w:sz w:val="20"/>
          <w:szCs w:val="20"/>
          <w:lang w:val="sr-Cyrl-RS" w:eastAsia="ja-JP"/>
        </w:rPr>
        <w:t>, опадајући тренд је настављен и у 2018. години, утицавши да се учешће проблематичних кредита смањи три и по пута од доношења Стратегије за њихово решавање. Јачање капацитета пословних банака за решавање проблематичних кредита и даљи развој тржишта ових кредита били су међу главним циљевима Владине стратегије, а постигнут напредак у тим областима потврђује и чињеница да су на смањење износа проблематичних кредита највише утицали</w:t>
      </w:r>
      <w:r w:rsidR="003D7413">
        <w:rPr>
          <w:rFonts w:eastAsia="Calibri" w:cstheme="minorHAnsi"/>
          <w:color w:val="44546A" w:themeColor="text2"/>
          <w:sz w:val="20"/>
          <w:szCs w:val="20"/>
          <w:lang w:val="sr-Cyrl-RS" w:eastAsia="ja-JP"/>
        </w:rPr>
        <w:t xml:space="preserve"> отпис и уступање ових кредита.</w:t>
      </w:r>
    </w:p>
    <w:p w14:paraId="7EFA884D" w14:textId="0CB5B04E" w:rsidR="00BA4876" w:rsidRPr="000E2AEF" w:rsidRDefault="00BA4876" w:rsidP="00E73771">
      <w:pPr>
        <w:spacing w:after="120" w:line="276" w:lineRule="auto"/>
        <w:jc w:val="both"/>
        <w:rPr>
          <w:rFonts w:eastAsia="Calibri" w:cstheme="minorHAnsi"/>
          <w:color w:val="44546A" w:themeColor="text2"/>
          <w:sz w:val="20"/>
          <w:szCs w:val="20"/>
          <w:lang w:val="sr-Latn-RS" w:eastAsia="ja-JP"/>
        </w:rPr>
      </w:pPr>
      <w:r w:rsidRPr="00A37BCE">
        <w:rPr>
          <w:rFonts w:eastAsia="Calibri" w:cstheme="minorHAnsi"/>
          <w:color w:val="44546A" w:themeColor="text2"/>
          <w:sz w:val="20"/>
          <w:szCs w:val="20"/>
          <w:lang w:val="sr-Cyrl-RS" w:eastAsia="ja-JP"/>
        </w:rPr>
        <w:t xml:space="preserve">Усвојени су стратешки и годишњи оперативни планови за Агенцију за осигурање депозита, Резолуција портфеља </w:t>
      </w:r>
      <w:r w:rsidR="00FB6B61" w:rsidRPr="00FB6B61">
        <w:rPr>
          <w:rFonts w:eastAsia="Calibri" w:cstheme="minorHAnsi"/>
          <w:color w:val="44546A" w:themeColor="text2"/>
          <w:sz w:val="20"/>
          <w:szCs w:val="20"/>
          <w:lang w:val="sr-Cyrl-RS" w:eastAsia="ja-JP"/>
        </w:rPr>
        <w:t>проблематичних</w:t>
      </w:r>
      <w:r w:rsidRPr="00A37BCE">
        <w:rPr>
          <w:rFonts w:eastAsia="Calibri" w:cstheme="minorHAnsi"/>
          <w:color w:val="44546A" w:themeColor="text2"/>
          <w:sz w:val="20"/>
          <w:szCs w:val="20"/>
          <w:lang w:val="sr-Cyrl-RS" w:eastAsia="ja-JP"/>
        </w:rPr>
        <w:t xml:space="preserve"> пласмана, и развијени су унутрашњи капацитети за њихово решавање, тако да Агенција за осигурање депозита планира да понуди на продају </w:t>
      </w:r>
      <w:r w:rsidR="00FB6B61" w:rsidRPr="00FB6B61">
        <w:rPr>
          <w:rFonts w:eastAsia="Calibri" w:cstheme="minorHAnsi"/>
          <w:color w:val="44546A" w:themeColor="text2"/>
          <w:sz w:val="20"/>
          <w:szCs w:val="20"/>
          <w:lang w:val="sr-Cyrl-RS" w:eastAsia="ja-JP"/>
        </w:rPr>
        <w:t>проблематичне</w:t>
      </w:r>
      <w:r w:rsidRPr="00A37BCE">
        <w:rPr>
          <w:rFonts w:eastAsia="Calibri" w:cstheme="minorHAnsi"/>
          <w:color w:val="44546A" w:themeColor="text2"/>
          <w:sz w:val="20"/>
          <w:szCs w:val="20"/>
          <w:lang w:val="sr-Cyrl-RS" w:eastAsia="ja-JP"/>
        </w:rPr>
        <w:t xml:space="preserve"> кредите у две фазе од којих би први део портфеља </w:t>
      </w:r>
      <w:r w:rsidR="00FB6B61" w:rsidRPr="00FB6B61">
        <w:rPr>
          <w:rFonts w:eastAsia="Calibri" w:cstheme="minorHAnsi"/>
          <w:color w:val="44546A" w:themeColor="text2"/>
          <w:sz w:val="20"/>
          <w:szCs w:val="20"/>
          <w:lang w:val="sr-Cyrl-RS" w:eastAsia="ja-JP"/>
        </w:rPr>
        <w:t>проблематичних</w:t>
      </w:r>
      <w:r w:rsidRPr="00A37BCE">
        <w:rPr>
          <w:rFonts w:eastAsia="Calibri" w:cstheme="minorHAnsi"/>
          <w:color w:val="44546A" w:themeColor="text2"/>
          <w:sz w:val="20"/>
          <w:szCs w:val="20"/>
          <w:lang w:val="sr-Cyrl-RS" w:eastAsia="ja-JP"/>
        </w:rPr>
        <w:t xml:space="preserve"> кредита </w:t>
      </w:r>
      <w:r w:rsidRPr="00A37BCE">
        <w:rPr>
          <w:rFonts w:eastAsia="Calibri" w:cstheme="minorHAnsi"/>
          <w:color w:val="44546A" w:themeColor="text2"/>
          <w:sz w:val="20"/>
          <w:szCs w:val="20"/>
          <w:lang w:val="sr-Cyrl-RS" w:eastAsia="ja-JP"/>
        </w:rPr>
        <w:lastRenderedPageBreak/>
        <w:t>требало понудити на продају крајем 2019. године, а други, већи, до краја 2020. године</w:t>
      </w:r>
      <w:r w:rsidR="000E2AEF">
        <w:rPr>
          <w:rFonts w:eastAsia="Calibri" w:cstheme="minorHAnsi"/>
          <w:color w:val="44546A" w:themeColor="text2"/>
          <w:sz w:val="20"/>
          <w:szCs w:val="20"/>
          <w:lang w:val="sr-Latn-RS" w:eastAsia="ja-JP"/>
        </w:rPr>
        <w:t>.</w:t>
      </w:r>
    </w:p>
    <w:p w14:paraId="6C4BE895" w14:textId="29E86F19"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Осигурање депозита је механизам очувања финансијске стабилности и заштите депонената. Систем осигурања депозита обезбеђује да се</w:t>
      </w:r>
      <w:r w:rsidR="003A4FB0" w:rsidRPr="00A37BCE">
        <w:rPr>
          <w:rFonts w:eastAsia="Calibri" w:cstheme="minorHAnsi"/>
          <w:color w:val="44546A" w:themeColor="text2"/>
          <w:sz w:val="20"/>
          <w:szCs w:val="20"/>
          <w:lang w:val="sr-Cyrl-RS" w:eastAsia="ja-JP"/>
        </w:rPr>
        <w:t xml:space="preserve"> </w:t>
      </w:r>
      <w:r w:rsidRPr="00A37BCE">
        <w:rPr>
          <w:rFonts w:eastAsia="Calibri" w:cstheme="minorHAnsi"/>
          <w:color w:val="44546A" w:themeColor="text2"/>
          <w:sz w:val="20"/>
          <w:szCs w:val="20"/>
          <w:lang w:val="sr-Cyrl-RS" w:eastAsia="ja-JP"/>
        </w:rPr>
        <w:t>сваком заштићеном депоненту</w:t>
      </w:r>
      <w:r w:rsidRPr="00543BEB">
        <w:rPr>
          <w:rFonts w:eastAsia="Calibri" w:cstheme="minorHAnsi"/>
          <w:color w:val="44546A" w:themeColor="text2"/>
          <w:sz w:val="20"/>
          <w:szCs w:val="20"/>
          <w:vertAlign w:val="superscript"/>
          <w:lang w:val="sr-Cyrl-RS" w:eastAsia="ja-JP"/>
        </w:rPr>
        <w:footnoteReference w:id="20"/>
      </w:r>
      <w:r w:rsidRPr="00A37BCE">
        <w:rPr>
          <w:rFonts w:eastAsia="Calibri" w:cstheme="minorHAnsi"/>
          <w:color w:val="44546A" w:themeColor="text2"/>
          <w:sz w:val="20"/>
          <w:szCs w:val="20"/>
          <w:lang w:val="sr-Cyrl-RS" w:eastAsia="ja-JP"/>
        </w:rPr>
        <w:t xml:space="preserve"> исплати целокупан износ улога у свакој банци до осигураног износа од 50.000 евра у случају стечаја или ликвидације банке. Осигурање депозита регулисано ј</w:t>
      </w:r>
      <w:r w:rsidR="003D7413">
        <w:rPr>
          <w:rFonts w:eastAsia="Calibri" w:cstheme="minorHAnsi"/>
          <w:color w:val="44546A" w:themeColor="text2"/>
          <w:sz w:val="20"/>
          <w:szCs w:val="20"/>
          <w:lang w:val="sr-Cyrl-RS" w:eastAsia="ja-JP"/>
        </w:rPr>
        <w:t>е Законом о осигурању депозита.</w:t>
      </w:r>
    </w:p>
    <w:p w14:paraId="37268AA6" w14:textId="698561CF"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 xml:space="preserve">У систему осигурања депозита Република Србија је ултимативни гарант исплате осигураних депозита. У сврху обезбеђивања средстава за осигурање депозита Агенција наплаћује премију осигурања депозита од банака за рачун Фонда за осигурање депозита, управља имовином фонда и исплаћује депозите до осигуране суме у случају стечаја или ликвидације банке. У случају недостајућих средстава у фонду за осигурање депозита, Република Србија обезбеђује исплату било средствима из буџета, било давањем гаранције за задуживање </w:t>
      </w:r>
      <w:r w:rsidR="003D7413">
        <w:rPr>
          <w:rFonts w:eastAsia="Calibri" w:cstheme="minorHAnsi"/>
          <w:color w:val="44546A" w:themeColor="text2"/>
          <w:sz w:val="20"/>
          <w:szCs w:val="20"/>
          <w:lang w:val="sr-Cyrl-RS" w:eastAsia="ja-JP"/>
        </w:rPr>
        <w:t>Агенције за осигурање депозита.</w:t>
      </w:r>
    </w:p>
    <w:p w14:paraId="5CA1D925" w14:textId="4D3AB1A0"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Гаранција исплате осигураних депозита од стране државе, било директно средствима из буџета, или индиректно издавањем гаранција за задуживање Агенције за осигурање депозита, извор је фискалних ризика и могућих фискалних трошкова. Међутим, захваљујући постигнутој стабилности банкарског сектора, од 2015. године није било потребе за коришћењем средстава државе за исплате</w:t>
      </w:r>
      <w:r w:rsidR="003D7413">
        <w:rPr>
          <w:rFonts w:eastAsia="Calibri" w:cstheme="minorHAnsi"/>
          <w:color w:val="44546A" w:themeColor="text2"/>
          <w:sz w:val="20"/>
          <w:szCs w:val="20"/>
          <w:lang w:val="sr-Cyrl-RS" w:eastAsia="ja-JP"/>
        </w:rPr>
        <w:t xml:space="preserve"> по основу осигураних депозита.</w:t>
      </w:r>
    </w:p>
    <w:p w14:paraId="48144E49" w14:textId="29F46541"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Умањење фискалних ризика по овом основу зависи од стабилности и одрживости банкарског система. Надзор над банкарским системом, обазривост у пласирању средстава и унапређење квалитета имовине банака су основни стубов</w:t>
      </w:r>
      <w:r w:rsidR="003D7413">
        <w:rPr>
          <w:rFonts w:eastAsia="Calibri" w:cstheme="minorHAnsi"/>
          <w:color w:val="44546A" w:themeColor="text2"/>
          <w:sz w:val="20"/>
          <w:szCs w:val="20"/>
          <w:lang w:val="sr-Cyrl-RS" w:eastAsia="ja-JP"/>
        </w:rPr>
        <w:t>и стабилног банкарског система.</w:t>
      </w:r>
    </w:p>
    <w:p w14:paraId="43E5E836" w14:textId="17AE606D" w:rsidR="00BA4876" w:rsidRPr="00A37BCE" w:rsidRDefault="00BA4876" w:rsidP="00E73771">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 xml:space="preserve">Остварени резултати банкарског сектора РС на крају 2017. и током 2018. године приказују стабилну профитабилност банака. Банкарски </w:t>
      </w:r>
      <w:r w:rsidRPr="00A37BCE">
        <w:rPr>
          <w:rFonts w:eastAsia="Calibri" w:cstheme="minorHAnsi"/>
          <w:color w:val="44546A" w:themeColor="text2"/>
          <w:sz w:val="20"/>
          <w:szCs w:val="20"/>
          <w:lang w:val="sr-Cyrl-RS" w:eastAsia="ja-JP"/>
        </w:rPr>
        <w:lastRenderedPageBreak/>
        <w:t>сектор РС је у 2017. години пословао профитабилно, са нето добитком пре опорезивања у износу од 68,7 млрд динара, док је у прва три месеца 2018. године остварен позитиван нето добитак пре опорезивања у износу од 17,6 млрд динара, што је приближно оствареном резултату у истом периоду претх</w:t>
      </w:r>
      <w:r w:rsidR="000D0A45">
        <w:rPr>
          <w:rFonts w:eastAsia="Calibri" w:cstheme="minorHAnsi"/>
          <w:color w:val="44546A" w:themeColor="text2"/>
          <w:sz w:val="20"/>
          <w:szCs w:val="20"/>
          <w:lang w:val="sr-Cyrl-RS" w:eastAsia="ja-JP"/>
        </w:rPr>
        <w:t>одне године (18,1 млрд динара).</w:t>
      </w:r>
    </w:p>
    <w:p w14:paraId="330B7B01" w14:textId="57D4FB2D" w:rsidR="00BA4876" w:rsidRPr="000D0A45" w:rsidRDefault="00BA4876" w:rsidP="000D0A45">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 xml:space="preserve">Висока капитализованост банкарског сектора, како са становишта оствареног нивоа показатеља адекватности капитала, тако и са становишта структуре регулаторног капитала, додатно је увећана, гарантујући отпорност банкарског сектора. На крају </w:t>
      </w:r>
      <w:r w:rsidR="006E3720" w:rsidRPr="00FB0E61">
        <w:rPr>
          <w:rFonts w:eastAsia="Calibri" w:cstheme="minorHAnsi"/>
          <w:color w:val="44546A" w:themeColor="text2"/>
          <w:sz w:val="20"/>
          <w:szCs w:val="20"/>
          <w:lang w:val="sr-Cyrl-RS" w:eastAsia="ja-JP"/>
        </w:rPr>
        <w:t>јуна</w:t>
      </w:r>
      <w:r w:rsidRPr="00A37BCE">
        <w:rPr>
          <w:rFonts w:eastAsia="Calibri" w:cstheme="minorHAnsi"/>
          <w:color w:val="44546A" w:themeColor="text2"/>
          <w:sz w:val="20"/>
          <w:szCs w:val="20"/>
          <w:lang w:val="sr-Cyrl-RS" w:eastAsia="ja-JP"/>
        </w:rPr>
        <w:t xml:space="preserve"> 2018. године, просечна вредност показатеља адекватности капитала на нивоу банкарског сектора Републике Србије износи 22,</w:t>
      </w:r>
      <w:r w:rsidR="006D322D">
        <w:rPr>
          <w:rFonts w:eastAsia="Calibri" w:cstheme="minorHAnsi"/>
          <w:color w:val="44546A" w:themeColor="text2"/>
          <w:sz w:val="20"/>
          <w:szCs w:val="20"/>
          <w:lang w:val="sr-Cyrl-RS" w:eastAsia="ja-JP"/>
        </w:rPr>
        <w:t>9%, (пораст од 0,3</w:t>
      </w:r>
      <w:r w:rsidRPr="00A37BCE">
        <w:rPr>
          <w:rFonts w:eastAsia="Calibri" w:cstheme="minorHAnsi"/>
          <w:color w:val="44546A" w:themeColor="text2"/>
          <w:sz w:val="20"/>
          <w:szCs w:val="20"/>
          <w:lang w:val="sr-Cyrl-RS" w:eastAsia="ja-JP"/>
        </w:rPr>
        <w:t xml:space="preserve"> </w:t>
      </w:r>
      <w:r w:rsidR="004B175D">
        <w:rPr>
          <w:rFonts w:eastAsia="Calibri" w:cstheme="minorHAnsi"/>
          <w:color w:val="44546A" w:themeColor="text2"/>
          <w:sz w:val="20"/>
          <w:szCs w:val="20"/>
          <w:lang w:val="sr-Cyrl-RS" w:eastAsia="ja-JP"/>
        </w:rPr>
        <w:t>п. п.</w:t>
      </w:r>
      <w:r w:rsidRPr="00A37BCE">
        <w:rPr>
          <w:rFonts w:eastAsia="Calibri" w:cstheme="minorHAnsi"/>
          <w:color w:val="44546A" w:themeColor="text2"/>
          <w:sz w:val="20"/>
          <w:szCs w:val="20"/>
          <w:lang w:val="sr-Cyrl-RS" w:eastAsia="ja-JP"/>
        </w:rPr>
        <w:t xml:space="preserve"> у односу на почетак године), што је значајно изнад прописаног регулаторног минимума од 8% и више него довољно за покриће свих ризика којима је сектор изложен, што потврђују и макропруденцијални стрес тес</w:t>
      </w:r>
      <w:r w:rsidR="000D0A45">
        <w:rPr>
          <w:rFonts w:eastAsia="Calibri" w:cstheme="minorHAnsi"/>
          <w:color w:val="44546A" w:themeColor="text2"/>
          <w:sz w:val="20"/>
          <w:szCs w:val="20"/>
          <w:lang w:val="sr-Cyrl-RS" w:eastAsia="ja-JP"/>
        </w:rPr>
        <w:t>тови које НБС редовно спроводи.</w:t>
      </w:r>
    </w:p>
    <w:p w14:paraId="5A7A91AE" w14:textId="77777777" w:rsidR="00BA4876" w:rsidRPr="00A37BCE" w:rsidRDefault="00BA4876" w:rsidP="000D0A45">
      <w:pPr>
        <w:spacing w:after="120" w:line="276" w:lineRule="auto"/>
        <w:jc w:val="both"/>
        <w:rPr>
          <w:rFonts w:eastAsia="Calibri" w:cstheme="minorHAnsi"/>
          <w:b/>
          <w:bCs/>
          <w:color w:val="2F5496" w:themeColor="accent1" w:themeShade="BF"/>
          <w:szCs w:val="20"/>
          <w:lang w:val="sr-Cyrl-RS"/>
        </w:rPr>
      </w:pPr>
      <w:r w:rsidRPr="00A37BCE">
        <w:rPr>
          <w:rFonts w:eastAsia="Calibri" w:cstheme="minorHAnsi"/>
          <w:b/>
          <w:bCs/>
          <w:color w:val="2F5496" w:themeColor="accent1" w:themeShade="BF"/>
          <w:szCs w:val="20"/>
          <w:lang w:val="sr-Cyrl-RS"/>
        </w:rPr>
        <w:t>Остали фискални ризици</w:t>
      </w:r>
    </w:p>
    <w:p w14:paraId="76EE87C7" w14:textId="2C68CC2F"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Поред наведених фискалних ризика постоје и друге околности које уколико се реализују могу довести до фискалних трошкова. За поједине ризике не постоје систематизовани подаци, али имајући у виду да су се поједини остварили у ближој прошлости може се сагледати величина њиховог утицаја на јавне финансије. Само њихово идентификовање помаже сагледавању могућих утицаја на фискалну поз</w:t>
      </w:r>
      <w:r w:rsidR="003D7413">
        <w:rPr>
          <w:rFonts w:eastAsia="Calibri" w:cstheme="minorHAnsi"/>
          <w:color w:val="44546A" w:themeColor="text2"/>
          <w:sz w:val="20"/>
          <w:szCs w:val="20"/>
          <w:lang w:val="sr-Cyrl-RS" w:eastAsia="ja-JP"/>
        </w:rPr>
        <w:t>ицију земље у наредном периоду.</w:t>
      </w:r>
    </w:p>
    <w:p w14:paraId="37DBD7BA" w14:textId="557442F1" w:rsidR="00BA4876" w:rsidRPr="00A37BCE" w:rsidRDefault="00BA4876" w:rsidP="00BA4876">
      <w:pPr>
        <w:spacing w:after="120" w:line="276" w:lineRule="auto"/>
        <w:jc w:val="both"/>
        <w:rPr>
          <w:rFonts w:eastAsia="Calibri"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t>Постоје значајни фискални ризици по основу судских одлука, домаћих и међународних судова, казни, накнади штете од стране државних органа. Република Србија је по основу судских одлука у периоду 2009–2017. године из буџета платила 64,8 млрд динара</w:t>
      </w:r>
      <w:r w:rsidRPr="003D7413">
        <w:rPr>
          <w:rFonts w:eastAsia="Calibri" w:cstheme="minorHAnsi"/>
          <w:color w:val="44546A" w:themeColor="text2"/>
          <w:sz w:val="20"/>
          <w:szCs w:val="20"/>
          <w:vertAlign w:val="superscript"/>
          <w:lang w:val="sr-Cyrl-RS" w:eastAsia="ja-JP"/>
        </w:rPr>
        <w:footnoteReference w:id="21"/>
      </w:r>
      <w:r w:rsidRPr="00A37BCE">
        <w:rPr>
          <w:rFonts w:eastAsia="Calibri" w:cstheme="minorHAnsi"/>
          <w:color w:val="44546A" w:themeColor="text2"/>
          <w:sz w:val="20"/>
          <w:szCs w:val="20"/>
          <w:lang w:val="sr-Cyrl-RS" w:eastAsia="ja-JP"/>
        </w:rPr>
        <w:t xml:space="preserve">. Дуг војним пензионерима који је преузет у 2015. години у износу од 10 млрд </w:t>
      </w:r>
      <w:r w:rsidRPr="00A37BCE">
        <w:rPr>
          <w:rFonts w:eastAsia="Calibri" w:cstheme="minorHAnsi"/>
          <w:color w:val="44546A" w:themeColor="text2"/>
          <w:sz w:val="20"/>
          <w:szCs w:val="20"/>
          <w:lang w:val="sr-Cyrl-RS" w:eastAsia="ja-JP"/>
        </w:rPr>
        <w:lastRenderedPageBreak/>
        <w:t>динара, иако по судској одлуци није евидентиран на овим рачунима, рачуноводствено је третиран као отплата дуга, док је у извештајима о фискалним агрегатима опште државе распоређен као расход за социјалну заштиту (пензије). Независно од начина евидентирања овај расход представља реализован фискални ризик по основу судских пресуда. Одлука међународног суда у Стразбуру обавезала је Републику Србију да исплати јавни дуг по основу неисплаћене девизне штедње коју су држављане бивших република СФРЈ и држављани Републике Србије положили код банака са седиштем на територији Републике Србије и њиховим филијалама на територијама бивших република СФРЈ. У реализоване фискалне ризике чији извор представљају судске одлуке спада и пресуда међународног арбитражног суда, по којој је Република Србија дужна да плати 40 мил. долара као одштету грчкој компанији „Митилинеос</w:t>
      </w:r>
      <w:r w:rsidR="00EB0EE8" w:rsidRPr="00A37BCE">
        <w:rPr>
          <w:rFonts w:cstheme="minorHAnsi"/>
          <w:bCs/>
          <w:color w:val="44546A" w:themeColor="text2"/>
          <w:sz w:val="20"/>
          <w:szCs w:val="72"/>
          <w:lang w:val="sr-Cyrl-RS"/>
        </w:rPr>
        <w:t>ˮ</w:t>
      </w:r>
      <w:r w:rsidRPr="00A37BCE">
        <w:rPr>
          <w:rFonts w:eastAsia="Calibri" w:cstheme="minorHAnsi"/>
          <w:color w:val="44546A" w:themeColor="text2"/>
          <w:sz w:val="20"/>
          <w:szCs w:val="20"/>
          <w:lang w:val="sr-Cyrl-RS" w:eastAsia="ja-JP"/>
        </w:rPr>
        <w:t xml:space="preserve">. Потенцијалне обавезе могу проистећи и из пресуда међународног суда у Стразбуру по основу тужби радника некадашњих друштвених предузећа (за </w:t>
      </w:r>
      <w:r w:rsidR="003D7413">
        <w:rPr>
          <w:rFonts w:eastAsia="Calibri" w:cstheme="minorHAnsi"/>
          <w:color w:val="44546A" w:themeColor="text2"/>
          <w:sz w:val="20"/>
          <w:szCs w:val="20"/>
          <w:lang w:val="sr-Cyrl-RS" w:eastAsia="ja-JP"/>
        </w:rPr>
        <w:t>неисплаћене плате и доприносе).</w:t>
      </w:r>
    </w:p>
    <w:p w14:paraId="07EFCCEC" w14:textId="1A9B26EF" w:rsidR="00BA4876" w:rsidRPr="00A37BCE" w:rsidRDefault="00BA4876" w:rsidP="00BA4876">
      <w:pPr>
        <w:spacing w:after="120" w:line="276" w:lineRule="auto"/>
        <w:jc w:val="both"/>
        <w:rPr>
          <w:rFonts w:eastAsia="MS PGothic" w:cstheme="minorHAnsi"/>
          <w:color w:val="44546A" w:themeColor="text2"/>
          <w:sz w:val="20"/>
          <w:szCs w:val="20"/>
          <w:lang w:val="sr-Cyrl-RS" w:eastAsia="ja-JP"/>
        </w:rPr>
      </w:pPr>
      <w:r w:rsidRPr="00A37BCE">
        <w:rPr>
          <w:rFonts w:eastAsia="Calibri" w:cstheme="minorHAnsi"/>
          <w:color w:val="44546A" w:themeColor="text2"/>
          <w:sz w:val="20"/>
          <w:szCs w:val="20"/>
          <w:lang w:val="sr-Cyrl-RS" w:eastAsia="ja-JP"/>
        </w:rPr>
        <w:lastRenderedPageBreak/>
        <w:t>Стално присутан ризик од елементарних непогода и природних катастрофа обавезује улагање у програме превенције како би се умањили потенцијални фискални трошкови за отклањање штете настале по том основу. Република Србија се у 2014. години суочила са катастрофалним последицама поплава. Укупна штета (са губицима) процењена је на више од 1,7</w:t>
      </w:r>
      <w:r w:rsidRPr="00A37BCE">
        <w:rPr>
          <w:rFonts w:eastAsia="MS PGothic" w:cstheme="minorHAnsi"/>
          <w:color w:val="44546A" w:themeColor="text2"/>
          <w:sz w:val="20"/>
          <w:szCs w:val="20"/>
          <w:lang w:val="sr-Cyrl-RS" w:eastAsia="ja-JP"/>
        </w:rPr>
        <w:t xml:space="preserve"> млрд евра</w:t>
      </w:r>
      <w:r w:rsidRPr="00A37BCE">
        <w:rPr>
          <w:rFonts w:eastAsia="MS PGothic" w:cstheme="minorHAnsi"/>
          <w:color w:val="44546A" w:themeColor="text2"/>
          <w:sz w:val="20"/>
          <w:szCs w:val="20"/>
          <w:vertAlign w:val="superscript"/>
          <w:lang w:val="sr-Cyrl-RS" w:eastAsia="ja-JP"/>
        </w:rPr>
        <w:footnoteReference w:id="22"/>
      </w:r>
      <w:r w:rsidRPr="00A37BCE">
        <w:rPr>
          <w:rFonts w:eastAsia="MS PGothic" w:cstheme="minorHAnsi"/>
          <w:color w:val="44546A" w:themeColor="text2"/>
          <w:sz w:val="20"/>
          <w:szCs w:val="20"/>
          <w:lang w:val="sr-Cyrl-RS" w:eastAsia="ja-JP"/>
        </w:rPr>
        <w:t>. У складу са Законом о отклањању последица поплава у Републици Србији средства за обнову обезбеђивала су се из буџетских извора, на свим нивоима власти, донација, прилога и поклона, задуживањем, финансијском помоћи ЕУ и др. За обнову су обезбеђена бесповратна средства у износу од 220,7 мил. евра и око 300 мил. америчких долара средстава из кредита Светске банке. Имајући у виду стално присутне ризике од елементарних непогода, смањење фискалних ризика који могу настати по овом основу подразумева улагање у превентивне програме. Влада је у децембру 2014. године усвојила Национални програм за управљање ризицима од елементарних непогода, који ће бити реализован у сарадњи са Светском банком, Уједињени</w:t>
      </w:r>
      <w:r w:rsidR="00054A7A">
        <w:rPr>
          <w:rFonts w:eastAsia="MS PGothic" w:cstheme="minorHAnsi"/>
          <w:color w:val="44546A" w:themeColor="text2"/>
          <w:sz w:val="20"/>
          <w:szCs w:val="20"/>
          <w:lang w:val="sr-Cyrl-RS" w:eastAsia="ja-JP"/>
        </w:rPr>
        <w:t>м</w:t>
      </w:r>
      <w:r w:rsidRPr="00A37BCE">
        <w:rPr>
          <w:rFonts w:eastAsia="MS PGothic" w:cstheme="minorHAnsi"/>
          <w:color w:val="44546A" w:themeColor="text2"/>
          <w:sz w:val="20"/>
          <w:szCs w:val="20"/>
          <w:lang w:val="sr-Cyrl-RS" w:eastAsia="ja-JP"/>
        </w:rPr>
        <w:t xml:space="preserve"> нација</w:t>
      </w:r>
      <w:r w:rsidR="00054A7A">
        <w:rPr>
          <w:rFonts w:eastAsia="MS PGothic" w:cstheme="minorHAnsi"/>
          <w:color w:val="44546A" w:themeColor="text2"/>
          <w:sz w:val="20"/>
          <w:szCs w:val="20"/>
          <w:lang w:val="sr-Cyrl-RS" w:eastAsia="ja-JP"/>
        </w:rPr>
        <w:t>ма</w:t>
      </w:r>
      <w:r w:rsidRPr="00A37BCE">
        <w:rPr>
          <w:rFonts w:eastAsia="MS PGothic" w:cstheme="minorHAnsi"/>
          <w:color w:val="44546A" w:themeColor="text2"/>
          <w:sz w:val="20"/>
          <w:szCs w:val="20"/>
          <w:lang w:val="sr-Cyrl-RS" w:eastAsia="ja-JP"/>
        </w:rPr>
        <w:t xml:space="preserve"> и ЕУ. За реализацију програма превенције обезбеђено је, до сада, 70 мил. евра.</w:t>
      </w:r>
    </w:p>
    <w:p w14:paraId="080F707F" w14:textId="77777777" w:rsidR="001E3C08" w:rsidRPr="00A37BCE" w:rsidRDefault="001E3C08" w:rsidP="009877EB">
      <w:pPr>
        <w:jc w:val="both"/>
        <w:rPr>
          <w:rFonts w:eastAsia="MS PGothic" w:cstheme="minorHAnsi"/>
          <w:color w:val="44546A" w:themeColor="text2"/>
          <w:sz w:val="20"/>
          <w:szCs w:val="20"/>
          <w:lang w:val="sr-Cyrl-RS" w:eastAsia="ja-JP"/>
        </w:rPr>
        <w:sectPr w:rsidR="001E3C08" w:rsidRPr="00A37BCE" w:rsidSect="00D01AB2">
          <w:type w:val="continuous"/>
          <w:pgSz w:w="12240" w:h="15840"/>
          <w:pgMar w:top="1440" w:right="1440" w:bottom="1440" w:left="1440" w:header="720" w:footer="720" w:gutter="0"/>
          <w:cols w:num="2" w:space="720"/>
          <w:docGrid w:linePitch="360"/>
          <w15:footnoteColumns w:val="1"/>
        </w:sectPr>
      </w:pPr>
    </w:p>
    <w:p w14:paraId="256CB16A" w14:textId="1F4D0988" w:rsidR="001E3C08" w:rsidRPr="000D0A45" w:rsidRDefault="001E3C08" w:rsidP="00EB0EE8">
      <w:pPr>
        <w:pStyle w:val="Heading2"/>
        <w:spacing w:before="240" w:after="240"/>
        <w:jc w:val="center"/>
        <w:rPr>
          <w:rFonts w:asciiTheme="minorHAnsi" w:eastAsia="MS PGothic" w:hAnsiTheme="minorHAnsi" w:cstheme="minorHAnsi"/>
          <w:b/>
          <w:sz w:val="24"/>
          <w:lang w:val="sr-Cyrl-RS" w:eastAsia="ja-JP"/>
        </w:rPr>
        <w:sectPr w:rsidR="001E3C08" w:rsidRPr="000D0A45" w:rsidSect="001E3C08">
          <w:type w:val="continuous"/>
          <w:pgSz w:w="12240" w:h="15840"/>
          <w:pgMar w:top="1417" w:right="1417" w:bottom="1417" w:left="1417" w:header="720" w:footer="720" w:gutter="0"/>
          <w:cols w:space="720"/>
        </w:sectPr>
      </w:pPr>
      <w:bookmarkStart w:id="15" w:name="_Toc499650053"/>
      <w:bookmarkStart w:id="16" w:name="_Toc530042002"/>
      <w:r w:rsidRPr="00A236FE">
        <w:rPr>
          <w:rFonts w:asciiTheme="minorHAnsi" w:eastAsia="Times New Roman" w:hAnsiTheme="minorHAnsi" w:cstheme="minorHAnsi"/>
          <w:b/>
          <w:sz w:val="24"/>
          <w:lang w:val="sr-Cyrl-RS"/>
        </w:rPr>
        <w:lastRenderedPageBreak/>
        <w:t xml:space="preserve">6. </w:t>
      </w:r>
      <w:r w:rsidRPr="00A236FE">
        <w:rPr>
          <w:rFonts w:asciiTheme="minorHAnsi" w:eastAsia="MS PGothic" w:hAnsiTheme="minorHAnsi" w:cstheme="minorHAnsi"/>
          <w:b/>
          <w:sz w:val="24"/>
          <w:lang w:val="sr-Cyrl-RS" w:eastAsia="ja-JP"/>
        </w:rPr>
        <w:t>Циклично прилагођени фискални биланс</w:t>
      </w:r>
      <w:bookmarkEnd w:id="15"/>
      <w:bookmarkEnd w:id="16"/>
    </w:p>
    <w:p w14:paraId="55DEE4DB" w14:textId="77777777" w:rsidR="001E3C08" w:rsidRPr="00A37BCE" w:rsidRDefault="001E3C08" w:rsidP="001E3C08">
      <w:pPr>
        <w:spacing w:after="120" w:line="276" w:lineRule="auto"/>
        <w:jc w:val="both"/>
        <w:rPr>
          <w:rFonts w:ascii="Calibri" w:eastAsia="MS PGothic" w:hAnsi="Calibri" w:cs="Calibri"/>
          <w:color w:val="44546A" w:themeColor="text2"/>
          <w:sz w:val="20"/>
          <w:szCs w:val="20"/>
          <w:lang w:val="sr-Cyrl-RS" w:eastAsia="ja-JP"/>
        </w:rPr>
      </w:pPr>
      <w:r w:rsidRPr="00A37BCE">
        <w:rPr>
          <w:rFonts w:eastAsia="MS PGothic" w:cstheme="minorHAnsi"/>
          <w:color w:val="44546A" w:themeColor="text2"/>
          <w:sz w:val="20"/>
          <w:szCs w:val="20"/>
          <w:lang w:val="sr-Cyrl-RS" w:eastAsia="ja-JP"/>
        </w:rPr>
        <w:lastRenderedPageBreak/>
        <w:t>Циклично прилагођени фискални биланс је фискални биланс из кога је искључен изоловани утицај привредног циклуса, а</w:t>
      </w:r>
      <w:r w:rsidRPr="00A37BCE">
        <w:rPr>
          <w:rFonts w:ascii="Calibri" w:eastAsia="MS PGothic" w:hAnsi="Calibri" w:cs="Calibri"/>
          <w:color w:val="44546A" w:themeColor="text2"/>
          <w:sz w:val="20"/>
          <w:szCs w:val="20"/>
          <w:lang w:val="sr-Cyrl-RS" w:eastAsia="ja-JP"/>
        </w:rPr>
        <w:t xml:space="preserve"> идентитет од кога се полази је следећи</w:t>
      </w:r>
      <w:r w:rsidRPr="00A37BCE">
        <w:rPr>
          <w:rFonts w:ascii="Calibri" w:eastAsia="MS PGothic" w:hAnsi="Calibri" w:cs="Calibri"/>
          <w:color w:val="44546A" w:themeColor="text2"/>
          <w:sz w:val="20"/>
          <w:szCs w:val="20"/>
          <w:vertAlign w:val="superscript"/>
          <w:lang w:val="sr-Cyrl-RS" w:eastAsia="ja-JP"/>
        </w:rPr>
        <w:footnoteReference w:id="23"/>
      </w:r>
      <w:r w:rsidRPr="00A37BCE">
        <w:rPr>
          <w:rFonts w:ascii="Calibri" w:eastAsia="MS PGothic" w:hAnsi="Calibri" w:cs="Calibri"/>
          <w:color w:val="44546A" w:themeColor="text2"/>
          <w:sz w:val="20"/>
          <w:szCs w:val="20"/>
          <w:lang w:val="sr-Cyrl-RS" w:eastAsia="ja-JP"/>
        </w:rPr>
        <w:t>:</w:t>
      </w:r>
    </w:p>
    <w:p w14:paraId="62FE8BFC" w14:textId="77777777" w:rsidR="001E3C08" w:rsidRPr="00A37BCE" w:rsidRDefault="001E3C08" w:rsidP="001E3C08">
      <w:pPr>
        <w:spacing w:after="120" w:line="276" w:lineRule="auto"/>
        <w:jc w:val="center"/>
        <w:rPr>
          <w:rFonts w:ascii="Calibri" w:eastAsia="MS PGothic" w:hAnsi="Calibri" w:cs="Calibri"/>
          <w:color w:val="44546A" w:themeColor="text2"/>
          <w:sz w:val="20"/>
          <w:szCs w:val="20"/>
          <w:lang w:val="sr-Cyrl-RS" w:eastAsia="ja-JP"/>
        </w:rPr>
      </w:pPr>
      <w:r w:rsidRPr="00A37BCE">
        <w:rPr>
          <w:rFonts w:ascii="Calibri" w:eastAsia="MS PGothic" w:hAnsi="Calibri" w:cs="Calibri"/>
          <w:color w:val="44546A" w:themeColor="text2"/>
          <w:sz w:val="20"/>
          <w:szCs w:val="20"/>
          <w:lang w:val="sr-Cyrl-RS" w:eastAsia="ja-JP"/>
        </w:rPr>
        <w:t>FB = CB + CAB</w:t>
      </w:r>
    </w:p>
    <w:p w14:paraId="5A4D2800" w14:textId="77777777" w:rsidR="001E3C08" w:rsidRPr="00A37BCE" w:rsidRDefault="001E3C08" w:rsidP="001E3C08">
      <w:pPr>
        <w:spacing w:after="120" w:line="276" w:lineRule="auto"/>
        <w:jc w:val="both"/>
        <w:rPr>
          <w:rFonts w:eastAsia="MS PGothic" w:cstheme="minorHAnsi"/>
          <w:color w:val="44546A" w:themeColor="text2"/>
          <w:sz w:val="20"/>
          <w:szCs w:val="20"/>
          <w:lang w:val="sr-Cyrl-RS" w:eastAsia="ja-JP"/>
        </w:rPr>
      </w:pPr>
      <w:r w:rsidRPr="00A37BCE">
        <w:rPr>
          <w:rFonts w:ascii="Calibri" w:eastAsia="MS PGothic" w:hAnsi="Calibri" w:cs="Calibri"/>
          <w:color w:val="44546A" w:themeColor="text2"/>
          <w:sz w:val="20"/>
          <w:szCs w:val="20"/>
          <w:lang w:val="sr-Cyrl-RS" w:eastAsia="ja-JP"/>
        </w:rPr>
        <w:t>Део фискалног биланса (</w:t>
      </w:r>
      <w:r w:rsidRPr="00EB0EE8">
        <w:rPr>
          <w:rFonts w:ascii="Calibri" w:eastAsia="MS PGothic" w:hAnsi="Calibri" w:cs="Calibri"/>
          <w:color w:val="44546A" w:themeColor="text2"/>
          <w:sz w:val="20"/>
          <w:szCs w:val="20"/>
          <w:lang w:val="sr-Cyrl-RS" w:eastAsia="ja-JP"/>
        </w:rPr>
        <w:t>FB</w:t>
      </w:r>
      <w:r w:rsidRPr="00A37BCE">
        <w:rPr>
          <w:rFonts w:ascii="Calibri" w:eastAsia="MS PGothic" w:hAnsi="Calibri" w:cs="Calibri"/>
          <w:color w:val="44546A" w:themeColor="text2"/>
          <w:sz w:val="20"/>
          <w:szCs w:val="20"/>
          <w:lang w:val="sr-Cyrl-RS" w:eastAsia="ja-JP"/>
        </w:rPr>
        <w:t>)</w:t>
      </w:r>
      <w:r w:rsidRPr="00A37BCE">
        <w:rPr>
          <w:rFonts w:ascii="Calibri" w:eastAsia="MS PGothic" w:hAnsi="Calibri" w:cs="Calibri"/>
          <w:i/>
          <w:color w:val="44546A" w:themeColor="text2"/>
          <w:sz w:val="20"/>
          <w:szCs w:val="20"/>
          <w:lang w:val="sr-Cyrl-RS" w:eastAsia="ja-JP"/>
        </w:rPr>
        <w:t xml:space="preserve"> </w:t>
      </w:r>
      <w:r w:rsidRPr="00A37BCE">
        <w:rPr>
          <w:rFonts w:ascii="Calibri" w:eastAsia="MS PGothic" w:hAnsi="Calibri" w:cs="Calibri"/>
          <w:color w:val="44546A" w:themeColor="text2"/>
          <w:sz w:val="20"/>
          <w:szCs w:val="20"/>
          <w:lang w:val="sr-Cyrl-RS" w:eastAsia="ja-JP"/>
        </w:rPr>
        <w:t>који није под утицајем цикличних флуктуација назива се циклично прилагођени фискални биланс (</w:t>
      </w:r>
      <w:r w:rsidRPr="00EB0EE8">
        <w:rPr>
          <w:rFonts w:ascii="Calibri" w:eastAsia="MS PGothic" w:hAnsi="Calibri" w:cs="Calibri"/>
          <w:color w:val="44546A" w:themeColor="text2"/>
          <w:sz w:val="20"/>
          <w:szCs w:val="20"/>
          <w:lang w:val="sr-Cyrl-RS" w:eastAsia="ja-JP"/>
        </w:rPr>
        <w:t>CAB</w:t>
      </w:r>
      <w:r w:rsidRPr="00A37BCE">
        <w:rPr>
          <w:rFonts w:ascii="Calibri" w:eastAsia="MS PGothic" w:hAnsi="Calibri" w:cs="Calibri"/>
          <w:i/>
          <w:color w:val="44546A" w:themeColor="text2"/>
          <w:sz w:val="20"/>
          <w:szCs w:val="20"/>
          <w:lang w:val="sr-Cyrl-RS" w:eastAsia="ja-JP"/>
        </w:rPr>
        <w:t xml:space="preserve">), </w:t>
      </w:r>
      <w:r w:rsidRPr="00A37BCE">
        <w:rPr>
          <w:rFonts w:ascii="Calibri" w:eastAsia="MS PGothic" w:hAnsi="Calibri" w:cs="Calibri"/>
          <w:color w:val="44546A" w:themeColor="text2"/>
          <w:sz w:val="20"/>
          <w:szCs w:val="20"/>
          <w:lang w:val="sr-Cyrl-RS" w:eastAsia="ja-JP"/>
        </w:rPr>
        <w:t xml:space="preserve">а циљ ове процедуре је изоловање цикличне компоненте </w:t>
      </w:r>
      <w:r w:rsidRPr="00A37BCE">
        <w:rPr>
          <w:rFonts w:eastAsia="MS PGothic" w:cstheme="minorHAnsi"/>
          <w:color w:val="44546A" w:themeColor="text2"/>
          <w:sz w:val="20"/>
          <w:szCs w:val="20"/>
          <w:lang w:val="sr-Cyrl-RS" w:eastAsia="ja-JP"/>
        </w:rPr>
        <w:t xml:space="preserve">фискалног биланса (CB) која је резултат дејства производног јаза. Стварни фискални биланс биће једнак циклично прилагођеном у случају да је </w:t>
      </w:r>
      <w:r w:rsidRPr="00A37BCE">
        <w:rPr>
          <w:rFonts w:eastAsia="MS PGothic" w:cstheme="minorHAnsi"/>
          <w:color w:val="44546A" w:themeColor="text2"/>
          <w:sz w:val="20"/>
          <w:szCs w:val="20"/>
          <w:lang w:val="sr-Cyrl-RS" w:eastAsia="ja-JP"/>
        </w:rPr>
        <w:lastRenderedPageBreak/>
        <w:t>производни јаз једнак нули, тј. ако је стопа раста реалног БДП једнака потенцијалној.</w:t>
      </w:r>
    </w:p>
    <w:p w14:paraId="0BD40AA9" w14:textId="2C9973AA" w:rsidR="001E3C08" w:rsidRPr="000D0A45" w:rsidRDefault="001E3C08" w:rsidP="00B152F3">
      <w:pPr>
        <w:spacing w:after="240" w:line="276" w:lineRule="auto"/>
        <w:jc w:val="both"/>
        <w:rPr>
          <w:rFonts w:ascii="Calibri" w:eastAsia="MS PGothic" w:hAnsi="Calibri" w:cs="Calibri"/>
          <w:color w:val="44546A" w:themeColor="text2"/>
          <w:sz w:val="20"/>
          <w:szCs w:val="20"/>
          <w:lang w:val="sr-Cyrl-RS" w:eastAsia="ja-JP"/>
        </w:rPr>
        <w:sectPr w:rsidR="001E3C08" w:rsidRPr="000D0A45">
          <w:type w:val="continuous"/>
          <w:pgSz w:w="12240" w:h="15840"/>
          <w:pgMar w:top="1417" w:right="1417" w:bottom="1417" w:left="1417" w:header="720" w:footer="720" w:gutter="0"/>
          <w:cols w:num="2" w:space="720"/>
        </w:sectPr>
      </w:pPr>
      <w:r w:rsidRPr="00A37BCE">
        <w:rPr>
          <w:rFonts w:eastAsia="MS PGothic" w:cstheme="minorHAnsi"/>
          <w:color w:val="44546A" w:themeColor="text2"/>
          <w:sz w:val="20"/>
          <w:szCs w:val="20"/>
          <w:lang w:val="sr-Cyrl-RS" w:eastAsia="ja-JP"/>
        </w:rPr>
        <w:t>Циклично прилагођени примарни дефицит се убрзано смањује упоредо са кретањем општег фискалног резултата, а у 2016. годин</w:t>
      </w:r>
      <w:r w:rsidR="007D7182">
        <w:rPr>
          <w:rFonts w:eastAsia="MS PGothic" w:cstheme="minorHAnsi"/>
          <w:color w:val="44546A" w:themeColor="text2"/>
          <w:sz w:val="20"/>
          <w:szCs w:val="20"/>
          <w:lang w:val="sr-Cyrl-RS" w:eastAsia="ja-JP"/>
        </w:rPr>
        <w:t>и</w:t>
      </w:r>
      <w:r w:rsidRPr="00A37BCE">
        <w:rPr>
          <w:rFonts w:eastAsia="MS PGothic" w:cstheme="minorHAnsi"/>
          <w:color w:val="44546A" w:themeColor="text2"/>
          <w:sz w:val="20"/>
          <w:szCs w:val="20"/>
          <w:lang w:val="sr-Cyrl-RS" w:eastAsia="ja-JP"/>
        </w:rPr>
        <w:t xml:space="preserve"> улази у зону суфицита. Структурни примарни биланс очишћен од једнократних фактора у 2017. године бележи импозантну позитивну </w:t>
      </w:r>
      <w:r w:rsidRPr="006A6AE5">
        <w:rPr>
          <w:rFonts w:ascii="Calibri" w:eastAsia="MS PGothic" w:hAnsi="Calibri" w:cs="Calibri"/>
          <w:color w:val="44546A" w:themeColor="text2"/>
          <w:sz w:val="20"/>
          <w:szCs w:val="20"/>
          <w:lang w:val="sr-Cyrl-RS" w:eastAsia="ja-JP"/>
        </w:rPr>
        <w:t xml:space="preserve">вредност. </w:t>
      </w:r>
      <w:r w:rsidRPr="00A37BCE">
        <w:rPr>
          <w:rFonts w:ascii="Calibri" w:eastAsia="MS PGothic" w:hAnsi="Calibri" w:cs="Calibri"/>
          <w:color w:val="44546A" w:themeColor="text2"/>
          <w:sz w:val="20"/>
          <w:szCs w:val="20"/>
          <w:lang w:val="sr-Cyrl-RS" w:eastAsia="ja-JP"/>
        </w:rPr>
        <w:t xml:space="preserve">Структурне промене у пореском систему током 2012. и 2013. године су почеле да дају резултате, чиме је процес фискалне консолидације суштински и почео. Наредна фаза фискалне консолидације, спроведена током аранжмана са ММФ, сада са </w:t>
      </w:r>
      <w:r w:rsidRPr="00A37BCE">
        <w:rPr>
          <w:rFonts w:ascii="Calibri" w:eastAsia="MS PGothic" w:hAnsi="Calibri" w:cs="Calibri"/>
          <w:color w:val="44546A" w:themeColor="text2"/>
          <w:sz w:val="20"/>
          <w:szCs w:val="20"/>
          <w:lang w:val="sr-Cyrl-RS" w:eastAsia="ja-JP"/>
        </w:rPr>
        <w:lastRenderedPageBreak/>
        <w:t xml:space="preserve">нагласком на структурном прилагођавању на расходној страни, значајно је поправила фискалну позицију земље. Анализом и квантификацијом структурног примарног биланса могу се изоловати, пре свега, једнократни ефекти на страни расхода иако, у појединим годинама, нису безначајни и једнократни ефекти на приходној страни. Структурни примарни биланс оцењен на овај </w:t>
      </w:r>
      <w:r w:rsidRPr="00A37BCE">
        <w:rPr>
          <w:rFonts w:ascii="Calibri" w:eastAsia="MS PGothic" w:hAnsi="Calibri" w:cs="Calibri"/>
          <w:color w:val="44546A" w:themeColor="text2"/>
          <w:sz w:val="20"/>
          <w:szCs w:val="20"/>
          <w:lang w:val="sr-Cyrl-RS" w:eastAsia="ja-JP"/>
        </w:rPr>
        <w:lastRenderedPageBreak/>
        <w:t>начин је ефикасан алат за коначну оцену фискалне позиције, а посебно у периоду од 2014. до 2018. године, када је фискална позиција значајно побољшана. Анализа структурног примарног биланса омогућава сагледавање успеха програма консолидације, као и квантификовање могућег фискалног простора за даљу</w:t>
      </w:r>
      <w:r w:rsidR="000D0A45">
        <w:rPr>
          <w:rFonts w:ascii="Calibri" w:eastAsia="MS PGothic" w:hAnsi="Calibri" w:cs="Calibri"/>
          <w:color w:val="44546A" w:themeColor="text2"/>
          <w:sz w:val="20"/>
          <w:szCs w:val="20"/>
          <w:lang w:val="sr-Cyrl-RS" w:eastAsia="ja-JP"/>
        </w:rPr>
        <w:t xml:space="preserve"> релаксацију фискалне политике</w:t>
      </w:r>
      <w:r w:rsidR="00B152F3">
        <w:rPr>
          <w:rFonts w:ascii="Calibri" w:eastAsia="MS PGothic" w:hAnsi="Calibri" w:cs="Calibri"/>
          <w:color w:val="44546A" w:themeColor="text2"/>
          <w:sz w:val="20"/>
          <w:szCs w:val="20"/>
          <w:lang w:val="sr-Cyrl-RS" w:eastAsia="ja-JP"/>
        </w:rPr>
        <w:t>.</w:t>
      </w:r>
    </w:p>
    <w:p w14:paraId="60A9B0F6" w14:textId="16B27F84" w:rsidR="001E3C08" w:rsidRPr="00A37BCE" w:rsidRDefault="005B01D9" w:rsidP="00B152F3">
      <w:pPr>
        <w:spacing w:before="120" w:line="276" w:lineRule="auto"/>
        <w:jc w:val="center"/>
        <w:rPr>
          <w:rFonts w:ascii="Calibri" w:eastAsia="MS PGothic" w:hAnsi="Calibri" w:cs="Calibri"/>
          <w:b/>
          <w:color w:val="44546A" w:themeColor="text2"/>
          <w:sz w:val="20"/>
          <w:szCs w:val="20"/>
          <w:lang w:val="sr-Cyrl-RS" w:eastAsia="ja-JP"/>
        </w:rPr>
      </w:pPr>
      <w:r w:rsidRPr="00A37BCE">
        <w:rPr>
          <w:rFonts w:ascii="Calibri" w:eastAsia="MS PGothic" w:hAnsi="Calibri" w:cs="Calibri"/>
          <w:b/>
          <w:bCs/>
          <w:color w:val="002060"/>
          <w:sz w:val="20"/>
          <w:lang w:val="sr-Cyrl-RS"/>
        </w:rPr>
        <w:lastRenderedPageBreak/>
        <w:t>Табела 20</w:t>
      </w:r>
      <w:r w:rsidR="001E3C08" w:rsidRPr="00A37BCE">
        <w:rPr>
          <w:rFonts w:ascii="Calibri" w:eastAsia="MS PGothic" w:hAnsi="Calibri" w:cs="Calibri"/>
          <w:b/>
          <w:bCs/>
          <w:color w:val="002060"/>
          <w:sz w:val="20"/>
          <w:lang w:val="sr-Cyrl-RS"/>
        </w:rPr>
        <w:t>. Фискални биланс и компоненте за обрачун циклично прилагођеног биланса у периоду 2015–2021. године, % БДП*</w:t>
      </w:r>
    </w:p>
    <w:tbl>
      <w:tblPr>
        <w:tblStyle w:val="LightShading-Accent337"/>
        <w:tblpPr w:leftFromText="180" w:rightFromText="180" w:vertAnchor="text" w:horzAnchor="margin" w:tblpXSpec="center" w:tblpY="28"/>
        <w:tblW w:w="5000" w:type="pct"/>
        <w:tblLook w:val="04A0" w:firstRow="1" w:lastRow="0" w:firstColumn="1" w:lastColumn="0" w:noHBand="0" w:noVBand="1"/>
      </w:tblPr>
      <w:tblGrid>
        <w:gridCol w:w="592"/>
        <w:gridCol w:w="1166"/>
        <w:gridCol w:w="971"/>
        <w:gridCol w:w="1016"/>
        <w:gridCol w:w="1187"/>
        <w:gridCol w:w="1218"/>
        <w:gridCol w:w="1218"/>
        <w:gridCol w:w="1081"/>
        <w:gridCol w:w="957"/>
      </w:tblGrid>
      <w:tr w:rsidR="001E3C08" w:rsidRPr="00A37BCE" w14:paraId="4499A7D6" w14:textId="77777777" w:rsidTr="00EB0EE8">
        <w:trPr>
          <w:cnfStyle w:val="100000000000" w:firstRow="1" w:lastRow="0" w:firstColumn="0" w:lastColumn="0" w:oddVBand="0" w:evenVBand="0" w:oddHBand="0" w:evenHBand="0" w:firstRowFirstColumn="0" w:firstRowLastColumn="0" w:lastRowFirstColumn="0" w:lastRowLastColumn="0"/>
          <w:trHeight w:val="775"/>
        </w:trPr>
        <w:tc>
          <w:tcPr>
            <w:cnfStyle w:val="001000000000" w:firstRow="0" w:lastRow="0" w:firstColumn="1" w:lastColumn="0" w:oddVBand="0" w:evenVBand="0" w:oddHBand="0" w:evenHBand="0" w:firstRowFirstColumn="0" w:firstRowLastColumn="0" w:lastRowFirstColumn="0" w:lastRowLastColumn="0"/>
            <w:tcW w:w="332" w:type="pct"/>
            <w:tcBorders>
              <w:top w:val="single" w:sz="4" w:space="0" w:color="002060"/>
              <w:bottom w:val="single" w:sz="4" w:space="0" w:color="002060"/>
            </w:tcBorders>
            <w:noWrap/>
            <w:hideMark/>
          </w:tcPr>
          <w:p w14:paraId="68F6B6B7" w14:textId="77777777" w:rsidR="001E3C08" w:rsidRPr="00A37BCE" w:rsidRDefault="001E3C08" w:rsidP="001E3C08">
            <w:pPr>
              <w:spacing w:line="256" w:lineRule="auto"/>
              <w:jc w:val="both"/>
              <w:rPr>
                <w:rFonts w:ascii="Calibri" w:eastAsia="MS PGothic" w:hAnsi="Calibri" w:cs="Calibri"/>
                <w:color w:val="44546A" w:themeColor="text2"/>
                <w:lang w:val="sr-Cyrl-RS" w:eastAsia="ja-JP"/>
              </w:rPr>
            </w:pPr>
          </w:p>
        </w:tc>
        <w:tc>
          <w:tcPr>
            <w:tcW w:w="605" w:type="pct"/>
            <w:tcBorders>
              <w:top w:val="single" w:sz="4" w:space="0" w:color="002060"/>
              <w:bottom w:val="single" w:sz="4" w:space="0" w:color="002060"/>
            </w:tcBorders>
            <w:hideMark/>
          </w:tcPr>
          <w:p w14:paraId="5BCC7327" w14:textId="77777777" w:rsidR="001E3C08" w:rsidRPr="00A37BCE" w:rsidRDefault="001E3C08" w:rsidP="001E3C08">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4"/>
                <w:lang w:val="sr-Cyrl-RS"/>
              </w:rPr>
            </w:pPr>
            <w:r w:rsidRPr="00A37BCE">
              <w:rPr>
                <w:rFonts w:ascii="Calibri" w:hAnsi="Calibri" w:cs="Calibri"/>
                <w:b w:val="0"/>
                <w:color w:val="002060"/>
                <w:sz w:val="18"/>
                <w:szCs w:val="14"/>
                <w:lang w:val="sr-Cyrl-RS"/>
              </w:rPr>
              <w:t>Производни јаз</w:t>
            </w:r>
          </w:p>
        </w:tc>
        <w:tc>
          <w:tcPr>
            <w:tcW w:w="515" w:type="pct"/>
            <w:tcBorders>
              <w:top w:val="single" w:sz="4" w:space="0" w:color="002060"/>
              <w:bottom w:val="single" w:sz="4" w:space="0" w:color="002060"/>
            </w:tcBorders>
            <w:hideMark/>
          </w:tcPr>
          <w:p w14:paraId="4D6A95DB" w14:textId="77777777" w:rsidR="001E3C08" w:rsidRPr="00A37BCE" w:rsidRDefault="001E3C08" w:rsidP="001E3C08">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4"/>
                <w:lang w:val="sr-Cyrl-RS"/>
              </w:rPr>
            </w:pPr>
            <w:r w:rsidRPr="00A37BCE">
              <w:rPr>
                <w:rFonts w:ascii="Calibri" w:hAnsi="Calibri" w:cs="Calibri"/>
                <w:b w:val="0"/>
                <w:color w:val="002060"/>
                <w:sz w:val="18"/>
                <w:szCs w:val="14"/>
                <w:lang w:val="sr-Cyrl-RS"/>
              </w:rPr>
              <w:t xml:space="preserve">Фискални </w:t>
            </w:r>
            <w:r w:rsidRPr="00A37BCE">
              <w:rPr>
                <w:rFonts w:ascii="Calibri" w:hAnsi="Calibri" w:cs="Calibri"/>
                <w:b w:val="0"/>
                <w:color w:val="002060"/>
                <w:sz w:val="18"/>
                <w:szCs w:val="14"/>
                <w:lang w:val="sr-Cyrl-RS"/>
              </w:rPr>
              <w:br/>
              <w:t>биланс</w:t>
            </w:r>
          </w:p>
        </w:tc>
        <w:tc>
          <w:tcPr>
            <w:tcW w:w="527" w:type="pct"/>
            <w:tcBorders>
              <w:top w:val="single" w:sz="4" w:space="0" w:color="002060"/>
              <w:bottom w:val="single" w:sz="4" w:space="0" w:color="002060"/>
            </w:tcBorders>
            <w:hideMark/>
          </w:tcPr>
          <w:p w14:paraId="0D03C19D" w14:textId="77777777" w:rsidR="001E3C08" w:rsidRPr="00A37BCE" w:rsidRDefault="001E3C08" w:rsidP="001E3C08">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4"/>
                <w:lang w:val="sr-Cyrl-RS"/>
              </w:rPr>
            </w:pPr>
            <w:r w:rsidRPr="00A37BCE">
              <w:rPr>
                <w:rFonts w:ascii="Calibri" w:hAnsi="Calibri" w:cs="Calibri"/>
                <w:b w:val="0"/>
                <w:color w:val="002060"/>
                <w:sz w:val="18"/>
                <w:szCs w:val="14"/>
                <w:lang w:val="sr-Cyrl-RS"/>
              </w:rPr>
              <w:t>Примарни фискални биланс</w:t>
            </w:r>
          </w:p>
        </w:tc>
        <w:tc>
          <w:tcPr>
            <w:tcW w:w="648" w:type="pct"/>
            <w:tcBorders>
              <w:top w:val="single" w:sz="4" w:space="0" w:color="002060"/>
              <w:bottom w:val="single" w:sz="4" w:space="0" w:color="002060"/>
            </w:tcBorders>
            <w:hideMark/>
          </w:tcPr>
          <w:p w14:paraId="64274959" w14:textId="63996A92" w:rsidR="001E3C08" w:rsidRPr="00A37BCE" w:rsidRDefault="001E3C08" w:rsidP="001E3C08">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4"/>
                <w:lang w:val="sr-Cyrl-RS"/>
              </w:rPr>
            </w:pPr>
            <w:r w:rsidRPr="00A37BCE">
              <w:rPr>
                <w:rFonts w:ascii="Calibri" w:hAnsi="Calibri" w:cs="Calibri"/>
                <w:b w:val="0"/>
                <w:color w:val="002060"/>
                <w:sz w:val="18"/>
                <w:szCs w:val="14"/>
                <w:lang w:val="sr-Cyrl-RS"/>
              </w:rPr>
              <w:t xml:space="preserve">Циклична </w:t>
            </w:r>
            <w:r w:rsidR="00543BEB" w:rsidRPr="00A37BCE">
              <w:rPr>
                <w:rFonts w:ascii="Calibri" w:hAnsi="Calibri" w:cs="Calibri"/>
                <w:b w:val="0"/>
                <w:color w:val="002060"/>
                <w:sz w:val="18"/>
                <w:szCs w:val="14"/>
                <w:lang w:val="sr-Cyrl-RS"/>
              </w:rPr>
              <w:t>компонента</w:t>
            </w:r>
            <w:r w:rsidRPr="00A37BCE">
              <w:rPr>
                <w:rFonts w:ascii="Calibri" w:hAnsi="Calibri" w:cs="Calibri"/>
                <w:b w:val="0"/>
                <w:color w:val="002060"/>
                <w:sz w:val="18"/>
                <w:szCs w:val="14"/>
                <w:lang w:val="sr-Cyrl-RS"/>
              </w:rPr>
              <w:br/>
              <w:t>фискалног</w:t>
            </w:r>
            <w:r w:rsidRPr="00A37BCE">
              <w:rPr>
                <w:rFonts w:ascii="Calibri" w:hAnsi="Calibri" w:cs="Calibri"/>
                <w:b w:val="0"/>
                <w:color w:val="002060"/>
                <w:sz w:val="18"/>
                <w:szCs w:val="14"/>
                <w:lang w:val="sr-Cyrl-RS"/>
              </w:rPr>
              <w:br/>
              <w:t>биланса</w:t>
            </w:r>
          </w:p>
        </w:tc>
        <w:tc>
          <w:tcPr>
            <w:tcW w:w="638" w:type="pct"/>
            <w:tcBorders>
              <w:top w:val="single" w:sz="4" w:space="0" w:color="002060"/>
              <w:bottom w:val="single" w:sz="4" w:space="0" w:color="002060"/>
            </w:tcBorders>
            <w:hideMark/>
          </w:tcPr>
          <w:p w14:paraId="5235C6B4" w14:textId="77777777" w:rsidR="001E3C08" w:rsidRPr="00A37BCE" w:rsidRDefault="001E3C08" w:rsidP="001E3C08">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4"/>
                <w:lang w:val="sr-Cyrl-RS"/>
              </w:rPr>
            </w:pPr>
            <w:r w:rsidRPr="00A37BCE">
              <w:rPr>
                <w:rFonts w:ascii="Calibri" w:hAnsi="Calibri" w:cs="Calibri"/>
                <w:b w:val="0"/>
                <w:color w:val="002060"/>
                <w:sz w:val="18"/>
                <w:szCs w:val="14"/>
                <w:lang w:val="sr-Cyrl-RS"/>
              </w:rPr>
              <w:t xml:space="preserve">Циклично </w:t>
            </w:r>
            <w:r w:rsidRPr="00A37BCE">
              <w:rPr>
                <w:rFonts w:ascii="Calibri" w:hAnsi="Calibri" w:cs="Calibri"/>
                <w:b w:val="0"/>
                <w:color w:val="002060"/>
                <w:sz w:val="18"/>
                <w:szCs w:val="14"/>
                <w:lang w:val="sr-Cyrl-RS"/>
              </w:rPr>
              <w:br/>
              <w:t>прилагођени фискални биланс</w:t>
            </w:r>
          </w:p>
        </w:tc>
        <w:tc>
          <w:tcPr>
            <w:tcW w:w="638" w:type="pct"/>
            <w:tcBorders>
              <w:top w:val="single" w:sz="4" w:space="0" w:color="002060"/>
              <w:bottom w:val="single" w:sz="4" w:space="0" w:color="002060"/>
            </w:tcBorders>
            <w:hideMark/>
          </w:tcPr>
          <w:p w14:paraId="7414CC64" w14:textId="77777777" w:rsidR="001E3C08" w:rsidRPr="00A37BCE" w:rsidRDefault="001E3C08" w:rsidP="001E3C08">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4"/>
                <w:lang w:val="sr-Cyrl-RS"/>
              </w:rPr>
            </w:pPr>
            <w:r w:rsidRPr="00A37BCE">
              <w:rPr>
                <w:rFonts w:ascii="Calibri" w:hAnsi="Calibri" w:cs="Calibri"/>
                <w:b w:val="0"/>
                <w:color w:val="002060"/>
                <w:sz w:val="18"/>
                <w:szCs w:val="14"/>
                <w:lang w:val="sr-Cyrl-RS"/>
              </w:rPr>
              <w:t xml:space="preserve">Циклично </w:t>
            </w:r>
            <w:r w:rsidRPr="00A37BCE">
              <w:rPr>
                <w:rFonts w:ascii="Calibri" w:hAnsi="Calibri" w:cs="Calibri"/>
                <w:b w:val="0"/>
                <w:color w:val="002060"/>
                <w:sz w:val="18"/>
                <w:szCs w:val="14"/>
                <w:lang w:val="sr-Cyrl-RS"/>
              </w:rPr>
              <w:br/>
              <w:t>прилагођени примарни фискални биланс</w:t>
            </w:r>
          </w:p>
        </w:tc>
        <w:tc>
          <w:tcPr>
            <w:tcW w:w="584" w:type="pct"/>
            <w:tcBorders>
              <w:top w:val="single" w:sz="4" w:space="0" w:color="002060"/>
              <w:bottom w:val="single" w:sz="4" w:space="0" w:color="002060"/>
            </w:tcBorders>
            <w:hideMark/>
          </w:tcPr>
          <w:p w14:paraId="5CF212D6" w14:textId="77777777" w:rsidR="001E3C08" w:rsidRPr="00A37BCE" w:rsidRDefault="001E3C08" w:rsidP="001E3C08">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4"/>
                <w:lang w:val="sr-Cyrl-RS"/>
              </w:rPr>
            </w:pPr>
            <w:r w:rsidRPr="00A37BCE">
              <w:rPr>
                <w:rFonts w:ascii="Calibri" w:hAnsi="Calibri" w:cs="Calibri"/>
                <w:b w:val="0"/>
                <w:color w:val="002060"/>
                <w:sz w:val="18"/>
                <w:szCs w:val="14"/>
                <w:lang w:val="sr-Cyrl-RS"/>
              </w:rPr>
              <w:t>Структурни примарни фискални биланс**</w:t>
            </w:r>
          </w:p>
        </w:tc>
        <w:tc>
          <w:tcPr>
            <w:tcW w:w="512" w:type="pct"/>
            <w:tcBorders>
              <w:top w:val="single" w:sz="4" w:space="0" w:color="002060"/>
              <w:bottom w:val="single" w:sz="4" w:space="0" w:color="002060"/>
            </w:tcBorders>
            <w:hideMark/>
          </w:tcPr>
          <w:p w14:paraId="4DC974FB" w14:textId="7580EB1A" w:rsidR="001E3C08" w:rsidRPr="00A37BCE" w:rsidRDefault="001E3C08" w:rsidP="001E3C08">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4"/>
                <w:lang w:val="sr-Cyrl-RS"/>
              </w:rPr>
            </w:pPr>
            <w:r w:rsidRPr="00A37BCE">
              <w:rPr>
                <w:rFonts w:ascii="Calibri" w:hAnsi="Calibri" w:cs="Calibri"/>
                <w:b w:val="0"/>
                <w:color w:val="002060"/>
                <w:sz w:val="18"/>
                <w:szCs w:val="14"/>
                <w:lang w:val="sr-Cyrl-RS"/>
              </w:rPr>
              <w:t xml:space="preserve">Карактер фискалне политике </w:t>
            </w:r>
            <w:r w:rsidR="00AC0CDE" w:rsidRPr="00AC0CDE">
              <w:rPr>
                <w:rFonts w:ascii="Calibri" w:hAnsi="Calibri" w:cs="Calibri"/>
                <w:b w:val="0"/>
                <w:color w:val="002060"/>
                <w:sz w:val="18"/>
                <w:szCs w:val="14"/>
                <w:lang w:val="sr-Cyrl-RS"/>
              </w:rPr>
              <w:t>–</w:t>
            </w:r>
            <w:r w:rsidRPr="00A37BCE">
              <w:rPr>
                <w:rFonts w:ascii="Calibri" w:hAnsi="Calibri" w:cs="Calibri"/>
                <w:b w:val="0"/>
                <w:color w:val="002060"/>
                <w:sz w:val="18"/>
                <w:szCs w:val="14"/>
                <w:lang w:val="sr-Cyrl-RS"/>
              </w:rPr>
              <w:t xml:space="preserve"> фискални импулс</w:t>
            </w:r>
          </w:p>
        </w:tc>
      </w:tr>
      <w:tr w:rsidR="00AC0D52" w:rsidRPr="00A37BCE" w14:paraId="6A0C2C90" w14:textId="77777777" w:rsidTr="000D0A45">
        <w:trPr>
          <w:cnfStyle w:val="000000100000" w:firstRow="0" w:lastRow="0" w:firstColumn="0" w:lastColumn="0" w:oddVBand="0" w:evenVBand="0" w:oddHBand="1" w:evenHBand="0" w:firstRowFirstColumn="0" w:firstRowLastColumn="0" w:lastRowFirstColumn="0" w:lastRowLastColumn="0"/>
          <w:trHeight w:hRule="exact" w:val="251"/>
        </w:trPr>
        <w:tc>
          <w:tcPr>
            <w:cnfStyle w:val="001000000000" w:firstRow="0" w:lastRow="0" w:firstColumn="1" w:lastColumn="0" w:oddVBand="0" w:evenVBand="0" w:oddHBand="0" w:evenHBand="0" w:firstRowFirstColumn="0" w:firstRowLastColumn="0" w:lastRowFirstColumn="0" w:lastRowLastColumn="0"/>
            <w:tcW w:w="332" w:type="pct"/>
            <w:tcBorders>
              <w:top w:val="single" w:sz="4" w:space="0" w:color="002060"/>
              <w:bottom w:val="nil"/>
            </w:tcBorders>
            <w:shd w:val="clear" w:color="auto" w:fill="FFFFFF" w:themeFill="background1"/>
            <w:noWrap/>
            <w:hideMark/>
          </w:tcPr>
          <w:p w14:paraId="55C890BC" w14:textId="77777777" w:rsidR="001E3C08" w:rsidRPr="00A37BCE" w:rsidRDefault="001E3C08" w:rsidP="001E3C08">
            <w:pPr>
              <w:shd w:val="clear" w:color="auto" w:fill="FFFFFF" w:themeFill="background1"/>
              <w:spacing w:line="276" w:lineRule="auto"/>
              <w:jc w:val="right"/>
              <w:rPr>
                <w:rFonts w:ascii="Calibri" w:hAnsi="Calibri" w:cs="Calibri"/>
                <w:b w:val="0"/>
                <w:color w:val="002060"/>
                <w:sz w:val="18"/>
                <w:szCs w:val="18"/>
                <w:lang w:val="sr-Cyrl-RS"/>
              </w:rPr>
            </w:pPr>
            <w:r w:rsidRPr="00A37BCE">
              <w:rPr>
                <w:rFonts w:ascii="Calibri" w:hAnsi="Calibri" w:cs="Calibri"/>
                <w:b w:val="0"/>
                <w:color w:val="002060"/>
                <w:sz w:val="18"/>
                <w:szCs w:val="18"/>
                <w:lang w:val="sr-Cyrl-RS"/>
              </w:rPr>
              <w:t>2015</w:t>
            </w:r>
          </w:p>
        </w:tc>
        <w:tc>
          <w:tcPr>
            <w:tcW w:w="605" w:type="pct"/>
            <w:tcBorders>
              <w:top w:val="single" w:sz="4" w:space="0" w:color="002060"/>
              <w:bottom w:val="nil"/>
            </w:tcBorders>
            <w:shd w:val="clear" w:color="auto" w:fill="FFFFFF" w:themeFill="background1"/>
            <w:hideMark/>
          </w:tcPr>
          <w:p w14:paraId="0A656DE4"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-1,1</w:t>
            </w:r>
          </w:p>
        </w:tc>
        <w:tc>
          <w:tcPr>
            <w:tcW w:w="515" w:type="pct"/>
            <w:tcBorders>
              <w:top w:val="single" w:sz="4" w:space="0" w:color="002060"/>
              <w:bottom w:val="nil"/>
            </w:tcBorders>
            <w:shd w:val="clear" w:color="auto" w:fill="FFFFFF" w:themeFill="background1"/>
            <w:hideMark/>
          </w:tcPr>
          <w:p w14:paraId="70358563"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-3,5</w:t>
            </w:r>
          </w:p>
        </w:tc>
        <w:tc>
          <w:tcPr>
            <w:tcW w:w="527" w:type="pct"/>
            <w:tcBorders>
              <w:top w:val="single" w:sz="4" w:space="0" w:color="002060"/>
              <w:bottom w:val="nil"/>
            </w:tcBorders>
            <w:shd w:val="clear" w:color="auto" w:fill="FFFFFF" w:themeFill="background1"/>
            <w:hideMark/>
          </w:tcPr>
          <w:p w14:paraId="504B24B2"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-0,5</w:t>
            </w:r>
          </w:p>
        </w:tc>
        <w:tc>
          <w:tcPr>
            <w:tcW w:w="648" w:type="pct"/>
            <w:tcBorders>
              <w:top w:val="single" w:sz="4" w:space="0" w:color="002060"/>
              <w:bottom w:val="nil"/>
            </w:tcBorders>
            <w:shd w:val="clear" w:color="auto" w:fill="FFFFFF" w:themeFill="background1"/>
            <w:noWrap/>
            <w:hideMark/>
          </w:tcPr>
          <w:p w14:paraId="6DCB92B5"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-0,4</w:t>
            </w:r>
          </w:p>
        </w:tc>
        <w:tc>
          <w:tcPr>
            <w:tcW w:w="638" w:type="pct"/>
            <w:tcBorders>
              <w:top w:val="single" w:sz="4" w:space="0" w:color="002060"/>
              <w:bottom w:val="nil"/>
            </w:tcBorders>
            <w:shd w:val="clear" w:color="auto" w:fill="FFFFFF" w:themeFill="background1"/>
            <w:noWrap/>
            <w:hideMark/>
          </w:tcPr>
          <w:p w14:paraId="35C825FC"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-3,1</w:t>
            </w:r>
          </w:p>
        </w:tc>
        <w:tc>
          <w:tcPr>
            <w:tcW w:w="638" w:type="pct"/>
            <w:tcBorders>
              <w:top w:val="single" w:sz="4" w:space="0" w:color="002060"/>
              <w:bottom w:val="nil"/>
            </w:tcBorders>
            <w:shd w:val="clear" w:color="auto" w:fill="FFFFFF" w:themeFill="background1"/>
            <w:hideMark/>
          </w:tcPr>
          <w:p w14:paraId="5A6614AE"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-0,1</w:t>
            </w:r>
          </w:p>
        </w:tc>
        <w:tc>
          <w:tcPr>
            <w:tcW w:w="584" w:type="pct"/>
            <w:tcBorders>
              <w:top w:val="single" w:sz="4" w:space="0" w:color="002060"/>
              <w:bottom w:val="nil"/>
            </w:tcBorders>
            <w:shd w:val="clear" w:color="auto" w:fill="FFFFFF" w:themeFill="background1"/>
            <w:noWrap/>
            <w:hideMark/>
          </w:tcPr>
          <w:p w14:paraId="193432C7"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0,6</w:t>
            </w:r>
          </w:p>
        </w:tc>
        <w:tc>
          <w:tcPr>
            <w:tcW w:w="512" w:type="pct"/>
            <w:tcBorders>
              <w:top w:val="single" w:sz="4" w:space="0" w:color="002060"/>
              <w:bottom w:val="nil"/>
            </w:tcBorders>
            <w:shd w:val="clear" w:color="auto" w:fill="FFFFFF" w:themeFill="background1"/>
            <w:noWrap/>
            <w:hideMark/>
          </w:tcPr>
          <w:p w14:paraId="028CAE6D"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-2,9</w:t>
            </w:r>
          </w:p>
        </w:tc>
      </w:tr>
      <w:tr w:rsidR="00AC0D52" w:rsidRPr="00A37BCE" w14:paraId="33BC92F8" w14:textId="77777777" w:rsidTr="000D0A45">
        <w:trPr>
          <w:trHeight w:hRule="exact" w:val="251"/>
        </w:trPr>
        <w:tc>
          <w:tcPr>
            <w:cnfStyle w:val="001000000000" w:firstRow="0" w:lastRow="0" w:firstColumn="1" w:lastColumn="0" w:oddVBand="0" w:evenVBand="0" w:oddHBand="0" w:evenHBand="0" w:firstRowFirstColumn="0" w:firstRowLastColumn="0" w:lastRowFirstColumn="0" w:lastRowLastColumn="0"/>
            <w:tcW w:w="332" w:type="pct"/>
            <w:tcBorders>
              <w:top w:val="nil"/>
              <w:left w:val="nil"/>
              <w:bottom w:val="nil"/>
              <w:right w:val="nil"/>
            </w:tcBorders>
            <w:shd w:val="clear" w:color="auto" w:fill="FFFFFF" w:themeFill="background1"/>
            <w:noWrap/>
            <w:hideMark/>
          </w:tcPr>
          <w:p w14:paraId="70168D84" w14:textId="77777777" w:rsidR="001E3C08" w:rsidRPr="00A37BCE" w:rsidRDefault="001E3C08" w:rsidP="001E3C08">
            <w:pPr>
              <w:shd w:val="clear" w:color="auto" w:fill="FFFFFF" w:themeFill="background1"/>
              <w:spacing w:line="276" w:lineRule="auto"/>
              <w:jc w:val="right"/>
              <w:rPr>
                <w:rFonts w:ascii="Calibri" w:hAnsi="Calibri" w:cs="Calibri"/>
                <w:b w:val="0"/>
                <w:color w:val="002060"/>
                <w:sz w:val="18"/>
                <w:szCs w:val="18"/>
                <w:lang w:val="sr-Cyrl-RS"/>
              </w:rPr>
            </w:pPr>
            <w:r w:rsidRPr="00A37BCE">
              <w:rPr>
                <w:rFonts w:ascii="Calibri" w:hAnsi="Calibri" w:cs="Calibri"/>
                <w:b w:val="0"/>
                <w:color w:val="002060"/>
                <w:sz w:val="18"/>
                <w:szCs w:val="18"/>
                <w:lang w:val="sr-Cyrl-RS"/>
              </w:rPr>
              <w:t>2016</w:t>
            </w:r>
          </w:p>
        </w:tc>
        <w:tc>
          <w:tcPr>
            <w:tcW w:w="605" w:type="pct"/>
            <w:tcBorders>
              <w:top w:val="nil"/>
              <w:left w:val="nil"/>
              <w:bottom w:val="nil"/>
              <w:right w:val="nil"/>
            </w:tcBorders>
            <w:shd w:val="clear" w:color="auto" w:fill="FFFFFF" w:themeFill="background1"/>
            <w:hideMark/>
          </w:tcPr>
          <w:p w14:paraId="2C4005CD" w14:textId="77777777" w:rsidR="001E3C08" w:rsidRPr="00A37BCE" w:rsidRDefault="001E3C08" w:rsidP="001E3C0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-0,7</w:t>
            </w:r>
          </w:p>
        </w:tc>
        <w:tc>
          <w:tcPr>
            <w:tcW w:w="515" w:type="pct"/>
            <w:tcBorders>
              <w:top w:val="nil"/>
              <w:left w:val="nil"/>
              <w:bottom w:val="nil"/>
              <w:right w:val="nil"/>
            </w:tcBorders>
            <w:shd w:val="clear" w:color="auto" w:fill="FFFFFF" w:themeFill="background1"/>
            <w:hideMark/>
          </w:tcPr>
          <w:p w14:paraId="2F2B6543" w14:textId="77777777" w:rsidR="001E3C08" w:rsidRPr="00A37BCE" w:rsidRDefault="001E3C08" w:rsidP="001E3C0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-1,2</w:t>
            </w:r>
          </w:p>
        </w:tc>
        <w:tc>
          <w:tcPr>
            <w:tcW w:w="527" w:type="pct"/>
            <w:tcBorders>
              <w:top w:val="nil"/>
              <w:left w:val="nil"/>
              <w:bottom w:val="nil"/>
              <w:right w:val="nil"/>
            </w:tcBorders>
            <w:shd w:val="clear" w:color="auto" w:fill="FFFFFF" w:themeFill="background1"/>
            <w:hideMark/>
          </w:tcPr>
          <w:p w14:paraId="2ED88260" w14:textId="77777777" w:rsidR="001E3C08" w:rsidRPr="00A37BCE" w:rsidRDefault="001E3C08" w:rsidP="001E3C0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1,7</w:t>
            </w:r>
          </w:p>
        </w:tc>
        <w:tc>
          <w:tcPr>
            <w:tcW w:w="648" w:type="pct"/>
            <w:tcBorders>
              <w:top w:val="nil"/>
              <w:left w:val="nil"/>
              <w:bottom w:val="nil"/>
              <w:right w:val="nil"/>
            </w:tcBorders>
            <w:shd w:val="clear" w:color="auto" w:fill="FFFFFF" w:themeFill="background1"/>
            <w:noWrap/>
            <w:hideMark/>
          </w:tcPr>
          <w:p w14:paraId="430E57D8" w14:textId="77777777" w:rsidR="001E3C08" w:rsidRPr="00A37BCE" w:rsidRDefault="001E3C08" w:rsidP="001E3C0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-0,2</w:t>
            </w:r>
          </w:p>
        </w:tc>
        <w:tc>
          <w:tcPr>
            <w:tcW w:w="638" w:type="pct"/>
            <w:tcBorders>
              <w:top w:val="nil"/>
              <w:left w:val="nil"/>
              <w:bottom w:val="nil"/>
              <w:right w:val="nil"/>
            </w:tcBorders>
            <w:shd w:val="clear" w:color="auto" w:fill="FFFFFF" w:themeFill="background1"/>
            <w:noWrap/>
            <w:hideMark/>
          </w:tcPr>
          <w:p w14:paraId="184CD170" w14:textId="77777777" w:rsidR="001E3C08" w:rsidRPr="00A37BCE" w:rsidRDefault="001E3C08" w:rsidP="001E3C0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-0,9</w:t>
            </w:r>
          </w:p>
        </w:tc>
        <w:tc>
          <w:tcPr>
            <w:tcW w:w="638" w:type="pct"/>
            <w:tcBorders>
              <w:top w:val="nil"/>
              <w:left w:val="nil"/>
              <w:bottom w:val="nil"/>
              <w:right w:val="nil"/>
            </w:tcBorders>
            <w:shd w:val="clear" w:color="auto" w:fill="FFFFFF" w:themeFill="background1"/>
            <w:hideMark/>
          </w:tcPr>
          <w:p w14:paraId="560B729A" w14:textId="77777777" w:rsidR="001E3C08" w:rsidRPr="00A37BCE" w:rsidRDefault="001E3C08" w:rsidP="001E3C0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2,0</w:t>
            </w:r>
          </w:p>
        </w:tc>
        <w:tc>
          <w:tcPr>
            <w:tcW w:w="584" w:type="pct"/>
            <w:tcBorders>
              <w:top w:val="nil"/>
              <w:left w:val="nil"/>
              <w:bottom w:val="nil"/>
              <w:right w:val="nil"/>
            </w:tcBorders>
            <w:shd w:val="clear" w:color="auto" w:fill="FFFFFF" w:themeFill="background1"/>
            <w:noWrap/>
            <w:hideMark/>
          </w:tcPr>
          <w:p w14:paraId="103871A3" w14:textId="77777777" w:rsidR="001E3C08" w:rsidRPr="00A37BCE" w:rsidRDefault="001E3C08" w:rsidP="001E3C0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2,0</w:t>
            </w:r>
          </w:p>
        </w:tc>
        <w:tc>
          <w:tcPr>
            <w:tcW w:w="512" w:type="pct"/>
            <w:tcBorders>
              <w:top w:val="nil"/>
              <w:left w:val="nil"/>
              <w:bottom w:val="nil"/>
              <w:right w:val="nil"/>
            </w:tcBorders>
            <w:shd w:val="clear" w:color="auto" w:fill="FFFFFF" w:themeFill="background1"/>
            <w:noWrap/>
            <w:hideMark/>
          </w:tcPr>
          <w:p w14:paraId="606C3F13" w14:textId="77777777" w:rsidR="001E3C08" w:rsidRPr="00A37BCE" w:rsidRDefault="001E3C08" w:rsidP="001E3C0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-2,0</w:t>
            </w:r>
          </w:p>
        </w:tc>
      </w:tr>
      <w:tr w:rsidR="00AC0D52" w:rsidRPr="00A37BCE" w14:paraId="2784328A" w14:textId="77777777" w:rsidTr="000D0A45">
        <w:trPr>
          <w:cnfStyle w:val="000000100000" w:firstRow="0" w:lastRow="0" w:firstColumn="0" w:lastColumn="0" w:oddVBand="0" w:evenVBand="0" w:oddHBand="1" w:evenHBand="0" w:firstRowFirstColumn="0" w:firstRowLastColumn="0" w:lastRowFirstColumn="0" w:lastRowLastColumn="0"/>
          <w:trHeight w:hRule="exact" w:val="251"/>
        </w:trPr>
        <w:tc>
          <w:tcPr>
            <w:cnfStyle w:val="001000000000" w:firstRow="0" w:lastRow="0" w:firstColumn="1" w:lastColumn="0" w:oddVBand="0" w:evenVBand="0" w:oddHBand="0" w:evenHBand="0" w:firstRowFirstColumn="0" w:firstRowLastColumn="0" w:lastRowFirstColumn="0" w:lastRowLastColumn="0"/>
            <w:tcW w:w="332" w:type="pct"/>
            <w:tcBorders>
              <w:top w:val="nil"/>
              <w:bottom w:val="nil"/>
            </w:tcBorders>
            <w:shd w:val="clear" w:color="auto" w:fill="FFFFFF" w:themeFill="background1"/>
            <w:noWrap/>
            <w:hideMark/>
          </w:tcPr>
          <w:p w14:paraId="645F107A" w14:textId="77777777" w:rsidR="001E3C08" w:rsidRPr="00A37BCE" w:rsidRDefault="001E3C08" w:rsidP="001E3C08">
            <w:pPr>
              <w:shd w:val="clear" w:color="auto" w:fill="FFFFFF" w:themeFill="background1"/>
              <w:spacing w:line="276" w:lineRule="auto"/>
              <w:jc w:val="right"/>
              <w:rPr>
                <w:rFonts w:ascii="Calibri" w:hAnsi="Calibri" w:cs="Calibri"/>
                <w:b w:val="0"/>
                <w:color w:val="002060"/>
                <w:sz w:val="18"/>
                <w:szCs w:val="18"/>
                <w:lang w:val="sr-Cyrl-RS"/>
              </w:rPr>
            </w:pPr>
            <w:r w:rsidRPr="00A37BCE">
              <w:rPr>
                <w:rFonts w:ascii="Calibri" w:hAnsi="Calibri" w:cs="Calibri"/>
                <w:b w:val="0"/>
                <w:color w:val="002060"/>
                <w:sz w:val="18"/>
                <w:szCs w:val="18"/>
                <w:lang w:val="sr-Cyrl-RS"/>
              </w:rPr>
              <w:t>2017</w:t>
            </w:r>
          </w:p>
        </w:tc>
        <w:tc>
          <w:tcPr>
            <w:tcW w:w="605" w:type="pct"/>
            <w:tcBorders>
              <w:top w:val="nil"/>
              <w:bottom w:val="nil"/>
            </w:tcBorders>
            <w:shd w:val="clear" w:color="auto" w:fill="FFFFFF" w:themeFill="background1"/>
            <w:hideMark/>
          </w:tcPr>
          <w:p w14:paraId="2E08171A"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-0,5</w:t>
            </w:r>
          </w:p>
        </w:tc>
        <w:tc>
          <w:tcPr>
            <w:tcW w:w="515" w:type="pct"/>
            <w:tcBorders>
              <w:top w:val="nil"/>
              <w:bottom w:val="nil"/>
            </w:tcBorders>
            <w:shd w:val="clear" w:color="auto" w:fill="FFFFFF" w:themeFill="background1"/>
            <w:hideMark/>
          </w:tcPr>
          <w:p w14:paraId="076B00D0"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1,1</w:t>
            </w:r>
          </w:p>
        </w:tc>
        <w:tc>
          <w:tcPr>
            <w:tcW w:w="527" w:type="pct"/>
            <w:tcBorders>
              <w:top w:val="nil"/>
              <w:bottom w:val="nil"/>
            </w:tcBorders>
            <w:shd w:val="clear" w:color="auto" w:fill="FFFFFF" w:themeFill="background1"/>
            <w:hideMark/>
          </w:tcPr>
          <w:p w14:paraId="2F0AE02A"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3,6</w:t>
            </w:r>
          </w:p>
        </w:tc>
        <w:tc>
          <w:tcPr>
            <w:tcW w:w="648" w:type="pct"/>
            <w:tcBorders>
              <w:top w:val="nil"/>
              <w:bottom w:val="nil"/>
            </w:tcBorders>
            <w:shd w:val="clear" w:color="auto" w:fill="FFFFFF" w:themeFill="background1"/>
            <w:hideMark/>
          </w:tcPr>
          <w:p w14:paraId="4F46725D"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-0,2</w:t>
            </w:r>
          </w:p>
        </w:tc>
        <w:tc>
          <w:tcPr>
            <w:tcW w:w="638" w:type="pct"/>
            <w:tcBorders>
              <w:top w:val="nil"/>
              <w:bottom w:val="nil"/>
            </w:tcBorders>
            <w:shd w:val="clear" w:color="auto" w:fill="FFFFFF" w:themeFill="background1"/>
            <w:noWrap/>
            <w:hideMark/>
          </w:tcPr>
          <w:p w14:paraId="5C9E4215"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1,3</w:t>
            </w:r>
          </w:p>
        </w:tc>
        <w:tc>
          <w:tcPr>
            <w:tcW w:w="638" w:type="pct"/>
            <w:tcBorders>
              <w:top w:val="nil"/>
              <w:bottom w:val="nil"/>
            </w:tcBorders>
            <w:shd w:val="clear" w:color="auto" w:fill="FFFFFF" w:themeFill="background1"/>
            <w:hideMark/>
          </w:tcPr>
          <w:p w14:paraId="3E5A19D6"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3,8</w:t>
            </w:r>
          </w:p>
        </w:tc>
        <w:tc>
          <w:tcPr>
            <w:tcW w:w="584" w:type="pct"/>
            <w:tcBorders>
              <w:top w:val="nil"/>
              <w:bottom w:val="nil"/>
            </w:tcBorders>
            <w:shd w:val="clear" w:color="auto" w:fill="FFFFFF" w:themeFill="background1"/>
            <w:noWrap/>
            <w:hideMark/>
          </w:tcPr>
          <w:p w14:paraId="219E0A66"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3,7</w:t>
            </w:r>
          </w:p>
        </w:tc>
        <w:tc>
          <w:tcPr>
            <w:tcW w:w="512" w:type="pct"/>
            <w:tcBorders>
              <w:top w:val="nil"/>
              <w:bottom w:val="nil"/>
            </w:tcBorders>
            <w:shd w:val="clear" w:color="auto" w:fill="FFFFFF" w:themeFill="background1"/>
            <w:noWrap/>
            <w:hideMark/>
          </w:tcPr>
          <w:p w14:paraId="4701B4DC"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-1,9</w:t>
            </w:r>
          </w:p>
        </w:tc>
      </w:tr>
      <w:tr w:rsidR="00AC0D52" w:rsidRPr="00A37BCE" w14:paraId="52A61DF5" w14:textId="77777777" w:rsidTr="000D0A45">
        <w:trPr>
          <w:trHeight w:hRule="exact" w:val="251"/>
        </w:trPr>
        <w:tc>
          <w:tcPr>
            <w:cnfStyle w:val="001000000000" w:firstRow="0" w:lastRow="0" w:firstColumn="1" w:lastColumn="0" w:oddVBand="0" w:evenVBand="0" w:oddHBand="0" w:evenHBand="0" w:firstRowFirstColumn="0" w:firstRowLastColumn="0" w:lastRowFirstColumn="0" w:lastRowLastColumn="0"/>
            <w:tcW w:w="332" w:type="pct"/>
            <w:tcBorders>
              <w:top w:val="nil"/>
              <w:left w:val="nil"/>
              <w:bottom w:val="nil"/>
              <w:right w:val="nil"/>
            </w:tcBorders>
            <w:shd w:val="clear" w:color="auto" w:fill="FFFFFF" w:themeFill="background1"/>
            <w:noWrap/>
            <w:hideMark/>
          </w:tcPr>
          <w:p w14:paraId="1593B113" w14:textId="77777777" w:rsidR="001E3C08" w:rsidRPr="00A37BCE" w:rsidRDefault="001E3C08" w:rsidP="001E3C08">
            <w:pPr>
              <w:shd w:val="clear" w:color="auto" w:fill="FFFFFF" w:themeFill="background1"/>
              <w:spacing w:line="276" w:lineRule="auto"/>
              <w:jc w:val="right"/>
              <w:rPr>
                <w:rFonts w:ascii="Calibri" w:hAnsi="Calibri" w:cs="Calibri"/>
                <w:b w:val="0"/>
                <w:color w:val="002060"/>
                <w:sz w:val="18"/>
                <w:szCs w:val="18"/>
                <w:lang w:val="sr-Cyrl-RS"/>
              </w:rPr>
            </w:pPr>
            <w:r w:rsidRPr="00A37BCE">
              <w:rPr>
                <w:rFonts w:ascii="Calibri" w:hAnsi="Calibri" w:cs="Calibri"/>
                <w:b w:val="0"/>
                <w:color w:val="002060"/>
                <w:sz w:val="18"/>
                <w:szCs w:val="18"/>
                <w:lang w:val="sr-Cyrl-RS"/>
              </w:rPr>
              <w:t>2018</w:t>
            </w:r>
          </w:p>
        </w:tc>
        <w:tc>
          <w:tcPr>
            <w:tcW w:w="605" w:type="pct"/>
            <w:tcBorders>
              <w:top w:val="nil"/>
              <w:left w:val="nil"/>
              <w:bottom w:val="nil"/>
              <w:right w:val="nil"/>
            </w:tcBorders>
            <w:shd w:val="clear" w:color="auto" w:fill="FFFFFF" w:themeFill="background1"/>
            <w:hideMark/>
          </w:tcPr>
          <w:p w14:paraId="5DFCF0AE" w14:textId="77777777" w:rsidR="001E3C08" w:rsidRPr="00A37BCE" w:rsidRDefault="001E3C08" w:rsidP="001E3C0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-0,1</w:t>
            </w:r>
          </w:p>
        </w:tc>
        <w:tc>
          <w:tcPr>
            <w:tcW w:w="515" w:type="pct"/>
            <w:tcBorders>
              <w:top w:val="nil"/>
              <w:left w:val="nil"/>
              <w:bottom w:val="nil"/>
              <w:right w:val="nil"/>
            </w:tcBorders>
            <w:shd w:val="clear" w:color="auto" w:fill="FFFFFF" w:themeFill="background1"/>
            <w:hideMark/>
          </w:tcPr>
          <w:p w14:paraId="4BAA27B0" w14:textId="77777777" w:rsidR="001E3C08" w:rsidRPr="00A37BCE" w:rsidRDefault="001E3C08" w:rsidP="001E3C0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0,6</w:t>
            </w:r>
          </w:p>
        </w:tc>
        <w:tc>
          <w:tcPr>
            <w:tcW w:w="527" w:type="pct"/>
            <w:tcBorders>
              <w:top w:val="nil"/>
              <w:left w:val="nil"/>
              <w:bottom w:val="nil"/>
              <w:right w:val="nil"/>
            </w:tcBorders>
            <w:shd w:val="clear" w:color="auto" w:fill="FFFFFF" w:themeFill="background1"/>
            <w:hideMark/>
          </w:tcPr>
          <w:p w14:paraId="59C17B07" w14:textId="77777777" w:rsidR="001E3C08" w:rsidRPr="00A37BCE" w:rsidRDefault="001E3C08" w:rsidP="001E3C0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2,7</w:t>
            </w:r>
          </w:p>
        </w:tc>
        <w:tc>
          <w:tcPr>
            <w:tcW w:w="648" w:type="pct"/>
            <w:tcBorders>
              <w:top w:val="nil"/>
              <w:left w:val="nil"/>
              <w:bottom w:val="nil"/>
              <w:right w:val="nil"/>
            </w:tcBorders>
            <w:shd w:val="clear" w:color="auto" w:fill="FFFFFF" w:themeFill="background1"/>
            <w:hideMark/>
          </w:tcPr>
          <w:p w14:paraId="6E99B18D" w14:textId="77777777" w:rsidR="001E3C08" w:rsidRPr="00A37BCE" w:rsidRDefault="001E3C08" w:rsidP="001E3C0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0,0</w:t>
            </w:r>
          </w:p>
        </w:tc>
        <w:tc>
          <w:tcPr>
            <w:tcW w:w="638" w:type="pct"/>
            <w:tcBorders>
              <w:top w:val="nil"/>
              <w:left w:val="nil"/>
              <w:bottom w:val="nil"/>
              <w:right w:val="nil"/>
            </w:tcBorders>
            <w:shd w:val="clear" w:color="auto" w:fill="FFFFFF" w:themeFill="background1"/>
            <w:noWrap/>
            <w:hideMark/>
          </w:tcPr>
          <w:p w14:paraId="193D71A6" w14:textId="77777777" w:rsidR="001E3C08" w:rsidRPr="00A37BCE" w:rsidRDefault="001E3C08" w:rsidP="001E3C0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0,6</w:t>
            </w:r>
          </w:p>
        </w:tc>
        <w:tc>
          <w:tcPr>
            <w:tcW w:w="638" w:type="pct"/>
            <w:tcBorders>
              <w:top w:val="nil"/>
              <w:left w:val="nil"/>
              <w:bottom w:val="nil"/>
              <w:right w:val="nil"/>
            </w:tcBorders>
            <w:shd w:val="clear" w:color="auto" w:fill="FFFFFF" w:themeFill="background1"/>
            <w:hideMark/>
          </w:tcPr>
          <w:p w14:paraId="653DB7DB" w14:textId="77777777" w:rsidR="001E3C08" w:rsidRPr="00A37BCE" w:rsidRDefault="001E3C08" w:rsidP="001E3C0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2,7</w:t>
            </w:r>
          </w:p>
        </w:tc>
        <w:tc>
          <w:tcPr>
            <w:tcW w:w="584" w:type="pct"/>
            <w:tcBorders>
              <w:top w:val="nil"/>
              <w:left w:val="nil"/>
              <w:bottom w:val="nil"/>
              <w:right w:val="nil"/>
            </w:tcBorders>
            <w:shd w:val="clear" w:color="auto" w:fill="FFFFFF" w:themeFill="background1"/>
            <w:noWrap/>
            <w:hideMark/>
          </w:tcPr>
          <w:p w14:paraId="0BC34280" w14:textId="77777777" w:rsidR="001E3C08" w:rsidRPr="00A37BCE" w:rsidRDefault="001E3C08" w:rsidP="001E3C0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2,6</w:t>
            </w:r>
          </w:p>
        </w:tc>
        <w:tc>
          <w:tcPr>
            <w:tcW w:w="512" w:type="pct"/>
            <w:tcBorders>
              <w:top w:val="nil"/>
              <w:left w:val="nil"/>
              <w:bottom w:val="nil"/>
              <w:right w:val="nil"/>
            </w:tcBorders>
            <w:shd w:val="clear" w:color="auto" w:fill="FFFFFF" w:themeFill="background1"/>
            <w:noWrap/>
            <w:hideMark/>
          </w:tcPr>
          <w:p w14:paraId="5CDAD83A" w14:textId="77777777" w:rsidR="001E3C08" w:rsidRPr="00A37BCE" w:rsidRDefault="001E3C08" w:rsidP="001E3C0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1,1</w:t>
            </w:r>
          </w:p>
        </w:tc>
      </w:tr>
      <w:tr w:rsidR="001E3C08" w:rsidRPr="00A37BCE" w14:paraId="683E2A9E" w14:textId="77777777" w:rsidTr="000D0A45">
        <w:trPr>
          <w:cnfStyle w:val="000000100000" w:firstRow="0" w:lastRow="0" w:firstColumn="0" w:lastColumn="0" w:oddVBand="0" w:evenVBand="0" w:oddHBand="1" w:evenHBand="0" w:firstRowFirstColumn="0" w:firstRowLastColumn="0" w:lastRowFirstColumn="0" w:lastRowLastColumn="0"/>
          <w:trHeight w:hRule="exact" w:val="251"/>
        </w:trPr>
        <w:tc>
          <w:tcPr>
            <w:cnfStyle w:val="001000000000" w:firstRow="0" w:lastRow="0" w:firstColumn="1" w:lastColumn="0" w:oddVBand="0" w:evenVBand="0" w:oddHBand="0" w:evenHBand="0" w:firstRowFirstColumn="0" w:firstRowLastColumn="0" w:lastRowFirstColumn="0" w:lastRowLastColumn="0"/>
            <w:tcW w:w="332" w:type="pct"/>
            <w:tcBorders>
              <w:top w:val="nil"/>
              <w:bottom w:val="nil"/>
            </w:tcBorders>
            <w:shd w:val="clear" w:color="auto" w:fill="FFFFFF" w:themeFill="background1"/>
            <w:noWrap/>
            <w:hideMark/>
          </w:tcPr>
          <w:p w14:paraId="49D827A1" w14:textId="77777777" w:rsidR="001E3C08" w:rsidRPr="00A37BCE" w:rsidRDefault="001E3C08" w:rsidP="001E3C08">
            <w:pPr>
              <w:shd w:val="clear" w:color="auto" w:fill="FFFFFF" w:themeFill="background1"/>
              <w:spacing w:line="276" w:lineRule="auto"/>
              <w:jc w:val="right"/>
              <w:rPr>
                <w:rFonts w:ascii="Calibri" w:hAnsi="Calibri" w:cs="Calibri"/>
                <w:b w:val="0"/>
                <w:color w:val="002060"/>
                <w:sz w:val="18"/>
                <w:szCs w:val="18"/>
                <w:lang w:val="sr-Cyrl-RS"/>
              </w:rPr>
            </w:pPr>
            <w:r w:rsidRPr="00A37BCE">
              <w:rPr>
                <w:rFonts w:ascii="Calibri" w:hAnsi="Calibri" w:cs="Calibri"/>
                <w:b w:val="0"/>
                <w:color w:val="002060"/>
                <w:sz w:val="18"/>
                <w:szCs w:val="18"/>
                <w:lang w:val="sr-Cyrl-RS"/>
              </w:rPr>
              <w:t>2019</w:t>
            </w:r>
          </w:p>
        </w:tc>
        <w:tc>
          <w:tcPr>
            <w:tcW w:w="605" w:type="pct"/>
            <w:tcBorders>
              <w:top w:val="nil"/>
              <w:bottom w:val="nil"/>
            </w:tcBorders>
            <w:shd w:val="clear" w:color="auto" w:fill="FFFFFF" w:themeFill="background1"/>
            <w:hideMark/>
          </w:tcPr>
          <w:p w14:paraId="04752D59"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0,4</w:t>
            </w:r>
          </w:p>
        </w:tc>
        <w:tc>
          <w:tcPr>
            <w:tcW w:w="515" w:type="pct"/>
            <w:tcBorders>
              <w:top w:val="nil"/>
              <w:bottom w:val="nil"/>
            </w:tcBorders>
            <w:shd w:val="clear" w:color="auto" w:fill="FFFFFF" w:themeFill="background1"/>
            <w:hideMark/>
          </w:tcPr>
          <w:p w14:paraId="1E596B5A"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-0,5</w:t>
            </w:r>
          </w:p>
        </w:tc>
        <w:tc>
          <w:tcPr>
            <w:tcW w:w="527" w:type="pct"/>
            <w:tcBorders>
              <w:top w:val="nil"/>
              <w:bottom w:val="nil"/>
            </w:tcBorders>
            <w:shd w:val="clear" w:color="auto" w:fill="FFFFFF" w:themeFill="background1"/>
            <w:hideMark/>
          </w:tcPr>
          <w:p w14:paraId="67782220"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1,5</w:t>
            </w:r>
          </w:p>
        </w:tc>
        <w:tc>
          <w:tcPr>
            <w:tcW w:w="648" w:type="pct"/>
            <w:tcBorders>
              <w:top w:val="nil"/>
              <w:bottom w:val="nil"/>
            </w:tcBorders>
            <w:shd w:val="clear" w:color="auto" w:fill="FFFFFF" w:themeFill="background1"/>
            <w:hideMark/>
          </w:tcPr>
          <w:p w14:paraId="06C21BF1"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0,1</w:t>
            </w:r>
          </w:p>
        </w:tc>
        <w:tc>
          <w:tcPr>
            <w:tcW w:w="638" w:type="pct"/>
            <w:tcBorders>
              <w:top w:val="nil"/>
              <w:bottom w:val="nil"/>
            </w:tcBorders>
            <w:shd w:val="clear" w:color="auto" w:fill="FFFFFF" w:themeFill="background1"/>
            <w:hideMark/>
          </w:tcPr>
          <w:p w14:paraId="5FB698C2"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-0,6</w:t>
            </w:r>
          </w:p>
        </w:tc>
        <w:tc>
          <w:tcPr>
            <w:tcW w:w="638" w:type="pct"/>
            <w:tcBorders>
              <w:top w:val="nil"/>
              <w:bottom w:val="nil"/>
            </w:tcBorders>
            <w:shd w:val="clear" w:color="auto" w:fill="FFFFFF" w:themeFill="background1"/>
            <w:hideMark/>
          </w:tcPr>
          <w:p w14:paraId="7B0F2AC2"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1,3</w:t>
            </w:r>
          </w:p>
        </w:tc>
        <w:tc>
          <w:tcPr>
            <w:tcW w:w="584" w:type="pct"/>
            <w:tcBorders>
              <w:top w:val="nil"/>
              <w:bottom w:val="nil"/>
            </w:tcBorders>
            <w:shd w:val="clear" w:color="auto" w:fill="FFFFFF" w:themeFill="background1"/>
            <w:noWrap/>
            <w:hideMark/>
          </w:tcPr>
          <w:p w14:paraId="0FE83DFB"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1,3</w:t>
            </w:r>
          </w:p>
        </w:tc>
        <w:tc>
          <w:tcPr>
            <w:tcW w:w="512" w:type="pct"/>
            <w:tcBorders>
              <w:top w:val="nil"/>
              <w:bottom w:val="nil"/>
            </w:tcBorders>
            <w:shd w:val="clear" w:color="auto" w:fill="FFFFFF" w:themeFill="background1"/>
            <w:noWrap/>
            <w:hideMark/>
          </w:tcPr>
          <w:p w14:paraId="5B9E7011"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1,4</w:t>
            </w:r>
          </w:p>
        </w:tc>
      </w:tr>
      <w:tr w:rsidR="001E3C08" w:rsidRPr="00A37BCE" w14:paraId="4F5D5AEA" w14:textId="77777777" w:rsidTr="000D0A45">
        <w:trPr>
          <w:trHeight w:hRule="exact" w:val="251"/>
        </w:trPr>
        <w:tc>
          <w:tcPr>
            <w:cnfStyle w:val="001000000000" w:firstRow="0" w:lastRow="0" w:firstColumn="1" w:lastColumn="0" w:oddVBand="0" w:evenVBand="0" w:oddHBand="0" w:evenHBand="0" w:firstRowFirstColumn="0" w:firstRowLastColumn="0" w:lastRowFirstColumn="0" w:lastRowLastColumn="0"/>
            <w:tcW w:w="332" w:type="pct"/>
            <w:tcBorders>
              <w:top w:val="nil"/>
              <w:left w:val="nil"/>
              <w:bottom w:val="nil"/>
              <w:right w:val="nil"/>
            </w:tcBorders>
            <w:shd w:val="clear" w:color="auto" w:fill="FFFFFF" w:themeFill="background1"/>
            <w:noWrap/>
          </w:tcPr>
          <w:p w14:paraId="33F5E590" w14:textId="77777777" w:rsidR="001E3C08" w:rsidRPr="00A37BCE" w:rsidRDefault="001E3C08" w:rsidP="001E3C08">
            <w:pPr>
              <w:shd w:val="clear" w:color="auto" w:fill="FFFFFF" w:themeFill="background1"/>
              <w:spacing w:line="276" w:lineRule="auto"/>
              <w:jc w:val="right"/>
              <w:rPr>
                <w:rFonts w:ascii="Calibri" w:hAnsi="Calibri" w:cs="Calibri"/>
                <w:b w:val="0"/>
                <w:color w:val="002060"/>
                <w:sz w:val="18"/>
                <w:szCs w:val="18"/>
                <w:lang w:val="sr-Cyrl-RS"/>
              </w:rPr>
            </w:pPr>
            <w:r w:rsidRPr="00A37BCE">
              <w:rPr>
                <w:rFonts w:ascii="Calibri" w:hAnsi="Calibri" w:cs="Calibri"/>
                <w:b w:val="0"/>
                <w:color w:val="002060"/>
                <w:sz w:val="18"/>
                <w:szCs w:val="18"/>
                <w:lang w:val="sr-Cyrl-RS"/>
              </w:rPr>
              <w:t>2020</w:t>
            </w:r>
          </w:p>
          <w:p w14:paraId="7B7489F2" w14:textId="77777777" w:rsidR="001E3C08" w:rsidRPr="00A37BCE" w:rsidRDefault="001E3C08" w:rsidP="001E3C08">
            <w:pPr>
              <w:shd w:val="clear" w:color="auto" w:fill="FFFFFF" w:themeFill="background1"/>
              <w:spacing w:line="276" w:lineRule="auto"/>
              <w:jc w:val="right"/>
              <w:rPr>
                <w:rFonts w:ascii="Calibri" w:hAnsi="Calibri" w:cs="Calibri"/>
                <w:b w:val="0"/>
                <w:color w:val="002060"/>
                <w:sz w:val="18"/>
                <w:szCs w:val="18"/>
                <w:lang w:val="sr-Cyrl-RS"/>
              </w:rPr>
            </w:pPr>
          </w:p>
        </w:tc>
        <w:tc>
          <w:tcPr>
            <w:tcW w:w="605" w:type="pct"/>
            <w:tcBorders>
              <w:top w:val="nil"/>
              <w:left w:val="nil"/>
              <w:bottom w:val="nil"/>
              <w:right w:val="nil"/>
            </w:tcBorders>
            <w:shd w:val="clear" w:color="auto" w:fill="FFFFFF" w:themeFill="background1"/>
            <w:hideMark/>
          </w:tcPr>
          <w:p w14:paraId="40DCF170" w14:textId="77777777" w:rsidR="001E3C08" w:rsidRPr="00A37BCE" w:rsidRDefault="001E3C08" w:rsidP="001E3C0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0,5</w:t>
            </w:r>
          </w:p>
        </w:tc>
        <w:tc>
          <w:tcPr>
            <w:tcW w:w="515" w:type="pct"/>
            <w:tcBorders>
              <w:top w:val="nil"/>
              <w:left w:val="nil"/>
              <w:bottom w:val="nil"/>
              <w:right w:val="nil"/>
            </w:tcBorders>
            <w:shd w:val="clear" w:color="auto" w:fill="FFFFFF" w:themeFill="background1"/>
            <w:hideMark/>
          </w:tcPr>
          <w:p w14:paraId="77273E82" w14:textId="77777777" w:rsidR="001E3C08" w:rsidRPr="00A37BCE" w:rsidRDefault="001E3C08" w:rsidP="001E3C0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-0,5</w:t>
            </w:r>
          </w:p>
        </w:tc>
        <w:tc>
          <w:tcPr>
            <w:tcW w:w="527" w:type="pct"/>
            <w:tcBorders>
              <w:top w:val="nil"/>
              <w:left w:val="nil"/>
              <w:bottom w:val="nil"/>
              <w:right w:val="nil"/>
            </w:tcBorders>
            <w:shd w:val="clear" w:color="auto" w:fill="FFFFFF" w:themeFill="background1"/>
            <w:hideMark/>
          </w:tcPr>
          <w:p w14:paraId="379605DA" w14:textId="77777777" w:rsidR="001E3C08" w:rsidRPr="00A37BCE" w:rsidRDefault="001E3C08" w:rsidP="001E3C0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1,3</w:t>
            </w:r>
          </w:p>
        </w:tc>
        <w:tc>
          <w:tcPr>
            <w:tcW w:w="648" w:type="pct"/>
            <w:tcBorders>
              <w:top w:val="nil"/>
              <w:left w:val="nil"/>
              <w:bottom w:val="nil"/>
              <w:right w:val="nil"/>
            </w:tcBorders>
            <w:shd w:val="clear" w:color="auto" w:fill="FFFFFF" w:themeFill="background1"/>
            <w:hideMark/>
          </w:tcPr>
          <w:p w14:paraId="116B4328" w14:textId="77777777" w:rsidR="001E3C08" w:rsidRPr="00A37BCE" w:rsidRDefault="001E3C08" w:rsidP="001E3C0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0,2</w:t>
            </w:r>
          </w:p>
        </w:tc>
        <w:tc>
          <w:tcPr>
            <w:tcW w:w="638" w:type="pct"/>
            <w:tcBorders>
              <w:top w:val="nil"/>
              <w:left w:val="nil"/>
              <w:bottom w:val="nil"/>
              <w:right w:val="nil"/>
            </w:tcBorders>
            <w:shd w:val="clear" w:color="auto" w:fill="FFFFFF" w:themeFill="background1"/>
            <w:hideMark/>
          </w:tcPr>
          <w:p w14:paraId="5AFC0988" w14:textId="77777777" w:rsidR="001E3C08" w:rsidRPr="00A37BCE" w:rsidRDefault="001E3C08" w:rsidP="001E3C0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-0,7</w:t>
            </w:r>
          </w:p>
        </w:tc>
        <w:tc>
          <w:tcPr>
            <w:tcW w:w="638" w:type="pct"/>
            <w:tcBorders>
              <w:top w:val="nil"/>
              <w:left w:val="nil"/>
              <w:bottom w:val="nil"/>
              <w:right w:val="nil"/>
            </w:tcBorders>
            <w:shd w:val="clear" w:color="auto" w:fill="FFFFFF" w:themeFill="background1"/>
            <w:hideMark/>
          </w:tcPr>
          <w:p w14:paraId="1206827F" w14:textId="77777777" w:rsidR="001E3C08" w:rsidRPr="00A37BCE" w:rsidRDefault="001E3C08" w:rsidP="001E3C0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1,1</w:t>
            </w:r>
          </w:p>
        </w:tc>
        <w:tc>
          <w:tcPr>
            <w:tcW w:w="584" w:type="pct"/>
            <w:tcBorders>
              <w:top w:val="nil"/>
              <w:left w:val="nil"/>
              <w:bottom w:val="nil"/>
              <w:right w:val="nil"/>
            </w:tcBorders>
            <w:shd w:val="clear" w:color="auto" w:fill="FFFFFF" w:themeFill="background1"/>
            <w:noWrap/>
            <w:hideMark/>
          </w:tcPr>
          <w:p w14:paraId="1EC8FEAE" w14:textId="77777777" w:rsidR="001E3C08" w:rsidRPr="00A37BCE" w:rsidRDefault="001E3C08" w:rsidP="001E3C0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1,1</w:t>
            </w:r>
          </w:p>
        </w:tc>
        <w:tc>
          <w:tcPr>
            <w:tcW w:w="512" w:type="pct"/>
            <w:tcBorders>
              <w:top w:val="nil"/>
              <w:left w:val="nil"/>
              <w:bottom w:val="nil"/>
              <w:right w:val="nil"/>
            </w:tcBorders>
            <w:shd w:val="clear" w:color="auto" w:fill="FFFFFF" w:themeFill="background1"/>
            <w:noWrap/>
            <w:hideMark/>
          </w:tcPr>
          <w:p w14:paraId="1FDF2A10" w14:textId="77777777" w:rsidR="001E3C08" w:rsidRPr="00A37BCE" w:rsidRDefault="001E3C08" w:rsidP="001E3C08">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0,2</w:t>
            </w:r>
          </w:p>
        </w:tc>
      </w:tr>
      <w:tr w:rsidR="00AC0D52" w:rsidRPr="00A37BCE" w14:paraId="20FF4038" w14:textId="77777777" w:rsidTr="000D0A45">
        <w:trPr>
          <w:cnfStyle w:val="000000100000" w:firstRow="0" w:lastRow="0" w:firstColumn="0" w:lastColumn="0" w:oddVBand="0" w:evenVBand="0" w:oddHBand="1" w:evenHBand="0" w:firstRowFirstColumn="0" w:firstRowLastColumn="0" w:lastRowFirstColumn="0" w:lastRowLastColumn="0"/>
          <w:trHeight w:hRule="exact" w:val="251"/>
        </w:trPr>
        <w:tc>
          <w:tcPr>
            <w:cnfStyle w:val="001000000000" w:firstRow="0" w:lastRow="0" w:firstColumn="1" w:lastColumn="0" w:oddVBand="0" w:evenVBand="0" w:oddHBand="0" w:evenHBand="0" w:firstRowFirstColumn="0" w:firstRowLastColumn="0" w:lastRowFirstColumn="0" w:lastRowLastColumn="0"/>
            <w:tcW w:w="332" w:type="pct"/>
            <w:tcBorders>
              <w:top w:val="nil"/>
              <w:bottom w:val="single" w:sz="4" w:space="0" w:color="002060"/>
            </w:tcBorders>
            <w:shd w:val="clear" w:color="auto" w:fill="FFFFFF" w:themeFill="background1"/>
            <w:noWrap/>
            <w:hideMark/>
          </w:tcPr>
          <w:p w14:paraId="4B759833" w14:textId="77777777" w:rsidR="001E3C08" w:rsidRPr="00A37BCE" w:rsidRDefault="001E3C08" w:rsidP="001E3C08">
            <w:pPr>
              <w:shd w:val="clear" w:color="auto" w:fill="FFFFFF" w:themeFill="background1"/>
              <w:spacing w:line="276" w:lineRule="auto"/>
              <w:jc w:val="right"/>
              <w:rPr>
                <w:rFonts w:ascii="Calibri" w:hAnsi="Calibri" w:cs="Calibri"/>
                <w:b w:val="0"/>
                <w:color w:val="002060"/>
                <w:sz w:val="18"/>
                <w:szCs w:val="18"/>
                <w:lang w:val="sr-Cyrl-RS"/>
              </w:rPr>
            </w:pPr>
            <w:r w:rsidRPr="00A37BCE">
              <w:rPr>
                <w:rFonts w:ascii="Calibri" w:hAnsi="Calibri" w:cs="Calibri"/>
                <w:b w:val="0"/>
                <w:color w:val="002060"/>
                <w:sz w:val="18"/>
                <w:szCs w:val="18"/>
                <w:lang w:val="sr-Cyrl-RS"/>
              </w:rPr>
              <w:t>2021</w:t>
            </w:r>
          </w:p>
        </w:tc>
        <w:tc>
          <w:tcPr>
            <w:tcW w:w="605" w:type="pct"/>
            <w:tcBorders>
              <w:top w:val="nil"/>
              <w:bottom w:val="single" w:sz="4" w:space="0" w:color="002060"/>
            </w:tcBorders>
            <w:shd w:val="clear" w:color="auto" w:fill="FFFFFF" w:themeFill="background1"/>
            <w:hideMark/>
          </w:tcPr>
          <w:p w14:paraId="795CCA85"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0,6</w:t>
            </w:r>
          </w:p>
        </w:tc>
        <w:tc>
          <w:tcPr>
            <w:tcW w:w="515" w:type="pct"/>
            <w:tcBorders>
              <w:top w:val="nil"/>
              <w:bottom w:val="single" w:sz="4" w:space="0" w:color="002060"/>
            </w:tcBorders>
            <w:shd w:val="clear" w:color="auto" w:fill="FFFFFF" w:themeFill="background1"/>
            <w:hideMark/>
          </w:tcPr>
          <w:p w14:paraId="77D24307"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-0,5</w:t>
            </w:r>
          </w:p>
        </w:tc>
        <w:tc>
          <w:tcPr>
            <w:tcW w:w="527" w:type="pct"/>
            <w:tcBorders>
              <w:top w:val="nil"/>
              <w:bottom w:val="single" w:sz="4" w:space="0" w:color="002060"/>
            </w:tcBorders>
            <w:shd w:val="clear" w:color="auto" w:fill="FFFFFF" w:themeFill="background1"/>
            <w:hideMark/>
          </w:tcPr>
          <w:p w14:paraId="58626757"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1,1</w:t>
            </w:r>
          </w:p>
        </w:tc>
        <w:tc>
          <w:tcPr>
            <w:tcW w:w="648" w:type="pct"/>
            <w:tcBorders>
              <w:top w:val="nil"/>
              <w:bottom w:val="single" w:sz="4" w:space="0" w:color="002060"/>
            </w:tcBorders>
            <w:shd w:val="clear" w:color="auto" w:fill="FFFFFF" w:themeFill="background1"/>
            <w:hideMark/>
          </w:tcPr>
          <w:p w14:paraId="522361ED"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0,2</w:t>
            </w:r>
          </w:p>
        </w:tc>
        <w:tc>
          <w:tcPr>
            <w:tcW w:w="638" w:type="pct"/>
            <w:tcBorders>
              <w:top w:val="nil"/>
              <w:bottom w:val="single" w:sz="4" w:space="0" w:color="002060"/>
            </w:tcBorders>
            <w:shd w:val="clear" w:color="auto" w:fill="FFFFFF" w:themeFill="background1"/>
            <w:hideMark/>
          </w:tcPr>
          <w:p w14:paraId="32709B76"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-0,7</w:t>
            </w:r>
          </w:p>
        </w:tc>
        <w:tc>
          <w:tcPr>
            <w:tcW w:w="638" w:type="pct"/>
            <w:tcBorders>
              <w:top w:val="nil"/>
              <w:bottom w:val="single" w:sz="4" w:space="0" w:color="002060"/>
            </w:tcBorders>
            <w:shd w:val="clear" w:color="auto" w:fill="FFFFFF" w:themeFill="background1"/>
            <w:hideMark/>
          </w:tcPr>
          <w:p w14:paraId="2508D9F5"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0,9</w:t>
            </w:r>
          </w:p>
        </w:tc>
        <w:tc>
          <w:tcPr>
            <w:tcW w:w="584" w:type="pct"/>
            <w:tcBorders>
              <w:top w:val="nil"/>
              <w:bottom w:val="single" w:sz="4" w:space="0" w:color="002060"/>
            </w:tcBorders>
            <w:shd w:val="clear" w:color="auto" w:fill="FFFFFF" w:themeFill="background1"/>
            <w:noWrap/>
            <w:hideMark/>
          </w:tcPr>
          <w:p w14:paraId="5F9E488B"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0,9</w:t>
            </w:r>
          </w:p>
        </w:tc>
        <w:tc>
          <w:tcPr>
            <w:tcW w:w="512" w:type="pct"/>
            <w:tcBorders>
              <w:top w:val="nil"/>
              <w:bottom w:val="single" w:sz="4" w:space="0" w:color="002060"/>
            </w:tcBorders>
            <w:shd w:val="clear" w:color="auto" w:fill="FFFFFF" w:themeFill="background1"/>
            <w:noWrap/>
            <w:hideMark/>
          </w:tcPr>
          <w:p w14:paraId="5651F3B5" w14:textId="77777777" w:rsidR="001E3C08" w:rsidRPr="00A37BCE" w:rsidRDefault="001E3C08" w:rsidP="001E3C08">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0,2</w:t>
            </w:r>
          </w:p>
        </w:tc>
      </w:tr>
    </w:tbl>
    <w:p w14:paraId="7B4F7989" w14:textId="0395510A" w:rsidR="001E3C08" w:rsidRPr="00A37BCE" w:rsidRDefault="001E3C08" w:rsidP="001E3C08">
      <w:pPr>
        <w:shd w:val="clear" w:color="auto" w:fill="FFFFFF" w:themeFill="background1"/>
        <w:spacing w:after="0" w:line="276" w:lineRule="auto"/>
        <w:jc w:val="both"/>
        <w:rPr>
          <w:rFonts w:ascii="Calibri" w:eastAsia="MS PGothic" w:hAnsi="Calibri" w:cs="Calibri"/>
          <w:color w:val="44546A" w:themeColor="text2"/>
          <w:sz w:val="16"/>
          <w:szCs w:val="16"/>
          <w:lang w:val="sr-Cyrl-RS" w:eastAsia="ja-JP"/>
        </w:rPr>
      </w:pPr>
      <w:r w:rsidRPr="00A37BCE">
        <w:rPr>
          <w:rFonts w:ascii="Calibri" w:eastAsia="MS PGothic" w:hAnsi="Calibri" w:cs="Calibri"/>
          <w:bCs/>
          <w:color w:val="44546A" w:themeColor="text2"/>
          <w:sz w:val="16"/>
          <w:szCs w:val="16"/>
          <w:lang w:val="sr-Cyrl-RS" w:eastAsia="ja-JP"/>
        </w:rPr>
        <w:t xml:space="preserve">* </w:t>
      </w:r>
      <w:r w:rsidR="00A963A9">
        <w:rPr>
          <w:rFonts w:ascii="Calibri" w:eastAsia="MS PGothic" w:hAnsi="Calibri" w:cs="Calibri"/>
          <w:color w:val="44546A" w:themeColor="text2"/>
          <w:sz w:val="16"/>
          <w:szCs w:val="16"/>
          <w:lang w:val="sr-Cyrl-RS" w:eastAsia="ja-JP"/>
        </w:rPr>
        <w:t xml:space="preserve">За период </w:t>
      </w:r>
      <w:r w:rsidRPr="00A37BCE">
        <w:rPr>
          <w:rFonts w:ascii="Calibri" w:eastAsia="MS PGothic" w:hAnsi="Calibri" w:cs="Calibri"/>
          <w:color w:val="44546A" w:themeColor="text2"/>
          <w:sz w:val="16"/>
          <w:szCs w:val="16"/>
          <w:lang w:val="sr-Cyrl-RS" w:eastAsia="ja-JP"/>
        </w:rPr>
        <w:t>2019</w:t>
      </w:r>
      <w:r w:rsidR="00A963A9" w:rsidRPr="00A963A9">
        <w:rPr>
          <w:rFonts w:ascii="Calibri" w:eastAsia="MS PGothic" w:hAnsi="Calibri" w:cs="Calibri"/>
          <w:color w:val="44546A" w:themeColor="text2"/>
          <w:sz w:val="16"/>
          <w:szCs w:val="16"/>
          <w:lang w:val="sr-Cyrl-RS" w:eastAsia="ja-JP"/>
        </w:rPr>
        <w:t>–</w:t>
      </w:r>
      <w:r w:rsidRPr="00A37BCE">
        <w:rPr>
          <w:rFonts w:ascii="Calibri" w:eastAsia="MS PGothic" w:hAnsi="Calibri" w:cs="Calibri"/>
          <w:color w:val="44546A" w:themeColor="text2"/>
          <w:sz w:val="16"/>
          <w:szCs w:val="16"/>
          <w:lang w:val="sr-Cyrl-RS" w:eastAsia="ja-JP"/>
        </w:rPr>
        <w:t>2021. године приказане су пројектоване вредности.</w:t>
      </w:r>
    </w:p>
    <w:p w14:paraId="32F66AC4" w14:textId="77777777" w:rsidR="001E3C08" w:rsidRPr="00A37BCE" w:rsidRDefault="001E3C08" w:rsidP="001E3C08">
      <w:pPr>
        <w:shd w:val="clear" w:color="auto" w:fill="FFFFFF" w:themeFill="background1"/>
        <w:spacing w:after="0" w:line="276" w:lineRule="auto"/>
        <w:jc w:val="both"/>
        <w:rPr>
          <w:rFonts w:ascii="Calibri" w:eastAsia="MS PGothic" w:hAnsi="Calibri" w:cs="Calibri"/>
          <w:color w:val="44546A" w:themeColor="text2"/>
          <w:sz w:val="16"/>
          <w:szCs w:val="16"/>
          <w:lang w:val="sr-Cyrl-RS" w:eastAsia="ja-JP"/>
        </w:rPr>
      </w:pPr>
      <w:r w:rsidRPr="00A37BCE">
        <w:rPr>
          <w:rFonts w:ascii="Calibri" w:eastAsia="MS PGothic" w:hAnsi="Calibri" w:cs="Calibri"/>
          <w:bCs/>
          <w:color w:val="44546A" w:themeColor="text2"/>
          <w:sz w:val="16"/>
          <w:szCs w:val="16"/>
          <w:lang w:val="sr-Cyrl-RS" w:eastAsia="ja-JP"/>
        </w:rPr>
        <w:t>** Структурни примарни биланс добијен је искључивањем процењених једнократних прихода и расхода</w:t>
      </w:r>
      <w:r w:rsidRPr="00A37BCE">
        <w:rPr>
          <w:rFonts w:ascii="Calibri" w:eastAsia="MS PGothic" w:hAnsi="Calibri" w:cs="Calibri"/>
          <w:color w:val="44546A" w:themeColor="text2"/>
          <w:sz w:val="16"/>
          <w:szCs w:val="16"/>
          <w:lang w:val="sr-Cyrl-RS" w:eastAsia="ja-JP"/>
        </w:rPr>
        <w:t>. Резултати који приказују промену структурног примарног дефицита не искључују експлицитно ефекте повећања ефикасности наплате прихода, па се оцена структурног прилагођавања у 2015. и 2016. години делимично разликује од претходно приказаних ефеката.</w:t>
      </w:r>
    </w:p>
    <w:p w14:paraId="326AAD8E" w14:textId="77777777" w:rsidR="001E3C08" w:rsidRPr="00A37BCE" w:rsidRDefault="001E3C08" w:rsidP="001E3C08">
      <w:pPr>
        <w:spacing w:after="120" w:line="276" w:lineRule="auto"/>
        <w:jc w:val="both"/>
        <w:rPr>
          <w:rFonts w:ascii="Calibri" w:eastAsia="Calibri" w:hAnsi="Calibri" w:cs="Calibri"/>
          <w:color w:val="44546A" w:themeColor="text2"/>
          <w:sz w:val="16"/>
          <w:szCs w:val="16"/>
          <w:lang w:val="sr-Cyrl-RS"/>
        </w:rPr>
      </w:pPr>
      <w:r w:rsidRPr="00315856">
        <w:rPr>
          <w:rFonts w:ascii="Calibri" w:eastAsia="Calibri" w:hAnsi="Calibri" w:cs="Calibri"/>
          <w:color w:val="44546A" w:themeColor="text2"/>
          <w:sz w:val="16"/>
          <w:szCs w:val="16"/>
          <w:lang w:val="sr-Cyrl-RS"/>
        </w:rPr>
        <w:t>Извор:</w:t>
      </w:r>
      <w:r w:rsidRPr="00A37BCE">
        <w:rPr>
          <w:rFonts w:ascii="Calibri" w:eastAsia="Calibri" w:hAnsi="Calibri" w:cs="Calibri"/>
          <w:color w:val="44546A" w:themeColor="text2"/>
          <w:sz w:val="16"/>
          <w:szCs w:val="16"/>
          <w:lang w:val="sr-Cyrl-RS"/>
        </w:rPr>
        <w:t xml:space="preserve"> </w:t>
      </w:r>
      <w:r w:rsidRPr="00A37BCE">
        <w:rPr>
          <w:rFonts w:ascii="Calibri" w:eastAsia="Calibri" w:hAnsi="Calibri" w:cs="Calibri"/>
          <w:color w:val="44546A" w:themeColor="text2"/>
          <w:sz w:val="16"/>
          <w:szCs w:val="20"/>
          <w:lang w:val="sr-Cyrl-RS"/>
        </w:rPr>
        <w:t>Министарство финансија</w:t>
      </w:r>
    </w:p>
    <w:p w14:paraId="4190FDF2" w14:textId="77777777" w:rsidR="001E3C08" w:rsidRPr="00A37BCE" w:rsidRDefault="001E3C08" w:rsidP="001E3C08">
      <w:pPr>
        <w:spacing w:after="0" w:line="276" w:lineRule="auto"/>
        <w:rPr>
          <w:rFonts w:ascii="Calibri" w:eastAsia="MS PGothic" w:hAnsi="Calibri" w:cs="Calibri"/>
          <w:b/>
          <w:color w:val="44546A" w:themeColor="text2"/>
          <w:sz w:val="20"/>
          <w:szCs w:val="20"/>
          <w:lang w:val="sr-Cyrl-RS" w:eastAsia="ja-JP"/>
        </w:rPr>
        <w:sectPr w:rsidR="001E3C08" w:rsidRPr="00A37BCE">
          <w:type w:val="continuous"/>
          <w:pgSz w:w="12240" w:h="15840"/>
          <w:pgMar w:top="1417" w:right="1417" w:bottom="1417" w:left="1417" w:header="720" w:footer="720" w:gutter="0"/>
          <w:cols w:space="720"/>
        </w:sectPr>
      </w:pPr>
    </w:p>
    <w:p w14:paraId="726B1330" w14:textId="77777777" w:rsidR="001E3C08" w:rsidRPr="00A37BCE" w:rsidRDefault="001E3C08" w:rsidP="001E3C08">
      <w:pPr>
        <w:spacing w:after="120" w:line="276" w:lineRule="auto"/>
        <w:jc w:val="both"/>
        <w:rPr>
          <w:rFonts w:ascii="Calibri" w:eastAsia="MS PGothic" w:hAnsi="Calibri" w:cs="Calibri"/>
          <w:color w:val="44546A" w:themeColor="text2"/>
          <w:sz w:val="20"/>
          <w:szCs w:val="20"/>
          <w:lang w:val="sr-Cyrl-RS" w:eastAsia="ja-JP"/>
        </w:rPr>
      </w:pPr>
      <w:r w:rsidRPr="00A37BCE">
        <w:rPr>
          <w:rFonts w:eastAsia="MS PGothic" w:cstheme="minorHAnsi"/>
          <w:color w:val="44546A" w:themeColor="text2"/>
          <w:sz w:val="20"/>
          <w:szCs w:val="20"/>
          <w:lang w:val="sr-Cyrl-RS" w:eastAsia="ja-JP"/>
        </w:rPr>
        <w:lastRenderedPageBreak/>
        <w:t>Мере које су усвојене у претходном периоду, као и мере фискалне консолидације спроведене у периоду од 2015. до 2017. године, утицале су на значајно структурно унапређење фискалне позиције земље. У 2015. години, производни јаз достиже релативно високе негативне вредности</w:t>
      </w:r>
      <w:r w:rsidRPr="00A37BCE">
        <w:rPr>
          <w:rFonts w:ascii="Calibri" w:eastAsia="MS PGothic" w:hAnsi="Calibri" w:cs="Calibri"/>
          <w:color w:val="44546A" w:themeColor="text2"/>
          <w:sz w:val="20"/>
          <w:szCs w:val="20"/>
          <w:lang w:val="sr-Cyrl-RS" w:eastAsia="ja-JP"/>
        </w:rPr>
        <w:t xml:space="preserve"> који се након тога смањују, а након 2018. године производни јаз се затвара. Са друге стране, негативан фискални импулс у 2016. и 2017. години делимично је ублажен релаксацијом фискалне политике у виду повећања пензија и дела зарада у јавном сектору. Ефекти мера у периоду од 2016. до 2018. године, као и очекивани ефекти до 2021. године, а који се односе на реформе јавног сектора, завршетак процеса реструктурирања и укидање појединих субвенција, имају за резултат трајне уштеде на расходној страни. Истовремено, отвара се простор за даљу релаксацију фискалне </w:t>
      </w:r>
      <w:r w:rsidRPr="00A37BCE">
        <w:rPr>
          <w:rFonts w:ascii="Calibri" w:eastAsia="MS PGothic" w:hAnsi="Calibri" w:cs="Calibri"/>
          <w:color w:val="44546A" w:themeColor="text2"/>
          <w:sz w:val="20"/>
          <w:szCs w:val="20"/>
          <w:lang w:val="sr-Cyrl-RS" w:eastAsia="ja-JP"/>
        </w:rPr>
        <w:lastRenderedPageBreak/>
        <w:t>политике, прво на расходној, а након тога и на приходној страни. Остварени резултат у 2018. години и сигнификантан примарни суфицит дају простор да се фискална политика релаксира, и то на начин који неће угрозити одрживост и опадајућу путању дуга. Предвиђени фискални дефицит од 0,5% БДП у наредном периоду и даље омогућава остварење високих нивоа примарног суфицита. Тај чинилац ће поред убрзања привредног раста преовлађујуће деловати на убрзано спуштање нивоа јавног дуга у БДП.</w:t>
      </w:r>
    </w:p>
    <w:p w14:paraId="44543021" w14:textId="77777777" w:rsidR="000D0A45" w:rsidRDefault="000D0A45">
      <w:pPr>
        <w:rPr>
          <w:rFonts w:ascii="Calibri" w:eastAsia="Calibri" w:hAnsi="Calibri" w:cs="Calibri"/>
          <w:b/>
          <w:bCs/>
          <w:color w:val="002060"/>
          <w:sz w:val="18"/>
          <w:szCs w:val="18"/>
          <w:lang w:val="sr-Cyrl-RS"/>
        </w:rPr>
      </w:pPr>
      <w:r>
        <w:rPr>
          <w:rFonts w:ascii="Calibri" w:eastAsia="Calibri" w:hAnsi="Calibri" w:cs="Calibri"/>
          <w:b/>
          <w:bCs/>
          <w:color w:val="002060"/>
          <w:sz w:val="18"/>
          <w:szCs w:val="18"/>
          <w:lang w:val="sr-Cyrl-RS"/>
        </w:rPr>
        <w:br w:type="page"/>
      </w:r>
    </w:p>
    <w:p w14:paraId="00810143" w14:textId="09740E45" w:rsidR="001E3C08" w:rsidRPr="00A37BCE" w:rsidRDefault="001E3C08" w:rsidP="001E3C08">
      <w:pPr>
        <w:spacing w:after="120" w:line="276" w:lineRule="auto"/>
        <w:jc w:val="both"/>
        <w:rPr>
          <w:rFonts w:ascii="Calibri" w:eastAsia="Calibri" w:hAnsi="Calibri" w:cs="Calibri"/>
          <w:b/>
          <w:bCs/>
          <w:color w:val="002060"/>
          <w:sz w:val="18"/>
          <w:szCs w:val="18"/>
          <w:lang w:val="sr-Cyrl-RS"/>
        </w:rPr>
      </w:pPr>
      <w:r w:rsidRPr="00A37BCE">
        <w:rPr>
          <w:rFonts w:ascii="Calibri" w:eastAsia="Calibri" w:hAnsi="Calibri" w:cs="Calibri"/>
          <w:b/>
          <w:bCs/>
          <w:color w:val="002060"/>
          <w:sz w:val="18"/>
          <w:szCs w:val="18"/>
          <w:lang w:val="sr-Cyrl-RS"/>
        </w:rPr>
        <w:lastRenderedPageBreak/>
        <w:t>Производни јаз, стварни, цикли</w:t>
      </w:r>
      <w:r w:rsidR="00643204" w:rsidRPr="00A37BCE">
        <w:rPr>
          <w:rFonts w:ascii="Calibri" w:eastAsia="Calibri" w:hAnsi="Calibri" w:cs="Calibri"/>
          <w:b/>
          <w:bCs/>
          <w:color w:val="002060"/>
          <w:sz w:val="18"/>
          <w:szCs w:val="18"/>
          <w:lang w:val="sr-Cyrl-RS"/>
        </w:rPr>
        <w:t>чно прилагођени и</w:t>
      </w:r>
      <w:r w:rsidRPr="00A37BCE">
        <w:rPr>
          <w:rFonts w:ascii="Calibri" w:eastAsia="Calibri" w:hAnsi="Calibri" w:cs="Calibri"/>
          <w:b/>
          <w:bCs/>
          <w:color w:val="002060"/>
          <w:sz w:val="18"/>
          <w:szCs w:val="18"/>
          <w:lang w:val="sr-Cyrl-RS"/>
        </w:rPr>
        <w:t xml:space="preserve"> структурни фискални биланс у периоду 2015–2021. године, % БДП</w:t>
      </w:r>
    </w:p>
    <w:p w14:paraId="27F9E2B8" w14:textId="1C20A496" w:rsidR="00643204" w:rsidRPr="00A37BCE" w:rsidRDefault="00643204" w:rsidP="001E3C08">
      <w:pPr>
        <w:spacing w:after="120" w:line="276" w:lineRule="auto"/>
        <w:jc w:val="both"/>
        <w:rPr>
          <w:rFonts w:ascii="Calibri" w:eastAsia="Calibri" w:hAnsi="Calibri" w:cs="Calibri"/>
          <w:b/>
          <w:bCs/>
          <w:color w:val="002060"/>
          <w:sz w:val="18"/>
          <w:szCs w:val="18"/>
          <w:lang w:val="sr-Cyrl-RS"/>
        </w:rPr>
      </w:pPr>
      <w:r w:rsidRPr="00A37BCE">
        <w:rPr>
          <w:rFonts w:ascii="Calibri" w:eastAsia="Calibri" w:hAnsi="Calibri" w:cs="Calibri"/>
          <w:b/>
          <w:bCs/>
          <w:noProof/>
          <w:color w:val="002060"/>
          <w:sz w:val="18"/>
          <w:szCs w:val="18"/>
        </w:rPr>
        <w:drawing>
          <wp:inline distT="0" distB="0" distL="0" distR="0" wp14:anchorId="3EC7EA9B" wp14:editId="687A405C">
            <wp:extent cx="2914650" cy="3363401"/>
            <wp:effectExtent l="0" t="0" r="0" b="889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922700" cy="3372690"/>
                    </a:xfrm>
                    <a:prstGeom prst="rect">
                      <a:avLst/>
                    </a:prstGeom>
                    <a:noFill/>
                  </pic:spPr>
                </pic:pic>
              </a:graphicData>
            </a:graphic>
          </wp:inline>
        </w:drawing>
      </w:r>
    </w:p>
    <w:p w14:paraId="4AC802BB" w14:textId="7AB4B2A1" w:rsidR="00630A81" w:rsidRPr="00A37BCE" w:rsidRDefault="00642DA6" w:rsidP="001E3C08">
      <w:pPr>
        <w:spacing w:after="120" w:line="276" w:lineRule="auto"/>
        <w:jc w:val="both"/>
        <w:rPr>
          <w:rFonts w:ascii="Calibri" w:eastAsia="Calibri" w:hAnsi="Calibri" w:cs="Calibri"/>
          <w:b/>
          <w:bCs/>
          <w:color w:val="002060"/>
          <w:sz w:val="18"/>
          <w:szCs w:val="18"/>
          <w:lang w:val="sr-Cyrl-RS"/>
        </w:rPr>
      </w:pPr>
      <w:r w:rsidRPr="00A37BCE">
        <w:rPr>
          <w:rFonts w:cstheme="minorHAnsi"/>
          <w:bCs/>
          <w:color w:val="44546A" w:themeColor="text2"/>
          <w:sz w:val="16"/>
          <w:szCs w:val="72"/>
          <w:lang w:val="sr-Cyrl-RS"/>
        </w:rPr>
        <w:t>Извор: Министарство финансија</w:t>
      </w:r>
    </w:p>
    <w:p w14:paraId="36582085" w14:textId="6E584124" w:rsidR="001E3C08" w:rsidRPr="00A37BCE" w:rsidRDefault="001E3C08" w:rsidP="002E527B">
      <w:pPr>
        <w:spacing w:after="120" w:line="276" w:lineRule="auto"/>
        <w:jc w:val="center"/>
        <w:rPr>
          <w:rFonts w:ascii="Calibri" w:eastAsia="Calibri" w:hAnsi="Calibri" w:cs="Calibri"/>
          <w:b/>
          <w:bCs/>
          <w:color w:val="002060"/>
          <w:sz w:val="18"/>
          <w:szCs w:val="18"/>
          <w:lang w:val="sr-Cyrl-RS"/>
        </w:rPr>
      </w:pPr>
      <w:r w:rsidRPr="00A37BCE">
        <w:rPr>
          <w:rFonts w:ascii="Calibri" w:eastAsia="Calibri" w:hAnsi="Calibri" w:cs="Calibri"/>
          <w:b/>
          <w:bCs/>
          <w:color w:val="002060"/>
          <w:sz w:val="18"/>
          <w:szCs w:val="18"/>
          <w:lang w:val="sr-Cyrl-RS"/>
        </w:rPr>
        <w:t>Карактер и ефекти фискалне политике у периоду 2015–2021. године*</w:t>
      </w:r>
    </w:p>
    <w:p w14:paraId="0A94C38B" w14:textId="4B61F43E" w:rsidR="00642DA6" w:rsidRPr="00A37BCE" w:rsidRDefault="001E3C08" w:rsidP="001E3C08">
      <w:pPr>
        <w:spacing w:after="120" w:line="276" w:lineRule="auto"/>
        <w:jc w:val="both"/>
        <w:rPr>
          <w:rFonts w:ascii="Calibri" w:eastAsia="MS PGothic" w:hAnsi="Calibri" w:cs="Calibri"/>
          <w:color w:val="44546A" w:themeColor="text2"/>
          <w:sz w:val="16"/>
          <w:szCs w:val="16"/>
          <w:lang w:val="sr-Cyrl-RS" w:eastAsia="ja-JP"/>
        </w:rPr>
      </w:pPr>
      <w:r w:rsidRPr="00A37BCE">
        <w:rPr>
          <w:rFonts w:ascii="Calibri" w:eastAsia="MS PGothic" w:hAnsi="Calibri" w:cs="Calibri"/>
          <w:noProof/>
          <w:color w:val="44546A" w:themeColor="text2"/>
          <w:sz w:val="20"/>
          <w:szCs w:val="20"/>
        </w:rPr>
        <w:drawing>
          <wp:inline distT="0" distB="0" distL="0" distR="0" wp14:anchorId="22CCD4E0" wp14:editId="74D751A9">
            <wp:extent cx="2762002" cy="3180522"/>
            <wp:effectExtent l="0" t="0" r="635" b="1270"/>
            <wp:docPr id="5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771034" cy="3190923"/>
                    </a:xfrm>
                    <a:prstGeom prst="rect">
                      <a:avLst/>
                    </a:prstGeom>
                    <a:noFill/>
                    <a:ln>
                      <a:noFill/>
                    </a:ln>
                  </pic:spPr>
                </pic:pic>
              </a:graphicData>
            </a:graphic>
          </wp:inline>
        </w:drawing>
      </w:r>
      <w:r w:rsidR="00A963A9">
        <w:rPr>
          <w:rFonts w:ascii="Calibri" w:eastAsia="MS PGothic" w:hAnsi="Calibri" w:cs="Calibri"/>
          <w:color w:val="44546A" w:themeColor="text2"/>
          <w:sz w:val="16"/>
          <w:szCs w:val="16"/>
          <w:lang w:val="sr-Cyrl-RS" w:eastAsia="ja-JP"/>
        </w:rPr>
        <w:t xml:space="preserve">* За период </w:t>
      </w:r>
      <w:r w:rsidRPr="00A37BCE">
        <w:rPr>
          <w:rFonts w:ascii="Calibri" w:eastAsia="MS PGothic" w:hAnsi="Calibri" w:cs="Calibri"/>
          <w:color w:val="44546A" w:themeColor="text2"/>
          <w:sz w:val="16"/>
          <w:szCs w:val="16"/>
          <w:lang w:val="sr-Cyrl-RS" w:eastAsia="ja-JP"/>
        </w:rPr>
        <w:t>2019</w:t>
      </w:r>
      <w:r w:rsidR="00A963A9" w:rsidRPr="00A963A9">
        <w:rPr>
          <w:rFonts w:ascii="Calibri" w:eastAsia="MS PGothic" w:hAnsi="Calibri" w:cs="Calibri"/>
          <w:color w:val="44546A" w:themeColor="text2"/>
          <w:sz w:val="16"/>
          <w:szCs w:val="16"/>
          <w:lang w:val="sr-Cyrl-RS" w:eastAsia="ja-JP"/>
        </w:rPr>
        <w:t>–</w:t>
      </w:r>
      <w:r w:rsidRPr="00A37BCE">
        <w:rPr>
          <w:rFonts w:ascii="Calibri" w:eastAsia="MS PGothic" w:hAnsi="Calibri" w:cs="Calibri"/>
          <w:color w:val="44546A" w:themeColor="text2"/>
          <w:sz w:val="16"/>
          <w:szCs w:val="16"/>
          <w:lang w:val="sr-Cyrl-RS" w:eastAsia="ja-JP"/>
        </w:rPr>
        <w:t>2021. године приказане су пројектоване вредности.</w:t>
      </w:r>
      <w:r w:rsidR="000D0A45">
        <w:rPr>
          <w:rFonts w:ascii="Calibri" w:eastAsia="MS PGothic" w:hAnsi="Calibri" w:cs="Calibri"/>
          <w:color w:val="44546A" w:themeColor="text2"/>
          <w:sz w:val="16"/>
          <w:szCs w:val="16"/>
          <w:lang w:val="sr-Cyrl-RS" w:eastAsia="ja-JP"/>
        </w:rPr>
        <w:br/>
      </w:r>
      <w:r w:rsidR="00642DA6" w:rsidRPr="00A37BCE">
        <w:rPr>
          <w:rFonts w:cstheme="minorHAnsi"/>
          <w:bCs/>
          <w:color w:val="44546A" w:themeColor="text2"/>
          <w:sz w:val="16"/>
          <w:szCs w:val="72"/>
          <w:lang w:val="sr-Cyrl-RS"/>
        </w:rPr>
        <w:t>Извор: Министарство финансија</w:t>
      </w:r>
    </w:p>
    <w:p w14:paraId="6D3AA6AF" w14:textId="77777777" w:rsidR="001E3C08" w:rsidRPr="00A37BCE" w:rsidRDefault="001E3C08" w:rsidP="001E3C08">
      <w:pPr>
        <w:spacing w:after="120" w:line="276" w:lineRule="auto"/>
        <w:jc w:val="both"/>
        <w:rPr>
          <w:rFonts w:ascii="Calibri" w:eastAsia="MS PGothic" w:hAnsi="Calibri" w:cs="Calibri"/>
          <w:color w:val="44546A" w:themeColor="text2"/>
          <w:sz w:val="20"/>
          <w:szCs w:val="20"/>
          <w:lang w:val="sr-Cyrl-RS" w:eastAsia="ja-JP"/>
        </w:rPr>
      </w:pPr>
      <w:r w:rsidRPr="00A37BCE">
        <w:rPr>
          <w:rFonts w:ascii="Calibri" w:eastAsia="MS PGothic" w:hAnsi="Calibri" w:cs="Calibri"/>
          <w:color w:val="44546A" w:themeColor="text2"/>
          <w:sz w:val="20"/>
          <w:szCs w:val="20"/>
          <w:lang w:val="sr-Cyrl-RS" w:eastAsia="ja-JP"/>
        </w:rPr>
        <w:lastRenderedPageBreak/>
        <w:t>Негативан производни јаз није онемогућио успешно спровођење фискалне консолидације у периоду од 2014. до 2017. године. Одређени унутрашњи и спољни фактори су ублажили ефекте фискалне консолидације. Као најважнији фактори могу се навести: 1) значајно побољшање ефикасности наплате пореских прихода, 2) наплата једнократних непореских прихода који су у великој мери неутралисали издвајања по основу једнократних расхода, 3) релаксација монетарне политике НБС, 4) углавном повољно међународно окружење (економски раст спољнотрговинских партнера, политика ЕЦБ, цене енергената) и 5) релативно ниске вредности фискалних мултипликатора.</w:t>
      </w:r>
    </w:p>
    <w:p w14:paraId="7E1988AC" w14:textId="77777777" w:rsidR="001E3C08" w:rsidRPr="00A37BCE" w:rsidRDefault="001E3C08" w:rsidP="002E527B">
      <w:pPr>
        <w:spacing w:after="120" w:line="276" w:lineRule="auto"/>
        <w:jc w:val="center"/>
        <w:rPr>
          <w:rFonts w:ascii="Calibri" w:eastAsia="Calibri" w:hAnsi="Calibri" w:cs="Calibri"/>
          <w:b/>
          <w:bCs/>
          <w:color w:val="002060"/>
          <w:sz w:val="18"/>
          <w:szCs w:val="18"/>
          <w:lang w:val="sr-Cyrl-RS"/>
        </w:rPr>
      </w:pPr>
      <w:r w:rsidRPr="00A37BCE">
        <w:rPr>
          <w:rFonts w:ascii="Calibri" w:eastAsia="Calibri" w:hAnsi="Calibri" w:cs="Calibri"/>
          <w:b/>
          <w:bCs/>
          <w:color w:val="002060"/>
          <w:sz w:val="18"/>
          <w:szCs w:val="18"/>
          <w:lang w:val="sr-Cyrl-RS"/>
        </w:rPr>
        <w:t>Карактер и ефекти фискалне политике у периоду 2006–2018. године</w:t>
      </w:r>
    </w:p>
    <w:p w14:paraId="2AB074EC" w14:textId="795EEF50" w:rsidR="00642DA6" w:rsidRPr="00A37BCE" w:rsidRDefault="001E3C08" w:rsidP="001E3C08">
      <w:pPr>
        <w:spacing w:after="120" w:line="276" w:lineRule="auto"/>
        <w:jc w:val="both"/>
        <w:rPr>
          <w:rFonts w:ascii="Calibri" w:eastAsia="Calibri" w:hAnsi="Calibri" w:cs="Calibri"/>
          <w:b/>
          <w:bCs/>
          <w:color w:val="002060"/>
          <w:sz w:val="18"/>
          <w:szCs w:val="18"/>
          <w:lang w:val="sr-Cyrl-RS"/>
        </w:rPr>
      </w:pPr>
      <w:r w:rsidRPr="00A37BCE">
        <w:rPr>
          <w:rFonts w:ascii="Calibri" w:eastAsia="Calibri" w:hAnsi="Calibri" w:cs="Calibri"/>
          <w:b/>
          <w:noProof/>
          <w:color w:val="002060"/>
          <w:sz w:val="18"/>
          <w:szCs w:val="18"/>
        </w:rPr>
        <w:drawing>
          <wp:inline distT="0" distB="0" distL="0" distR="0" wp14:anchorId="116A795C" wp14:editId="72EA7AAB">
            <wp:extent cx="2762250" cy="1895475"/>
            <wp:effectExtent l="0" t="0" r="0" b="9525"/>
            <wp:docPr id="5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762250" cy="1895475"/>
                    </a:xfrm>
                    <a:prstGeom prst="rect">
                      <a:avLst/>
                    </a:prstGeom>
                    <a:noFill/>
                    <a:ln>
                      <a:noFill/>
                    </a:ln>
                  </pic:spPr>
                </pic:pic>
              </a:graphicData>
            </a:graphic>
          </wp:inline>
        </w:drawing>
      </w:r>
      <w:r w:rsidR="00642DA6" w:rsidRPr="00A37BCE">
        <w:rPr>
          <w:rFonts w:cstheme="minorHAnsi"/>
          <w:bCs/>
          <w:color w:val="44546A" w:themeColor="text2"/>
          <w:sz w:val="16"/>
          <w:szCs w:val="72"/>
          <w:lang w:val="sr-Cyrl-RS"/>
        </w:rPr>
        <w:t>Извор: Министарство финансија</w:t>
      </w:r>
    </w:p>
    <w:p w14:paraId="11A266AF" w14:textId="51F7F766" w:rsidR="001E3C08" w:rsidRPr="00A37BCE" w:rsidRDefault="001E3C08" w:rsidP="001D3262">
      <w:pPr>
        <w:spacing w:after="120" w:line="276" w:lineRule="auto"/>
        <w:jc w:val="both"/>
        <w:rPr>
          <w:rFonts w:ascii="Calibri" w:eastAsia="MS PGothic" w:hAnsi="Calibri" w:cs="Calibri"/>
          <w:color w:val="44546A" w:themeColor="text2"/>
          <w:sz w:val="20"/>
          <w:szCs w:val="20"/>
          <w:lang w:val="sr-Cyrl-RS" w:eastAsia="ja-JP"/>
        </w:rPr>
        <w:sectPr w:rsidR="001E3C08" w:rsidRPr="00A37BCE">
          <w:type w:val="continuous"/>
          <w:pgSz w:w="12240" w:h="15840"/>
          <w:pgMar w:top="1417" w:right="1417" w:bottom="1417" w:left="1417" w:header="720" w:footer="720" w:gutter="0"/>
          <w:cols w:num="2" w:space="720"/>
        </w:sectPr>
      </w:pPr>
      <w:r w:rsidRPr="00A37BCE">
        <w:rPr>
          <w:rFonts w:ascii="Calibri" w:eastAsia="MS PGothic" w:hAnsi="Calibri" w:cs="Calibri"/>
          <w:color w:val="44546A" w:themeColor="text2"/>
          <w:sz w:val="20"/>
          <w:szCs w:val="20"/>
          <w:lang w:val="sr-Cyrl-RS" w:eastAsia="ja-JP"/>
        </w:rPr>
        <w:t xml:space="preserve">У периоду 2018–2021. године фискални импулс је позитиван јер је консолидација у претходном периоду створила значајан фискални простор. Одређени минимални степен рестриктивности потиче од даљег побољшања ефикасности наплате на централном и локалном нивоу. Приближавање остварених стопа раста потенцијалном нивоу, у садејству са оствареним фискалним резултатима, у знатној мери смањује потребу за рестриктивном фискалном политиком у будућности. И поред релативно ниских вредности фискалног мултипликатора одређени ефекат позитивног фискалног импулса на привредна кретања ће свакако постојати у наредном средњорочном периоду. Пажљивим дизајнирањем приходне и расходне политике у наредном периоду могуће је </w:t>
      </w:r>
      <w:r w:rsidRPr="00A37BCE">
        <w:rPr>
          <w:rFonts w:ascii="Calibri" w:eastAsia="MS PGothic" w:hAnsi="Calibri" w:cs="Calibri"/>
          <w:color w:val="44546A" w:themeColor="text2"/>
          <w:sz w:val="20"/>
          <w:szCs w:val="20"/>
          <w:lang w:val="sr-Cyrl-RS" w:eastAsia="ja-JP"/>
        </w:rPr>
        <w:lastRenderedPageBreak/>
        <w:t xml:space="preserve">такав ефекат и појачати. Створени фискални простор може да се искористи и за симплификацију и уједначавање пореског </w:t>
      </w:r>
      <w:r w:rsidRPr="00A37BCE">
        <w:rPr>
          <w:rFonts w:ascii="Calibri" w:eastAsia="MS PGothic" w:hAnsi="Calibri" w:cs="Calibri"/>
          <w:color w:val="44546A" w:themeColor="text2"/>
          <w:sz w:val="20"/>
          <w:szCs w:val="20"/>
          <w:lang w:val="sr-Cyrl-RS" w:eastAsia="ja-JP"/>
        </w:rPr>
        <w:lastRenderedPageBreak/>
        <w:t>система, чиме се додатно унапређује пословно окружење и ствара простор за убрзање потенцијалног раста.</w:t>
      </w:r>
      <w:bookmarkStart w:id="17" w:name="_Toc499650054"/>
    </w:p>
    <w:p w14:paraId="6D0616CE" w14:textId="1D8F03A8" w:rsidR="006B230B" w:rsidRPr="00306BE8" w:rsidRDefault="001E3C08" w:rsidP="00EB0EE8">
      <w:pPr>
        <w:pStyle w:val="Heading2"/>
        <w:spacing w:before="240" w:after="240"/>
        <w:jc w:val="center"/>
        <w:rPr>
          <w:rFonts w:asciiTheme="minorHAnsi" w:eastAsia="MS PGothic" w:hAnsiTheme="minorHAnsi" w:cstheme="minorHAnsi"/>
          <w:b/>
          <w:lang w:val="sr-Cyrl-RS" w:eastAsia="ja-JP"/>
        </w:rPr>
        <w:sectPr w:rsidR="006B230B" w:rsidRPr="00306BE8">
          <w:type w:val="continuous"/>
          <w:pgSz w:w="12240" w:h="15840"/>
          <w:pgMar w:top="1417" w:right="1417" w:bottom="1417" w:left="1417" w:header="720" w:footer="720" w:gutter="0"/>
          <w:cols w:space="720"/>
        </w:sectPr>
      </w:pPr>
      <w:bookmarkStart w:id="18" w:name="_Toc530042003"/>
      <w:r w:rsidRPr="00306BE8">
        <w:rPr>
          <w:rFonts w:asciiTheme="minorHAnsi" w:eastAsia="MS PGothic" w:hAnsiTheme="minorHAnsi" w:cstheme="minorHAnsi"/>
          <w:b/>
          <w:sz w:val="24"/>
          <w:lang w:val="sr-Cyrl-RS" w:eastAsia="ja-JP"/>
        </w:rPr>
        <w:lastRenderedPageBreak/>
        <w:t>7. Програм за смањење дуга</w:t>
      </w:r>
      <w:bookmarkEnd w:id="17"/>
      <w:bookmarkEnd w:id="18"/>
    </w:p>
    <w:p w14:paraId="1DA5D7DF" w14:textId="1FD746AB" w:rsidR="001E3C08" w:rsidRPr="00A37BCE" w:rsidRDefault="001E3C08" w:rsidP="00B0714F">
      <w:pPr>
        <w:spacing w:after="0" w:line="276" w:lineRule="auto"/>
        <w:jc w:val="both"/>
        <w:rPr>
          <w:rFonts w:ascii="Calibri" w:eastAsia="Calibri" w:hAnsi="Calibri" w:cs="Calibri"/>
          <w:color w:val="44546A" w:themeColor="text2"/>
          <w:sz w:val="20"/>
          <w:szCs w:val="20"/>
          <w:lang w:val="sr-Cyrl-RS"/>
        </w:rPr>
      </w:pPr>
      <w:r w:rsidRPr="00A37BCE">
        <w:rPr>
          <w:rFonts w:ascii="Calibri" w:eastAsia="MS PGothic" w:hAnsi="Calibri" w:cs="Calibri"/>
          <w:color w:val="44546A" w:themeColor="text2"/>
          <w:sz w:val="20"/>
          <w:szCs w:val="20"/>
          <w:lang w:val="sr-Cyrl-RS" w:eastAsia="ja-JP"/>
        </w:rPr>
        <w:lastRenderedPageBreak/>
        <w:t>У складу са принципом фискалне одговорности, уколико дуг опште државе пређе 45% БДП, Влада је дужна да предложи мере којима ће се дуг приближити циљаном нивоу и вратити у одрживе оквире</w:t>
      </w:r>
      <w:r w:rsidRPr="002A4AC6">
        <w:rPr>
          <w:rFonts w:ascii="Calibri" w:eastAsia="Calibri" w:hAnsi="Calibri" w:cs="Calibri"/>
          <w:color w:val="44546A" w:themeColor="text2"/>
          <w:sz w:val="20"/>
          <w:szCs w:val="20"/>
          <w:vertAlign w:val="superscript"/>
          <w:lang w:val="sr-Cyrl-RS"/>
        </w:rPr>
        <w:footnoteReference w:id="24"/>
      </w:r>
      <w:r w:rsidRPr="002A4AC6">
        <w:rPr>
          <w:rFonts w:ascii="Calibri" w:eastAsia="Calibri" w:hAnsi="Calibri" w:cs="Calibri"/>
          <w:color w:val="44546A" w:themeColor="text2"/>
          <w:sz w:val="20"/>
          <w:szCs w:val="20"/>
          <w:lang w:val="sr-Cyrl-RS"/>
        </w:rPr>
        <w:t>.</w:t>
      </w:r>
      <w:r w:rsidRPr="00A37BCE">
        <w:rPr>
          <w:rFonts w:ascii="Calibri" w:eastAsia="Calibri" w:hAnsi="Calibri" w:cs="Calibri"/>
          <w:color w:val="2F5496" w:themeColor="accent1" w:themeShade="BF"/>
          <w:sz w:val="20"/>
          <w:szCs w:val="20"/>
          <w:lang w:val="sr-Cyrl-RS"/>
        </w:rPr>
        <w:t xml:space="preserve"> </w:t>
      </w:r>
      <w:r w:rsidRPr="00A37BCE">
        <w:rPr>
          <w:rFonts w:ascii="Calibri" w:eastAsia="Calibri" w:hAnsi="Calibri" w:cs="Calibri"/>
          <w:color w:val="44546A" w:themeColor="text2"/>
          <w:sz w:val="20"/>
          <w:szCs w:val="20"/>
          <w:lang w:val="sr-Cyrl-RS"/>
        </w:rPr>
        <w:t>Истовремено, Пактом за стабилност и раст је прописана горња граница учешћа јавног дуга у БДП од 60%, као и обавеза за земље чланице ЕУ да званичним документом представе кредибилан план достизања прописаног нивоа задовољавајућом брзином, уколико је ова гран</w:t>
      </w:r>
      <w:r w:rsidR="002A4AC6">
        <w:rPr>
          <w:rFonts w:ascii="Calibri" w:eastAsia="Calibri" w:hAnsi="Calibri" w:cs="Calibri"/>
          <w:color w:val="44546A" w:themeColor="text2"/>
          <w:sz w:val="20"/>
          <w:szCs w:val="20"/>
          <w:lang w:val="sr-Cyrl-RS"/>
        </w:rPr>
        <w:t>ица прекорачена.</w:t>
      </w:r>
    </w:p>
    <w:p w14:paraId="7E574360" w14:textId="5B3D349D" w:rsidR="001E3C08" w:rsidRPr="00A37BCE" w:rsidRDefault="001E3C08" w:rsidP="001E3C08">
      <w:pPr>
        <w:spacing w:after="120" w:line="276" w:lineRule="auto"/>
        <w:jc w:val="both"/>
        <w:rPr>
          <w:rFonts w:ascii="Calibri" w:eastAsia="Calibri" w:hAnsi="Calibri" w:cs="Calibri"/>
          <w:color w:val="44546A" w:themeColor="text2"/>
          <w:sz w:val="20"/>
          <w:szCs w:val="20"/>
          <w:lang w:val="sr-Cyrl-RS"/>
        </w:rPr>
      </w:pPr>
      <w:r w:rsidRPr="00A37BCE">
        <w:rPr>
          <w:rFonts w:ascii="Calibri" w:eastAsia="Calibri" w:hAnsi="Calibri" w:cs="Calibri"/>
          <w:color w:val="44546A" w:themeColor="text2"/>
          <w:sz w:val="20"/>
          <w:szCs w:val="20"/>
          <w:lang w:val="sr-Cyrl-RS"/>
        </w:rPr>
        <w:t>У периоду од 2008. до 2014. године дефицит опште државе је значајно повећан уз истовремено експлозивну путању раста јавног дуга, при чему је однос дуга и БДП више него удвостручен. Мере фискалне консолидације усвојене крајем 2012. и током 2013. године делимично су ублажиле овај тренд, али је ниво јавно</w:t>
      </w:r>
      <w:r w:rsidR="00BC1484" w:rsidRPr="00A37BCE">
        <w:rPr>
          <w:rFonts w:ascii="Calibri" w:eastAsia="Calibri" w:hAnsi="Calibri" w:cs="Calibri"/>
          <w:color w:val="44546A" w:themeColor="text2"/>
          <w:sz w:val="20"/>
          <w:szCs w:val="20"/>
          <w:lang w:val="sr-Cyrl-RS"/>
        </w:rPr>
        <w:t xml:space="preserve">г дуга и даље значајно растао. </w:t>
      </w:r>
      <w:r w:rsidRPr="00A37BCE">
        <w:rPr>
          <w:rFonts w:ascii="Calibri" w:eastAsia="Calibri" w:hAnsi="Calibri" w:cs="Calibri"/>
          <w:color w:val="44546A" w:themeColor="text2"/>
          <w:sz w:val="20"/>
          <w:szCs w:val="20"/>
          <w:lang w:val="sr-Cyrl-RS"/>
        </w:rPr>
        <w:t>Смањивање примарног дефицита у периоду 2012–2014. године није било довољно да стабилизује учешће нивоа јавног дуга у БДП. Ефекти првог таласа фискалне консолидације, која се односила углавном на приходну страну изостали су, услед повећаног обима сиве економије, карактеристичног у периоду након подизања пореских стопа. На расходној страни, високе камате и одређени једнократни расходи су додатно погоршавали фискал</w:t>
      </w:r>
      <w:r w:rsidR="002A4AC6">
        <w:rPr>
          <w:rFonts w:ascii="Calibri" w:eastAsia="Calibri" w:hAnsi="Calibri" w:cs="Calibri"/>
          <w:color w:val="44546A" w:themeColor="text2"/>
          <w:sz w:val="20"/>
          <w:szCs w:val="20"/>
          <w:lang w:val="sr-Cyrl-RS"/>
        </w:rPr>
        <w:t>ну позицију.</w:t>
      </w:r>
    </w:p>
    <w:p w14:paraId="74C0B102" w14:textId="1808EA35" w:rsidR="001E3C08" w:rsidRPr="00A37BCE" w:rsidRDefault="001E3C08" w:rsidP="001E3C08">
      <w:pPr>
        <w:spacing w:after="120" w:line="276" w:lineRule="auto"/>
        <w:jc w:val="both"/>
        <w:rPr>
          <w:rFonts w:ascii="Calibri" w:eastAsia="Calibri" w:hAnsi="Calibri" w:cs="Calibri"/>
          <w:color w:val="44546A" w:themeColor="text2"/>
          <w:sz w:val="20"/>
          <w:szCs w:val="20"/>
          <w:lang w:val="sr-Cyrl-RS"/>
        </w:rPr>
      </w:pPr>
      <w:r w:rsidRPr="00A37BCE">
        <w:rPr>
          <w:rFonts w:ascii="Calibri" w:eastAsia="Calibri" w:hAnsi="Calibri" w:cs="Calibri"/>
          <w:color w:val="44546A" w:themeColor="text2"/>
          <w:sz w:val="20"/>
          <w:szCs w:val="20"/>
          <w:lang w:val="sr-Cyrl-RS"/>
        </w:rPr>
        <w:t>Мере фискалне консолидације започете крајем 2014. године спустиле су примарни дефицит и успориле раст јавног дуга већ током 2015. године. До смањења јавног дуга у БДП дошло је у 2016. години, годину дана раније него што је било предвиђено аранжманом са ММФ. У 2016. години остварен је примарни суфицит од 1,7% БДП, чиме су се коначно стекли услови за пад учешћа јавног дуга у БДП. Након тога, у 2017. години, остварени примарни</w:t>
      </w:r>
      <w:r w:rsidR="00DD5C06" w:rsidRPr="00A37BCE">
        <w:rPr>
          <w:rFonts w:ascii="Calibri" w:eastAsia="Calibri" w:hAnsi="Calibri" w:cs="Calibri"/>
          <w:color w:val="44546A" w:themeColor="text2"/>
          <w:sz w:val="20"/>
          <w:szCs w:val="20"/>
          <w:lang w:val="sr-Cyrl-RS"/>
        </w:rPr>
        <w:t xml:space="preserve"> фискални суфицит од 3,</w:t>
      </w:r>
      <w:r w:rsidR="00D527AC">
        <w:rPr>
          <w:rFonts w:ascii="Calibri" w:eastAsia="Calibri" w:hAnsi="Calibri" w:cs="Calibri"/>
          <w:color w:val="44546A" w:themeColor="text2"/>
          <w:sz w:val="20"/>
          <w:szCs w:val="20"/>
          <w:lang w:val="sr-Cyrl-RS"/>
        </w:rPr>
        <w:t>6</w:t>
      </w:r>
      <w:r w:rsidR="00DD5C06" w:rsidRPr="00A37BCE">
        <w:rPr>
          <w:rFonts w:ascii="Calibri" w:eastAsia="Calibri" w:hAnsi="Calibri" w:cs="Calibri"/>
          <w:color w:val="44546A" w:themeColor="text2"/>
          <w:sz w:val="20"/>
          <w:szCs w:val="20"/>
          <w:lang w:val="sr-Cyrl-RS"/>
        </w:rPr>
        <w:t xml:space="preserve">% БДП, </w:t>
      </w:r>
      <w:r w:rsidRPr="00A37BCE">
        <w:rPr>
          <w:rFonts w:ascii="Calibri" w:eastAsia="Calibri" w:hAnsi="Calibri" w:cs="Calibri"/>
          <w:color w:val="44546A" w:themeColor="text2"/>
          <w:sz w:val="20"/>
          <w:szCs w:val="20"/>
          <w:lang w:val="sr-Cyrl-RS"/>
        </w:rPr>
        <w:t xml:space="preserve">доводи </w:t>
      </w:r>
      <w:r w:rsidRPr="00A37BCE">
        <w:rPr>
          <w:rFonts w:ascii="Calibri" w:eastAsia="Calibri" w:hAnsi="Calibri" w:cs="Calibri"/>
          <w:color w:val="44546A" w:themeColor="text2"/>
          <w:sz w:val="20"/>
          <w:szCs w:val="20"/>
          <w:lang w:val="sr-Cyrl-RS"/>
        </w:rPr>
        <w:lastRenderedPageBreak/>
        <w:t>до још значајнијег пада учешћа дуга, за више од 10 п. п. БДП, на 58,7% БДП.</w:t>
      </w:r>
    </w:p>
    <w:p w14:paraId="2FE1ACA9" w14:textId="498AF0EF" w:rsidR="00642DA6" w:rsidRPr="00A37BCE" w:rsidRDefault="00642DA6" w:rsidP="002E527B">
      <w:pPr>
        <w:spacing w:after="120" w:line="276" w:lineRule="auto"/>
        <w:jc w:val="center"/>
        <w:rPr>
          <w:rFonts w:ascii="Calibri" w:eastAsia="Calibri" w:hAnsi="Calibri" w:cs="Calibri"/>
          <w:b/>
          <w:bCs/>
          <w:color w:val="002060"/>
          <w:sz w:val="18"/>
          <w:szCs w:val="18"/>
          <w:lang w:val="sr-Cyrl-RS"/>
        </w:rPr>
      </w:pPr>
      <w:r w:rsidRPr="00A37BCE">
        <w:rPr>
          <w:rFonts w:ascii="Calibri" w:eastAsia="Calibri" w:hAnsi="Calibri" w:cs="Calibri"/>
          <w:b/>
          <w:bCs/>
          <w:color w:val="002060"/>
          <w:sz w:val="18"/>
          <w:szCs w:val="18"/>
          <w:lang w:val="sr-Cyrl-RS"/>
        </w:rPr>
        <w:t>Примарни резултат који стабилизује учешће дуга у БДП и остварени, % БДП</w:t>
      </w:r>
    </w:p>
    <w:p w14:paraId="74971149" w14:textId="0DD7E783" w:rsidR="00642DA6" w:rsidRPr="00A37BCE" w:rsidRDefault="001E3C08" w:rsidP="001E3C08">
      <w:pPr>
        <w:spacing w:after="120" w:line="276" w:lineRule="auto"/>
        <w:jc w:val="both"/>
        <w:rPr>
          <w:rFonts w:ascii="Calibri" w:eastAsia="MS PGothic" w:hAnsi="Calibri" w:cs="Calibri"/>
          <w:b/>
          <w:color w:val="2F5496" w:themeColor="accent1" w:themeShade="BF"/>
          <w:sz w:val="20"/>
          <w:szCs w:val="20"/>
          <w:lang w:val="sr-Cyrl-RS" w:eastAsia="ja-JP"/>
        </w:rPr>
      </w:pPr>
      <w:r w:rsidRPr="00A37BCE">
        <w:rPr>
          <w:rFonts w:ascii="Calibri" w:eastAsia="Calibri" w:hAnsi="Calibri" w:cs="Calibri"/>
          <w:noProof/>
          <w:color w:val="44546A" w:themeColor="text2"/>
          <w:sz w:val="20"/>
          <w:szCs w:val="20"/>
        </w:rPr>
        <w:drawing>
          <wp:inline distT="0" distB="0" distL="0" distR="0" wp14:anchorId="7399D9E7" wp14:editId="70495E83">
            <wp:extent cx="2762250" cy="2047875"/>
            <wp:effectExtent l="0" t="0" r="0" b="9525"/>
            <wp:docPr id="6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762250" cy="2047875"/>
                    </a:xfrm>
                    <a:prstGeom prst="rect">
                      <a:avLst/>
                    </a:prstGeom>
                    <a:noFill/>
                    <a:ln>
                      <a:noFill/>
                    </a:ln>
                  </pic:spPr>
                </pic:pic>
              </a:graphicData>
            </a:graphic>
          </wp:inline>
        </w:drawing>
      </w:r>
      <w:r w:rsidR="00642DA6" w:rsidRPr="00A37BCE">
        <w:rPr>
          <w:rFonts w:cstheme="minorHAnsi"/>
          <w:bCs/>
          <w:color w:val="44546A" w:themeColor="text2"/>
          <w:sz w:val="16"/>
          <w:szCs w:val="72"/>
          <w:lang w:val="sr-Cyrl-RS"/>
        </w:rPr>
        <w:t>Извор: Министарство финансија</w:t>
      </w:r>
    </w:p>
    <w:p w14:paraId="1F5392BD" w14:textId="065849B7" w:rsidR="001E3C08" w:rsidRPr="00A37BCE" w:rsidRDefault="001E3C08" w:rsidP="001E3C08">
      <w:pPr>
        <w:spacing w:after="120" w:line="276" w:lineRule="auto"/>
        <w:jc w:val="both"/>
        <w:rPr>
          <w:rFonts w:ascii="Calibri" w:eastAsia="Calibri" w:hAnsi="Calibri" w:cs="Calibri"/>
          <w:color w:val="44546A" w:themeColor="text2"/>
          <w:sz w:val="20"/>
          <w:szCs w:val="20"/>
          <w:lang w:val="sr-Cyrl-RS"/>
        </w:rPr>
      </w:pPr>
      <w:r w:rsidRPr="00A37BCE">
        <w:rPr>
          <w:rFonts w:ascii="Calibri" w:eastAsia="Calibri" w:hAnsi="Calibri" w:cs="Calibri"/>
          <w:color w:val="44546A" w:themeColor="text2"/>
          <w:sz w:val="20"/>
          <w:szCs w:val="20"/>
          <w:lang w:val="sr-Cyrl-RS"/>
        </w:rPr>
        <w:t>Од 2016. године присутан је позитиван примарни стабилизациони јаз. Овај јаз се дефинише као разлика између оствареног примарног резултата и примарног резултата који је неопходан да би се стабилизовало учешће јавног дуга у текућој години. Управо у 2016. години кад је путања дуга преокренута, стабилизациони јаз бележи позитивне вредности. Током 2017. и 2018. године позитиван јаз се повећава са максималном вредношћу у 2017. години, управо када је и остварено највеће смањење учешћа дуга у БДП. У наредном периоду пројектоване су позитивне вредности овог параметра, што доводи до даљег оп</w:t>
      </w:r>
      <w:r w:rsidR="00BC1484" w:rsidRPr="00A37BCE">
        <w:rPr>
          <w:rFonts w:ascii="Calibri" w:eastAsia="Calibri" w:hAnsi="Calibri" w:cs="Calibri"/>
          <w:color w:val="44546A" w:themeColor="text2"/>
          <w:sz w:val="20"/>
          <w:szCs w:val="20"/>
          <w:lang w:val="sr-Cyrl-RS"/>
        </w:rPr>
        <w:t xml:space="preserve">адања учешћа дуга ка законској </w:t>
      </w:r>
      <w:r w:rsidRPr="00A37BCE">
        <w:rPr>
          <w:rFonts w:ascii="Calibri" w:eastAsia="Calibri" w:hAnsi="Calibri" w:cs="Calibri"/>
          <w:color w:val="44546A" w:themeColor="text2"/>
          <w:sz w:val="20"/>
          <w:szCs w:val="20"/>
          <w:lang w:val="sr-Cyrl-RS"/>
        </w:rPr>
        <w:t>граници од 45% БДП почетком 2022. године.</w:t>
      </w:r>
    </w:p>
    <w:p w14:paraId="64311D9F" w14:textId="39ADED79" w:rsidR="001E3C08" w:rsidRPr="00A37BCE" w:rsidRDefault="001E3C08" w:rsidP="001E3C08">
      <w:pPr>
        <w:spacing w:after="120" w:line="276" w:lineRule="auto"/>
        <w:jc w:val="both"/>
        <w:rPr>
          <w:rFonts w:ascii="Calibri" w:eastAsia="Calibri" w:hAnsi="Calibri" w:cs="Calibri"/>
          <w:color w:val="44546A" w:themeColor="text2"/>
          <w:sz w:val="20"/>
          <w:szCs w:val="20"/>
          <w:lang w:val="sr-Cyrl-RS"/>
        </w:rPr>
      </w:pPr>
      <w:r w:rsidRPr="00A37BCE">
        <w:rPr>
          <w:rFonts w:ascii="Calibri" w:eastAsia="Calibri" w:hAnsi="Calibri" w:cs="Calibri"/>
          <w:color w:val="44546A" w:themeColor="text2"/>
          <w:sz w:val="20"/>
          <w:szCs w:val="20"/>
          <w:lang w:val="sr-Cyrl-RS"/>
        </w:rPr>
        <w:t xml:space="preserve">Током 2018. године настављено је убрзано смањење учешћа јавног дуга и предвиђа се да ће на крају године достићи ниво од 54,4% БДП. И поред значајног нивоа фискалне релаксације током 2018. године, настављен је тренд смањења </w:t>
      </w:r>
      <w:r w:rsidRPr="00A37BCE">
        <w:rPr>
          <w:rFonts w:ascii="Calibri" w:eastAsia="Calibri" w:hAnsi="Calibri" w:cs="Calibri"/>
          <w:color w:val="44546A" w:themeColor="text2"/>
          <w:sz w:val="20"/>
          <w:szCs w:val="20"/>
          <w:lang w:val="sr-Cyrl-RS"/>
        </w:rPr>
        <w:lastRenderedPageBreak/>
        <w:t xml:space="preserve">учешћа јавног дуга у БДП. Позитиван примарни фискални резултат уз деловање повољних </w:t>
      </w:r>
      <w:r w:rsidR="00BC1484" w:rsidRPr="00A37BCE">
        <w:rPr>
          <w:rFonts w:ascii="Calibri" w:eastAsia="Calibri" w:hAnsi="Calibri" w:cs="Calibri"/>
          <w:color w:val="44546A" w:themeColor="text2"/>
          <w:sz w:val="20"/>
          <w:szCs w:val="20"/>
          <w:lang w:val="sr-Cyrl-RS"/>
        </w:rPr>
        <w:t xml:space="preserve">макроекономских токова </w:t>
      </w:r>
      <w:r w:rsidRPr="00A37BCE">
        <w:rPr>
          <w:rFonts w:ascii="Calibri" w:eastAsia="Calibri" w:hAnsi="Calibri" w:cs="Calibri"/>
          <w:color w:val="44546A" w:themeColor="text2"/>
          <w:sz w:val="20"/>
          <w:szCs w:val="20"/>
          <w:lang w:val="sr-Cyrl-RS"/>
        </w:rPr>
        <w:t xml:space="preserve">утицаће на смањење јавног дуга за 4,3 </w:t>
      </w:r>
      <w:r w:rsidR="005D635E">
        <w:rPr>
          <w:rFonts w:ascii="Calibri" w:eastAsia="Calibri" w:hAnsi="Calibri" w:cs="Calibri"/>
          <w:color w:val="44546A" w:themeColor="text2"/>
          <w:sz w:val="20"/>
          <w:szCs w:val="20"/>
          <w:lang w:val="sr-Cyrl-RS"/>
        </w:rPr>
        <w:t>п. п. БДП.</w:t>
      </w:r>
    </w:p>
    <w:p w14:paraId="4B4A491C" w14:textId="77777777" w:rsidR="001E3C08" w:rsidRPr="00A37BCE" w:rsidRDefault="001E3C08" w:rsidP="001E3C08">
      <w:pPr>
        <w:spacing w:after="120" w:line="276" w:lineRule="auto"/>
        <w:jc w:val="both"/>
        <w:rPr>
          <w:rFonts w:ascii="Calibri" w:eastAsia="Calibri" w:hAnsi="Calibri" w:cs="Calibri"/>
          <w:color w:val="44546A" w:themeColor="text2"/>
          <w:sz w:val="20"/>
          <w:szCs w:val="20"/>
          <w:lang w:val="sr-Cyrl-RS"/>
        </w:rPr>
      </w:pPr>
      <w:r w:rsidRPr="00A37BCE">
        <w:rPr>
          <w:rFonts w:ascii="Calibri" w:eastAsia="Calibri" w:hAnsi="Calibri" w:cs="Calibri"/>
          <w:color w:val="44546A" w:themeColor="text2"/>
          <w:sz w:val="20"/>
          <w:szCs w:val="20"/>
          <w:lang w:val="sr-Cyrl-RS"/>
        </w:rPr>
        <w:t>Примарни фискални резултат, иако пресудан, није једини фактор који утиче на висину јавног дуга и стога је неопходно константно спроводити мере које додатно унапређују управљање и одрживост јавног дуга:</w:t>
      </w:r>
    </w:p>
    <w:p w14:paraId="7BE383AC" w14:textId="77777777" w:rsidR="001E3C08" w:rsidRPr="00A37BCE" w:rsidRDefault="001E3C08" w:rsidP="001E3C08">
      <w:pPr>
        <w:numPr>
          <w:ilvl w:val="0"/>
          <w:numId w:val="10"/>
        </w:numPr>
        <w:spacing w:after="0" w:line="276" w:lineRule="auto"/>
        <w:ind w:left="180" w:hanging="180"/>
        <w:jc w:val="both"/>
        <w:rPr>
          <w:rFonts w:ascii="Calibri" w:eastAsia="Calibri" w:hAnsi="Calibri" w:cs="Calibri"/>
          <w:color w:val="44546A" w:themeColor="text2"/>
          <w:sz w:val="20"/>
          <w:szCs w:val="20"/>
          <w:lang w:val="sr-Cyrl-RS"/>
        </w:rPr>
      </w:pPr>
      <w:r w:rsidRPr="00A37BCE">
        <w:rPr>
          <w:rFonts w:ascii="Calibri" w:eastAsia="Calibri" w:hAnsi="Calibri" w:cs="Calibri"/>
          <w:color w:val="44546A" w:themeColor="text2"/>
          <w:sz w:val="20"/>
          <w:szCs w:val="20"/>
          <w:lang w:val="sr-Cyrl-RS"/>
        </w:rPr>
        <w:t xml:space="preserve">ограничење издавања нових гаранција; </w:t>
      </w:r>
    </w:p>
    <w:p w14:paraId="623F48C8" w14:textId="77777777" w:rsidR="001E3C08" w:rsidRPr="00A37BCE" w:rsidRDefault="001E3C08" w:rsidP="001E3C08">
      <w:pPr>
        <w:numPr>
          <w:ilvl w:val="0"/>
          <w:numId w:val="10"/>
        </w:numPr>
        <w:spacing w:after="0" w:line="276" w:lineRule="auto"/>
        <w:ind w:left="180" w:hanging="180"/>
        <w:jc w:val="both"/>
        <w:rPr>
          <w:rFonts w:ascii="Calibri" w:eastAsia="Calibri" w:hAnsi="Calibri" w:cs="Calibri"/>
          <w:color w:val="44546A" w:themeColor="text2"/>
          <w:sz w:val="20"/>
          <w:szCs w:val="20"/>
          <w:lang w:val="sr-Cyrl-RS"/>
        </w:rPr>
      </w:pPr>
      <w:r w:rsidRPr="00A37BCE">
        <w:rPr>
          <w:rFonts w:ascii="Calibri" w:eastAsia="Calibri" w:hAnsi="Calibri" w:cs="Calibri"/>
          <w:color w:val="44546A" w:themeColor="text2"/>
          <w:sz w:val="20"/>
          <w:szCs w:val="20"/>
          <w:lang w:val="sr-Cyrl-RS"/>
        </w:rPr>
        <w:t>ограничење закључивања нових пројектних зајмова у случајевима да претходно одобрени зајмови нису ефикасно коришћени;</w:t>
      </w:r>
    </w:p>
    <w:p w14:paraId="30D7FEB1" w14:textId="77777777" w:rsidR="001E3C08" w:rsidRPr="00A37BCE" w:rsidRDefault="001E3C08" w:rsidP="001E3C08">
      <w:pPr>
        <w:numPr>
          <w:ilvl w:val="0"/>
          <w:numId w:val="10"/>
        </w:numPr>
        <w:spacing w:after="0" w:line="276" w:lineRule="auto"/>
        <w:ind w:left="180" w:hanging="180"/>
        <w:jc w:val="both"/>
        <w:rPr>
          <w:rFonts w:ascii="Calibri" w:eastAsia="Calibri" w:hAnsi="Calibri" w:cs="Calibri"/>
          <w:color w:val="44546A" w:themeColor="text2"/>
          <w:sz w:val="20"/>
          <w:szCs w:val="20"/>
          <w:lang w:val="sr-Cyrl-RS"/>
        </w:rPr>
      </w:pPr>
      <w:r w:rsidRPr="00A37BCE">
        <w:rPr>
          <w:rFonts w:ascii="Calibri" w:eastAsia="Calibri" w:hAnsi="Calibri" w:cs="Calibri"/>
          <w:color w:val="44546A" w:themeColor="text2"/>
          <w:sz w:val="20"/>
          <w:szCs w:val="20"/>
          <w:lang w:val="sr-Cyrl-RS"/>
        </w:rPr>
        <w:t xml:space="preserve">откуп једног дела скупог дуга коришћењем средстава из повољнијих зајмова или приватизационих прихода уколико за то постоје могућности; </w:t>
      </w:r>
    </w:p>
    <w:p w14:paraId="6952A490" w14:textId="77777777" w:rsidR="001E3C08" w:rsidRPr="00A37BCE" w:rsidRDefault="001E3C08" w:rsidP="001E3C08">
      <w:pPr>
        <w:numPr>
          <w:ilvl w:val="0"/>
          <w:numId w:val="10"/>
        </w:numPr>
        <w:spacing w:after="120" w:line="276" w:lineRule="auto"/>
        <w:ind w:left="180" w:hanging="180"/>
        <w:jc w:val="both"/>
        <w:rPr>
          <w:rFonts w:ascii="Calibri" w:eastAsia="Calibri" w:hAnsi="Calibri" w:cs="Calibri"/>
          <w:color w:val="44546A" w:themeColor="text2"/>
          <w:sz w:val="20"/>
          <w:szCs w:val="20"/>
          <w:lang w:val="sr-Cyrl-RS"/>
        </w:rPr>
      </w:pPr>
      <w:r w:rsidRPr="00A37BCE">
        <w:rPr>
          <w:rFonts w:ascii="Calibri" w:eastAsia="Calibri" w:hAnsi="Calibri" w:cs="Calibri"/>
          <w:color w:val="44546A" w:themeColor="text2"/>
          <w:sz w:val="20"/>
          <w:szCs w:val="20"/>
          <w:lang w:val="sr-Cyrl-RS"/>
        </w:rPr>
        <w:t>идентификација и боље управљање фискалним ризицима.</w:t>
      </w:r>
    </w:p>
    <w:p w14:paraId="22802778" w14:textId="1499C066" w:rsidR="001E3C08" w:rsidRPr="00A37BCE" w:rsidRDefault="001E3C08" w:rsidP="001E3C08">
      <w:pPr>
        <w:spacing w:after="120" w:line="276" w:lineRule="auto"/>
        <w:jc w:val="both"/>
        <w:rPr>
          <w:rFonts w:ascii="Calibri" w:eastAsia="Calibri" w:hAnsi="Calibri" w:cs="Calibri"/>
          <w:color w:val="44546A" w:themeColor="text2"/>
          <w:sz w:val="20"/>
          <w:szCs w:val="20"/>
          <w:lang w:val="sr-Cyrl-RS"/>
        </w:rPr>
      </w:pPr>
      <w:r w:rsidRPr="00A37BCE">
        <w:rPr>
          <w:rFonts w:ascii="Calibri" w:eastAsia="Calibri" w:hAnsi="Calibri" w:cs="Calibri"/>
          <w:color w:val="44546A" w:themeColor="text2"/>
          <w:sz w:val="20"/>
          <w:szCs w:val="20"/>
          <w:lang w:val="sr-Cyrl-RS"/>
        </w:rPr>
        <w:t>У складу са фискалним правилима неопходно је програмом предвидети динамику спуштања нивоа јавног дуга на 45% БДП. Фискални оквир у периоду 2019–2021. године, којим је предвиђена стабилизација консолидованог фискалног дефицита на 0,5% БДП, представља основни сценарио и саставни је део овог пр</w:t>
      </w:r>
      <w:r w:rsidR="00BC1484" w:rsidRPr="00A37BCE">
        <w:rPr>
          <w:rFonts w:ascii="Calibri" w:eastAsia="Calibri" w:hAnsi="Calibri" w:cs="Calibri"/>
          <w:color w:val="44546A" w:themeColor="text2"/>
          <w:sz w:val="20"/>
          <w:szCs w:val="20"/>
          <w:lang w:val="sr-Cyrl-RS"/>
        </w:rPr>
        <w:t>ограма за смањење јавног дуга.</w:t>
      </w:r>
    </w:p>
    <w:p w14:paraId="08F4C358" w14:textId="12A9444E" w:rsidR="001E3C08" w:rsidRPr="00A37BCE" w:rsidRDefault="001E3C08" w:rsidP="001E3C08">
      <w:pPr>
        <w:spacing w:after="120" w:line="276" w:lineRule="auto"/>
        <w:jc w:val="both"/>
        <w:rPr>
          <w:rFonts w:ascii="Calibri" w:eastAsia="Calibri" w:hAnsi="Calibri" w:cs="Calibri"/>
          <w:color w:val="44546A" w:themeColor="text2"/>
          <w:sz w:val="20"/>
          <w:szCs w:val="20"/>
          <w:lang w:val="sr-Cyrl-RS"/>
        </w:rPr>
      </w:pPr>
      <w:r w:rsidRPr="00A37BCE">
        <w:rPr>
          <w:rFonts w:ascii="Calibri" w:eastAsia="Calibri" w:hAnsi="Calibri" w:cs="Calibri"/>
          <w:color w:val="44546A" w:themeColor="text2"/>
          <w:sz w:val="20"/>
          <w:szCs w:val="20"/>
          <w:lang w:val="sr-Cyrl-RS"/>
        </w:rPr>
        <w:t>Законски предвиђено учешће јавног дуга у БДП од 45% биће достигнуто 2022. године. Успех програма структурног фискалног прилагођавања омогућио је смањење учешћ</w:t>
      </w:r>
      <w:r w:rsidR="00FC0BE0">
        <w:rPr>
          <w:rFonts w:ascii="Calibri" w:eastAsia="Calibri" w:hAnsi="Calibri" w:cs="Calibri"/>
          <w:color w:val="44546A" w:themeColor="text2"/>
          <w:sz w:val="20"/>
          <w:szCs w:val="20"/>
          <w:lang w:val="sr-Cyrl-RS"/>
        </w:rPr>
        <w:t>а</w:t>
      </w:r>
      <w:r w:rsidRPr="00A37BCE">
        <w:rPr>
          <w:rFonts w:ascii="Calibri" w:eastAsia="Calibri" w:hAnsi="Calibri" w:cs="Calibri"/>
          <w:color w:val="44546A" w:themeColor="text2"/>
          <w:sz w:val="20"/>
          <w:szCs w:val="20"/>
          <w:lang w:val="sr-Cyrl-RS"/>
        </w:rPr>
        <w:t xml:space="preserve"> дуга од 2015. до 2018. године за </w:t>
      </w:r>
      <w:r w:rsidRPr="00A37BCE">
        <w:rPr>
          <w:rFonts w:ascii="Calibri" w:eastAsia="Calibri" w:hAnsi="Calibri" w:cs="Calibri"/>
          <w:color w:val="44546A" w:themeColor="text2"/>
          <w:sz w:val="20"/>
          <w:szCs w:val="20"/>
          <w:lang w:val="sr-Cyrl-RS"/>
        </w:rPr>
        <w:lastRenderedPageBreak/>
        <w:t>близу 17 процентних поена БДП. Како је фискалним правилима предвиђена граница дуга од 45%</w:t>
      </w:r>
      <w:r w:rsidR="00CE52F1" w:rsidRPr="00A37BCE">
        <w:rPr>
          <w:rFonts w:ascii="Calibri" w:eastAsia="Calibri" w:hAnsi="Calibri" w:cs="Calibri"/>
          <w:color w:val="44546A" w:themeColor="text2"/>
          <w:sz w:val="20"/>
          <w:szCs w:val="20"/>
          <w:lang w:val="sr-Cyrl-RS"/>
        </w:rPr>
        <w:t xml:space="preserve"> </w:t>
      </w:r>
      <w:r w:rsidRPr="00A37BCE">
        <w:rPr>
          <w:rFonts w:ascii="Calibri" w:eastAsia="Calibri" w:hAnsi="Calibri" w:cs="Calibri"/>
          <w:color w:val="44546A" w:themeColor="text2"/>
          <w:sz w:val="20"/>
          <w:szCs w:val="20"/>
          <w:lang w:val="sr-Cyrl-RS"/>
        </w:rPr>
        <w:t>БДП која се достиже већ почетком 2022. године, урађена је симулација кретања учешћа у случају варијације фактора који утичу на динамику дуга до 2026. године.</w:t>
      </w:r>
    </w:p>
    <w:p w14:paraId="30F6B74C" w14:textId="77777777" w:rsidR="001E3C08" w:rsidRPr="00A37BCE" w:rsidRDefault="001E3C08" w:rsidP="001E3C08">
      <w:pPr>
        <w:spacing w:after="120" w:line="276" w:lineRule="auto"/>
        <w:jc w:val="both"/>
        <w:rPr>
          <w:rFonts w:ascii="Calibri" w:eastAsia="Calibri" w:hAnsi="Calibri" w:cs="Calibri"/>
          <w:color w:val="2F5496" w:themeColor="accent1" w:themeShade="BF"/>
          <w:sz w:val="20"/>
          <w:szCs w:val="20"/>
          <w:lang w:val="sr-Cyrl-RS"/>
        </w:rPr>
      </w:pPr>
      <w:r w:rsidRPr="00A37BCE">
        <w:rPr>
          <w:rFonts w:ascii="Calibri" w:eastAsia="Calibri" w:hAnsi="Calibri" w:cs="Calibri"/>
          <w:b/>
          <w:color w:val="2F5496" w:themeColor="accent1" w:themeShade="BF"/>
          <w:sz w:val="20"/>
          <w:szCs w:val="20"/>
          <w:lang w:val="sr-Cyrl-RS"/>
        </w:rPr>
        <w:t>Претпоставке у основном сценарију су</w:t>
      </w:r>
      <w:r w:rsidRPr="00A37BCE">
        <w:rPr>
          <w:rFonts w:ascii="Calibri" w:eastAsia="Calibri" w:hAnsi="Calibri" w:cs="Calibri"/>
          <w:color w:val="2F5496" w:themeColor="accent1" w:themeShade="BF"/>
          <w:sz w:val="20"/>
          <w:szCs w:val="20"/>
          <w:lang w:val="sr-Cyrl-RS"/>
        </w:rPr>
        <w:t>:</w:t>
      </w:r>
    </w:p>
    <w:p w14:paraId="03E2BE86" w14:textId="77777777" w:rsidR="001E3C08" w:rsidRPr="00A37BCE" w:rsidRDefault="001E3C08" w:rsidP="001E3C08">
      <w:pPr>
        <w:numPr>
          <w:ilvl w:val="0"/>
          <w:numId w:val="11"/>
        </w:numPr>
        <w:spacing w:after="0" w:line="276" w:lineRule="auto"/>
        <w:ind w:left="90" w:hanging="180"/>
        <w:contextualSpacing/>
        <w:jc w:val="both"/>
        <w:rPr>
          <w:rFonts w:cs="Calibri"/>
          <w:bCs/>
          <w:color w:val="44546A" w:themeColor="text2"/>
          <w:sz w:val="20"/>
          <w:szCs w:val="20"/>
          <w:lang w:val="sr-Cyrl-RS" w:eastAsia="ja-JP"/>
        </w:rPr>
      </w:pPr>
      <w:r w:rsidRPr="00A37BCE">
        <w:rPr>
          <w:rFonts w:cs="Calibri"/>
          <w:bCs/>
          <w:color w:val="44546A" w:themeColor="text2"/>
          <w:sz w:val="20"/>
          <w:szCs w:val="20"/>
          <w:lang w:val="sr-Cyrl-RS" w:eastAsia="ja-JP"/>
        </w:rPr>
        <w:t xml:space="preserve">након оствареног суфицита у 2018. године комбинацијом мера на приходној и расходној страни у наредном периоду долази до релаксације фискалне политике чиме се достиже за тренутне услове примеренији и одржив ниво фискалног дефицита од 0,5% БДП у 2019. години и његово одржавање у периоду након тога; </w:t>
      </w:r>
    </w:p>
    <w:p w14:paraId="2CB3BAFA" w14:textId="77777777" w:rsidR="001E3C08" w:rsidRPr="00A37BCE" w:rsidRDefault="001E3C08" w:rsidP="001E3C08">
      <w:pPr>
        <w:numPr>
          <w:ilvl w:val="0"/>
          <w:numId w:val="11"/>
        </w:numPr>
        <w:spacing w:after="0" w:line="276" w:lineRule="auto"/>
        <w:ind w:left="90" w:hanging="180"/>
        <w:contextualSpacing/>
        <w:jc w:val="both"/>
        <w:rPr>
          <w:rFonts w:cs="Calibri"/>
          <w:bCs/>
          <w:color w:val="44546A" w:themeColor="text2"/>
          <w:sz w:val="20"/>
          <w:szCs w:val="20"/>
          <w:lang w:val="sr-Cyrl-RS" w:eastAsia="ja-JP"/>
        </w:rPr>
      </w:pPr>
      <w:r w:rsidRPr="00A37BCE">
        <w:rPr>
          <w:rFonts w:cs="Calibri"/>
          <w:bCs/>
          <w:color w:val="44546A" w:themeColor="text2"/>
          <w:sz w:val="20"/>
          <w:szCs w:val="20"/>
          <w:lang w:val="sr-Cyrl-RS" w:eastAsia="ja-JP"/>
        </w:rPr>
        <w:t xml:space="preserve">спорији раст фискалних прихода у односу на номинални БДП услед промене структуре привреде, јачања инвестиционе активности и раста извоза. Ово важи под условима да нема значајнијих промена у пореској политици и да се значајније не погоршава обим сиве економије; </w:t>
      </w:r>
    </w:p>
    <w:p w14:paraId="0618C750" w14:textId="77777777" w:rsidR="001E3C08" w:rsidRPr="00A37BCE" w:rsidRDefault="001E3C08" w:rsidP="001E3C08">
      <w:pPr>
        <w:numPr>
          <w:ilvl w:val="0"/>
          <w:numId w:val="11"/>
        </w:numPr>
        <w:spacing w:after="0" w:line="276" w:lineRule="auto"/>
        <w:ind w:left="90" w:hanging="180"/>
        <w:contextualSpacing/>
        <w:jc w:val="both"/>
        <w:rPr>
          <w:rFonts w:cs="Calibri"/>
          <w:bCs/>
          <w:color w:val="44546A" w:themeColor="text2"/>
          <w:sz w:val="20"/>
          <w:szCs w:val="20"/>
          <w:lang w:val="sr-Cyrl-RS" w:eastAsia="ja-JP"/>
        </w:rPr>
      </w:pPr>
      <w:r w:rsidRPr="00A37BCE">
        <w:rPr>
          <w:rFonts w:cs="Calibri"/>
          <w:bCs/>
          <w:color w:val="44546A" w:themeColor="text2"/>
          <w:sz w:val="20"/>
          <w:szCs w:val="20"/>
          <w:lang w:val="sr-Cyrl-RS" w:eastAsia="ja-JP"/>
        </w:rPr>
        <w:t xml:space="preserve">изостанак нето прираста издатих гаранција након 2019. године; </w:t>
      </w:r>
    </w:p>
    <w:p w14:paraId="7FA30E44" w14:textId="77777777" w:rsidR="001E3C08" w:rsidRPr="00A37BCE" w:rsidRDefault="001E3C08" w:rsidP="001E3C08">
      <w:pPr>
        <w:numPr>
          <w:ilvl w:val="0"/>
          <w:numId w:val="11"/>
        </w:numPr>
        <w:spacing w:after="0" w:line="276" w:lineRule="auto"/>
        <w:ind w:left="90" w:hanging="180"/>
        <w:contextualSpacing/>
        <w:jc w:val="both"/>
        <w:rPr>
          <w:rFonts w:cs="Calibri"/>
          <w:color w:val="44546A" w:themeColor="text2"/>
          <w:sz w:val="20"/>
          <w:szCs w:val="20"/>
          <w:lang w:val="sr-Cyrl-RS" w:eastAsia="ja-JP"/>
        </w:rPr>
      </w:pPr>
      <w:r w:rsidRPr="00A37BCE">
        <w:rPr>
          <w:rFonts w:cs="Calibri"/>
          <w:bCs/>
          <w:color w:val="44546A" w:themeColor="text2"/>
          <w:sz w:val="20"/>
          <w:szCs w:val="20"/>
          <w:lang w:val="sr-Cyrl-RS" w:eastAsia="ja-JP"/>
        </w:rPr>
        <w:t>просечна стопа реалног раста БДП од 4% у дугом року</w:t>
      </w:r>
      <w:r w:rsidRPr="00A37BCE">
        <w:rPr>
          <w:rFonts w:cs="Calibri"/>
          <w:color w:val="44546A" w:themeColor="text2"/>
          <w:sz w:val="20"/>
          <w:szCs w:val="20"/>
          <w:lang w:val="sr-Cyrl-RS" w:eastAsia="ja-JP"/>
        </w:rPr>
        <w:t>;</w:t>
      </w:r>
    </w:p>
    <w:p w14:paraId="2D674E7A" w14:textId="77777777" w:rsidR="001E3C08" w:rsidRPr="00A37BCE" w:rsidRDefault="001E3C08" w:rsidP="001E3C08">
      <w:pPr>
        <w:numPr>
          <w:ilvl w:val="0"/>
          <w:numId w:val="11"/>
        </w:numPr>
        <w:spacing w:after="0" w:line="276" w:lineRule="auto"/>
        <w:ind w:left="90" w:hanging="180"/>
        <w:contextualSpacing/>
        <w:jc w:val="both"/>
        <w:rPr>
          <w:rFonts w:cs="Calibri"/>
          <w:color w:val="44546A" w:themeColor="text2"/>
          <w:sz w:val="20"/>
          <w:szCs w:val="20"/>
          <w:lang w:val="sr-Cyrl-RS" w:eastAsia="ja-JP"/>
        </w:rPr>
      </w:pPr>
      <w:r w:rsidRPr="00A37BCE">
        <w:rPr>
          <w:rFonts w:cs="Calibri"/>
          <w:bCs/>
          <w:color w:val="44546A" w:themeColor="text2"/>
          <w:sz w:val="20"/>
          <w:szCs w:val="20"/>
          <w:lang w:val="sr-Cyrl-RS" w:eastAsia="ja-JP"/>
        </w:rPr>
        <w:t>годишња инфлација од око 3% просечно у посматраном периоду</w:t>
      </w:r>
      <w:r w:rsidRPr="00A37BCE">
        <w:rPr>
          <w:rFonts w:cs="Calibri"/>
          <w:color w:val="44546A" w:themeColor="text2"/>
          <w:sz w:val="20"/>
          <w:szCs w:val="20"/>
          <w:lang w:val="sr-Cyrl-RS" w:eastAsia="ja-JP"/>
        </w:rPr>
        <w:t>;</w:t>
      </w:r>
    </w:p>
    <w:p w14:paraId="6F3A56E3" w14:textId="77777777" w:rsidR="001E3C08" w:rsidRPr="00A37BCE" w:rsidRDefault="001E3C08" w:rsidP="001E3C08">
      <w:pPr>
        <w:numPr>
          <w:ilvl w:val="0"/>
          <w:numId w:val="11"/>
        </w:numPr>
        <w:spacing w:after="0" w:line="276" w:lineRule="auto"/>
        <w:ind w:left="90" w:hanging="180"/>
        <w:contextualSpacing/>
        <w:jc w:val="both"/>
        <w:rPr>
          <w:rFonts w:cs="Calibri"/>
          <w:color w:val="44546A" w:themeColor="text2"/>
          <w:sz w:val="20"/>
          <w:szCs w:val="20"/>
          <w:lang w:val="sr-Cyrl-RS" w:eastAsia="ja-JP"/>
        </w:rPr>
      </w:pPr>
      <w:r w:rsidRPr="00A37BCE">
        <w:rPr>
          <w:rFonts w:cs="Calibri"/>
          <w:bCs/>
          <w:color w:val="44546A" w:themeColor="text2"/>
          <w:sz w:val="20"/>
          <w:szCs w:val="20"/>
          <w:lang w:val="sr-Cyrl-RS" w:eastAsia="ja-JP"/>
        </w:rPr>
        <w:t>реално непромењен курс динара</w:t>
      </w:r>
      <w:r w:rsidRPr="00A37BCE">
        <w:rPr>
          <w:rFonts w:cs="Calibri"/>
          <w:color w:val="44546A" w:themeColor="text2"/>
          <w:sz w:val="20"/>
          <w:szCs w:val="20"/>
          <w:lang w:val="sr-Cyrl-RS" w:eastAsia="ja-JP"/>
        </w:rPr>
        <w:t>;</w:t>
      </w:r>
    </w:p>
    <w:p w14:paraId="2C2447FD" w14:textId="500D5C54" w:rsidR="001E3C08" w:rsidRPr="00A37BCE" w:rsidRDefault="001E3C08" w:rsidP="001E3C08">
      <w:pPr>
        <w:numPr>
          <w:ilvl w:val="0"/>
          <w:numId w:val="11"/>
        </w:numPr>
        <w:spacing w:after="0" w:line="276" w:lineRule="auto"/>
        <w:ind w:left="90" w:hanging="180"/>
        <w:contextualSpacing/>
        <w:jc w:val="both"/>
        <w:rPr>
          <w:rFonts w:cs="Calibri"/>
          <w:color w:val="44546A" w:themeColor="text2"/>
          <w:sz w:val="20"/>
          <w:szCs w:val="20"/>
          <w:lang w:val="sr-Cyrl-RS" w:eastAsia="ja-JP"/>
        </w:rPr>
      </w:pPr>
      <w:r w:rsidRPr="00A37BCE">
        <w:rPr>
          <w:rFonts w:cs="Calibri"/>
          <w:bCs/>
          <w:color w:val="44546A" w:themeColor="text2"/>
          <w:sz w:val="20"/>
          <w:szCs w:val="20"/>
          <w:lang w:val="sr-Cyrl-RS" w:eastAsia="ja-JP"/>
        </w:rPr>
        <w:t>изостанак значајних прилива од приватизациј</w:t>
      </w:r>
      <w:r w:rsidR="004877B6">
        <w:rPr>
          <w:rFonts w:cs="Calibri"/>
          <w:bCs/>
          <w:color w:val="44546A" w:themeColor="text2"/>
          <w:sz w:val="20"/>
          <w:szCs w:val="20"/>
          <w:lang w:val="sr-Cyrl-RS" w:eastAsia="ja-JP"/>
        </w:rPr>
        <w:t>е у посматраном периоду 2022–</w:t>
      </w:r>
      <w:r w:rsidRPr="00A37BCE">
        <w:rPr>
          <w:rFonts w:cs="Calibri"/>
          <w:bCs/>
          <w:color w:val="44546A" w:themeColor="text2"/>
          <w:sz w:val="20"/>
          <w:szCs w:val="20"/>
          <w:lang w:val="sr-Cyrl-RS" w:eastAsia="ja-JP"/>
        </w:rPr>
        <w:t>2027. године</w:t>
      </w:r>
      <w:r w:rsidRPr="00A37BCE">
        <w:rPr>
          <w:rFonts w:cs="Calibri"/>
          <w:color w:val="44546A" w:themeColor="text2"/>
          <w:sz w:val="20"/>
          <w:szCs w:val="20"/>
          <w:lang w:val="sr-Cyrl-RS" w:eastAsia="ja-JP"/>
        </w:rPr>
        <w:t>. Евентуални већи приватизациони приходи смањују потребу за финансирањем и додатно смањују учешће јавног дуга.</w:t>
      </w:r>
    </w:p>
    <w:p w14:paraId="06EA82C4" w14:textId="77777777" w:rsidR="001E3C08" w:rsidRPr="00A37BCE" w:rsidRDefault="001E3C08" w:rsidP="001E3C08">
      <w:pPr>
        <w:spacing w:after="0" w:line="276" w:lineRule="auto"/>
        <w:rPr>
          <w:rFonts w:ascii="Calibri" w:eastAsia="Calibri" w:hAnsi="Calibri" w:cs="Calibri"/>
          <w:color w:val="44546A" w:themeColor="text2"/>
          <w:sz w:val="20"/>
          <w:szCs w:val="20"/>
          <w:lang w:val="sr-Cyrl-RS" w:eastAsia="ja-JP"/>
        </w:rPr>
        <w:sectPr w:rsidR="001E3C08" w:rsidRPr="00A37BCE">
          <w:type w:val="continuous"/>
          <w:pgSz w:w="12240" w:h="15840"/>
          <w:pgMar w:top="1417" w:right="1417" w:bottom="1417" w:left="1417" w:header="720" w:footer="720" w:gutter="0"/>
          <w:cols w:num="2" w:space="720"/>
          <w15:footnoteColumns w:val="1"/>
        </w:sectPr>
      </w:pPr>
    </w:p>
    <w:p w14:paraId="6DA7421D" w14:textId="77777777" w:rsidR="001E3C08" w:rsidRPr="00A37BCE" w:rsidRDefault="001E3C08" w:rsidP="001E3C08">
      <w:pPr>
        <w:spacing w:after="0" w:line="276" w:lineRule="auto"/>
        <w:jc w:val="both"/>
        <w:rPr>
          <w:rFonts w:ascii="Calibri" w:eastAsia="Calibri" w:hAnsi="Calibri" w:cs="Calibri"/>
          <w:color w:val="44546A" w:themeColor="text2"/>
          <w:sz w:val="20"/>
          <w:szCs w:val="20"/>
          <w:lang w:val="sr-Cyrl-RS" w:eastAsia="ja-JP"/>
        </w:rPr>
      </w:pPr>
    </w:p>
    <w:p w14:paraId="44A0331E" w14:textId="24CF5FB8" w:rsidR="001E3C08" w:rsidRPr="00A37BCE" w:rsidRDefault="005B01D9" w:rsidP="001E3C08">
      <w:pPr>
        <w:spacing w:after="120" w:line="240" w:lineRule="auto"/>
        <w:contextualSpacing/>
        <w:jc w:val="center"/>
        <w:rPr>
          <w:rFonts w:ascii="Calibri" w:eastAsia="Calibri" w:hAnsi="Calibri" w:cs="Calibri"/>
          <w:color w:val="002060"/>
          <w:sz w:val="20"/>
          <w:szCs w:val="20"/>
          <w:lang w:val="sr-Cyrl-RS"/>
        </w:rPr>
      </w:pPr>
      <w:r w:rsidRPr="00A37BCE">
        <w:rPr>
          <w:rFonts w:ascii="Calibri" w:eastAsia="Calibri" w:hAnsi="Calibri" w:cs="Calibri"/>
          <w:b/>
          <w:color w:val="002060"/>
          <w:sz w:val="20"/>
          <w:szCs w:val="20"/>
          <w:lang w:val="sr-Cyrl-RS"/>
        </w:rPr>
        <w:t>Табела 21</w:t>
      </w:r>
      <w:r w:rsidR="001E3C08" w:rsidRPr="00A37BCE">
        <w:rPr>
          <w:rFonts w:ascii="Calibri" w:eastAsia="Calibri" w:hAnsi="Calibri" w:cs="Calibri"/>
          <w:b/>
          <w:color w:val="002060"/>
          <w:sz w:val="20"/>
          <w:szCs w:val="20"/>
          <w:lang w:val="sr-Cyrl-RS"/>
        </w:rPr>
        <w:t>. Симулација нивоа укупног дуга у основном сценарију до 2026. године</w:t>
      </w:r>
      <w:r w:rsidR="001E3C08" w:rsidRPr="00A37BCE">
        <w:rPr>
          <w:rFonts w:ascii="Calibri" w:eastAsia="Calibri" w:hAnsi="Calibri" w:cs="Calibri"/>
          <w:color w:val="002060"/>
          <w:sz w:val="20"/>
          <w:szCs w:val="20"/>
          <w:lang w:val="sr-Cyrl-RS"/>
        </w:rPr>
        <w:t xml:space="preserve">, </w:t>
      </w:r>
      <w:r w:rsidR="001E3C08" w:rsidRPr="00A37BCE">
        <w:rPr>
          <w:rFonts w:ascii="Calibri" w:eastAsia="Calibri" w:hAnsi="Calibri" w:cs="Calibri"/>
          <w:b/>
          <w:color w:val="002060"/>
          <w:sz w:val="20"/>
          <w:szCs w:val="20"/>
          <w:lang w:val="sr-Cyrl-RS"/>
        </w:rPr>
        <w:t>%</w:t>
      </w:r>
      <w:r w:rsidR="001E3C08" w:rsidRPr="00A37BCE">
        <w:rPr>
          <w:rFonts w:ascii="Calibri" w:eastAsia="Calibri" w:hAnsi="Calibri" w:cs="Calibri"/>
          <w:color w:val="002060"/>
          <w:sz w:val="24"/>
          <w:szCs w:val="24"/>
          <w:lang w:val="sr-Cyrl-RS"/>
        </w:rPr>
        <w:t xml:space="preserve"> </w:t>
      </w:r>
      <w:r w:rsidR="001E3C08" w:rsidRPr="00A37BCE">
        <w:rPr>
          <w:rFonts w:ascii="Calibri" w:eastAsia="Calibri" w:hAnsi="Calibri" w:cs="Calibri"/>
          <w:b/>
          <w:color w:val="002060"/>
          <w:sz w:val="20"/>
          <w:szCs w:val="20"/>
          <w:lang w:val="sr-Cyrl-RS"/>
        </w:rPr>
        <w:t>БДП</w:t>
      </w:r>
    </w:p>
    <w:tbl>
      <w:tblPr>
        <w:tblStyle w:val="LightShading-Accent338"/>
        <w:tblW w:w="5000" w:type="pct"/>
        <w:jc w:val="center"/>
        <w:tblLook w:val="04A0" w:firstRow="1" w:lastRow="0" w:firstColumn="1" w:lastColumn="0" w:noHBand="0" w:noVBand="1"/>
      </w:tblPr>
      <w:tblGrid>
        <w:gridCol w:w="2114"/>
        <w:gridCol w:w="668"/>
        <w:gridCol w:w="736"/>
        <w:gridCol w:w="736"/>
        <w:gridCol w:w="736"/>
        <w:gridCol w:w="736"/>
        <w:gridCol w:w="736"/>
        <w:gridCol w:w="736"/>
        <w:gridCol w:w="736"/>
        <w:gridCol w:w="736"/>
        <w:gridCol w:w="736"/>
      </w:tblGrid>
      <w:tr w:rsidR="001E3C08" w:rsidRPr="00A37BCE" w14:paraId="0A2276BA" w14:textId="77777777" w:rsidTr="001D3262">
        <w:trPr>
          <w:cnfStyle w:val="100000000000" w:firstRow="1" w:lastRow="0" w:firstColumn="0" w:lastColumn="0" w:oddVBand="0" w:evenVBand="0" w:oddHBand="0" w:evenHBand="0" w:firstRowFirstColumn="0" w:firstRowLastColumn="0" w:lastRowFirstColumn="0" w:lastRowLastColumn="0"/>
          <w:trHeight w:val="284"/>
          <w:jc w:val="center"/>
        </w:trPr>
        <w:tc>
          <w:tcPr>
            <w:cnfStyle w:val="001000000000" w:firstRow="0" w:lastRow="0" w:firstColumn="1" w:lastColumn="0" w:oddVBand="0" w:evenVBand="0" w:oddHBand="0" w:evenHBand="0" w:firstRowFirstColumn="0" w:firstRowLastColumn="0" w:lastRowFirstColumn="0" w:lastRowLastColumn="0"/>
            <w:tcW w:w="1124" w:type="pct"/>
            <w:tcBorders>
              <w:top w:val="single" w:sz="4" w:space="0" w:color="002060"/>
              <w:bottom w:val="single" w:sz="4" w:space="0" w:color="002060"/>
            </w:tcBorders>
            <w:shd w:val="clear" w:color="auto" w:fill="auto"/>
            <w:vAlign w:val="center"/>
            <w:hideMark/>
          </w:tcPr>
          <w:p w14:paraId="50D5E4FB" w14:textId="77777777" w:rsidR="001E3C08" w:rsidRPr="00A37BCE" w:rsidRDefault="001E3C08" w:rsidP="001E3C08">
            <w:pPr>
              <w:ind w:right="-427"/>
              <w:jc w:val="both"/>
              <w:rPr>
                <w:rFonts w:ascii="Calibri" w:eastAsia="Times New Roman" w:hAnsi="Calibri" w:cs="Calibri"/>
                <w:b w:val="0"/>
                <w:color w:val="002060"/>
                <w:sz w:val="18"/>
                <w:szCs w:val="18"/>
                <w:lang w:val="sr-Cyrl-RS"/>
              </w:rPr>
            </w:pPr>
            <w:r w:rsidRPr="00A37BCE">
              <w:rPr>
                <w:rFonts w:ascii="Calibri" w:eastAsia="Times New Roman" w:hAnsi="Calibri" w:cs="Calibri"/>
                <w:b w:val="0"/>
                <w:color w:val="002060"/>
                <w:sz w:val="18"/>
                <w:szCs w:val="18"/>
                <w:lang w:val="sr-Cyrl-RS"/>
              </w:rPr>
              <w:t>Основни сценарио</w:t>
            </w:r>
          </w:p>
        </w:tc>
        <w:tc>
          <w:tcPr>
            <w:tcW w:w="355" w:type="pct"/>
            <w:tcBorders>
              <w:top w:val="single" w:sz="4" w:space="0" w:color="002060"/>
              <w:bottom w:val="single" w:sz="4" w:space="0" w:color="002060"/>
            </w:tcBorders>
            <w:shd w:val="clear" w:color="auto" w:fill="auto"/>
            <w:noWrap/>
            <w:vAlign w:val="center"/>
            <w:hideMark/>
          </w:tcPr>
          <w:p w14:paraId="38BE5E48" w14:textId="77777777" w:rsidR="001E3C08" w:rsidRPr="00A37BCE" w:rsidRDefault="001E3C08"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8"/>
                <w:lang w:val="sr-Cyrl-RS"/>
              </w:rPr>
            </w:pPr>
            <w:r w:rsidRPr="00A37BCE">
              <w:rPr>
                <w:rFonts w:ascii="Calibri" w:hAnsi="Calibri" w:cs="Calibri"/>
                <w:b w:val="0"/>
                <w:color w:val="002060"/>
                <w:sz w:val="18"/>
                <w:szCs w:val="18"/>
                <w:lang w:val="sr-Cyrl-RS"/>
              </w:rPr>
              <w:t>2017</w:t>
            </w:r>
          </w:p>
        </w:tc>
        <w:tc>
          <w:tcPr>
            <w:tcW w:w="391" w:type="pct"/>
            <w:tcBorders>
              <w:top w:val="single" w:sz="4" w:space="0" w:color="002060"/>
              <w:bottom w:val="single" w:sz="4" w:space="0" w:color="002060"/>
            </w:tcBorders>
            <w:shd w:val="clear" w:color="auto" w:fill="auto"/>
            <w:noWrap/>
            <w:vAlign w:val="center"/>
            <w:hideMark/>
          </w:tcPr>
          <w:p w14:paraId="7A33B59D" w14:textId="77777777" w:rsidR="001E3C08" w:rsidRPr="00A37BCE" w:rsidRDefault="001E3C08"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8"/>
                <w:lang w:val="sr-Cyrl-RS"/>
              </w:rPr>
            </w:pPr>
            <w:r w:rsidRPr="00A37BCE">
              <w:rPr>
                <w:rFonts w:ascii="Calibri" w:hAnsi="Calibri" w:cs="Calibri"/>
                <w:b w:val="0"/>
                <w:color w:val="002060"/>
                <w:sz w:val="18"/>
                <w:szCs w:val="18"/>
                <w:lang w:val="sr-Cyrl-RS"/>
              </w:rPr>
              <w:t>2018</w:t>
            </w:r>
          </w:p>
        </w:tc>
        <w:tc>
          <w:tcPr>
            <w:tcW w:w="391" w:type="pct"/>
            <w:tcBorders>
              <w:top w:val="single" w:sz="4" w:space="0" w:color="002060"/>
              <w:bottom w:val="single" w:sz="4" w:space="0" w:color="002060"/>
            </w:tcBorders>
            <w:shd w:val="clear" w:color="auto" w:fill="auto"/>
            <w:noWrap/>
            <w:vAlign w:val="center"/>
            <w:hideMark/>
          </w:tcPr>
          <w:p w14:paraId="2CCB307D" w14:textId="77777777" w:rsidR="001E3C08" w:rsidRPr="00A37BCE" w:rsidRDefault="001E3C08"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8"/>
                <w:lang w:val="sr-Cyrl-RS"/>
              </w:rPr>
            </w:pPr>
            <w:r w:rsidRPr="00A37BCE">
              <w:rPr>
                <w:rFonts w:ascii="Calibri" w:hAnsi="Calibri" w:cs="Calibri"/>
                <w:b w:val="0"/>
                <w:color w:val="002060"/>
                <w:sz w:val="18"/>
                <w:szCs w:val="18"/>
                <w:lang w:val="sr-Cyrl-RS"/>
              </w:rPr>
              <w:t>2019</w:t>
            </w:r>
          </w:p>
        </w:tc>
        <w:tc>
          <w:tcPr>
            <w:tcW w:w="391" w:type="pct"/>
            <w:tcBorders>
              <w:top w:val="single" w:sz="4" w:space="0" w:color="002060"/>
              <w:bottom w:val="single" w:sz="4" w:space="0" w:color="002060"/>
            </w:tcBorders>
            <w:shd w:val="clear" w:color="auto" w:fill="auto"/>
            <w:noWrap/>
            <w:vAlign w:val="center"/>
            <w:hideMark/>
          </w:tcPr>
          <w:p w14:paraId="0A0FE6FB" w14:textId="77777777" w:rsidR="001E3C08" w:rsidRPr="00A37BCE" w:rsidRDefault="001E3C08"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8"/>
                <w:lang w:val="sr-Cyrl-RS"/>
              </w:rPr>
            </w:pPr>
            <w:r w:rsidRPr="00A37BCE">
              <w:rPr>
                <w:rFonts w:ascii="Calibri" w:hAnsi="Calibri" w:cs="Calibri"/>
                <w:b w:val="0"/>
                <w:color w:val="002060"/>
                <w:sz w:val="18"/>
                <w:szCs w:val="18"/>
                <w:lang w:val="sr-Cyrl-RS"/>
              </w:rPr>
              <w:t>2020</w:t>
            </w:r>
          </w:p>
        </w:tc>
        <w:tc>
          <w:tcPr>
            <w:tcW w:w="391" w:type="pct"/>
            <w:tcBorders>
              <w:top w:val="single" w:sz="4" w:space="0" w:color="002060"/>
              <w:bottom w:val="single" w:sz="4" w:space="0" w:color="002060"/>
            </w:tcBorders>
            <w:shd w:val="clear" w:color="auto" w:fill="auto"/>
            <w:noWrap/>
            <w:vAlign w:val="center"/>
            <w:hideMark/>
          </w:tcPr>
          <w:p w14:paraId="1F1CEE2C" w14:textId="77777777" w:rsidR="001E3C08" w:rsidRPr="00A37BCE" w:rsidRDefault="001E3C08"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8"/>
                <w:lang w:val="sr-Cyrl-RS"/>
              </w:rPr>
            </w:pPr>
            <w:r w:rsidRPr="00A37BCE">
              <w:rPr>
                <w:rFonts w:ascii="Calibri" w:hAnsi="Calibri" w:cs="Calibri"/>
                <w:b w:val="0"/>
                <w:color w:val="002060"/>
                <w:sz w:val="18"/>
                <w:szCs w:val="18"/>
                <w:lang w:val="sr-Cyrl-RS"/>
              </w:rPr>
              <w:t>2021</w:t>
            </w:r>
          </w:p>
        </w:tc>
        <w:tc>
          <w:tcPr>
            <w:tcW w:w="391" w:type="pct"/>
            <w:tcBorders>
              <w:top w:val="single" w:sz="4" w:space="0" w:color="002060"/>
              <w:bottom w:val="single" w:sz="4" w:space="0" w:color="002060"/>
            </w:tcBorders>
            <w:shd w:val="clear" w:color="auto" w:fill="auto"/>
            <w:noWrap/>
            <w:vAlign w:val="center"/>
            <w:hideMark/>
          </w:tcPr>
          <w:p w14:paraId="33E9D04C" w14:textId="77777777" w:rsidR="001E3C08" w:rsidRPr="00A37BCE" w:rsidRDefault="001E3C08"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8"/>
                <w:lang w:val="sr-Cyrl-RS"/>
              </w:rPr>
            </w:pPr>
            <w:r w:rsidRPr="00A37BCE">
              <w:rPr>
                <w:rFonts w:ascii="Calibri" w:hAnsi="Calibri" w:cs="Calibri"/>
                <w:b w:val="0"/>
                <w:color w:val="002060"/>
                <w:sz w:val="18"/>
                <w:szCs w:val="18"/>
                <w:lang w:val="sr-Cyrl-RS"/>
              </w:rPr>
              <w:t>2022</w:t>
            </w:r>
          </w:p>
        </w:tc>
        <w:tc>
          <w:tcPr>
            <w:tcW w:w="391" w:type="pct"/>
            <w:tcBorders>
              <w:top w:val="single" w:sz="4" w:space="0" w:color="002060"/>
              <w:bottom w:val="single" w:sz="4" w:space="0" w:color="002060"/>
            </w:tcBorders>
            <w:shd w:val="clear" w:color="auto" w:fill="auto"/>
            <w:noWrap/>
            <w:vAlign w:val="center"/>
            <w:hideMark/>
          </w:tcPr>
          <w:p w14:paraId="2BE8C3EF" w14:textId="77777777" w:rsidR="001E3C08" w:rsidRPr="00A37BCE" w:rsidRDefault="001E3C08"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8"/>
                <w:lang w:val="sr-Cyrl-RS"/>
              </w:rPr>
            </w:pPr>
            <w:r w:rsidRPr="00A37BCE">
              <w:rPr>
                <w:rFonts w:ascii="Calibri" w:hAnsi="Calibri" w:cs="Calibri"/>
                <w:b w:val="0"/>
                <w:color w:val="002060"/>
                <w:sz w:val="18"/>
                <w:szCs w:val="18"/>
                <w:lang w:val="sr-Cyrl-RS"/>
              </w:rPr>
              <w:t>2023</w:t>
            </w:r>
          </w:p>
        </w:tc>
        <w:tc>
          <w:tcPr>
            <w:tcW w:w="391" w:type="pct"/>
            <w:tcBorders>
              <w:top w:val="single" w:sz="4" w:space="0" w:color="002060"/>
              <w:bottom w:val="single" w:sz="4" w:space="0" w:color="002060"/>
            </w:tcBorders>
            <w:shd w:val="clear" w:color="auto" w:fill="auto"/>
            <w:noWrap/>
            <w:vAlign w:val="center"/>
            <w:hideMark/>
          </w:tcPr>
          <w:p w14:paraId="1BB176E0" w14:textId="77777777" w:rsidR="001E3C08" w:rsidRPr="00A37BCE" w:rsidRDefault="001E3C08"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8"/>
                <w:lang w:val="sr-Cyrl-RS"/>
              </w:rPr>
            </w:pPr>
            <w:r w:rsidRPr="00A37BCE">
              <w:rPr>
                <w:rFonts w:ascii="Calibri" w:hAnsi="Calibri" w:cs="Calibri"/>
                <w:b w:val="0"/>
                <w:color w:val="002060"/>
                <w:sz w:val="18"/>
                <w:szCs w:val="18"/>
                <w:lang w:val="sr-Cyrl-RS"/>
              </w:rPr>
              <w:t>2024</w:t>
            </w:r>
          </w:p>
        </w:tc>
        <w:tc>
          <w:tcPr>
            <w:tcW w:w="391" w:type="pct"/>
            <w:tcBorders>
              <w:top w:val="single" w:sz="4" w:space="0" w:color="002060"/>
              <w:bottom w:val="single" w:sz="4" w:space="0" w:color="002060"/>
            </w:tcBorders>
            <w:shd w:val="clear" w:color="auto" w:fill="auto"/>
            <w:noWrap/>
            <w:vAlign w:val="center"/>
            <w:hideMark/>
          </w:tcPr>
          <w:p w14:paraId="022A3B0F" w14:textId="77777777" w:rsidR="001E3C08" w:rsidRPr="00A37BCE" w:rsidRDefault="001E3C08"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8"/>
                <w:lang w:val="sr-Cyrl-RS"/>
              </w:rPr>
            </w:pPr>
            <w:r w:rsidRPr="00A37BCE">
              <w:rPr>
                <w:rFonts w:ascii="Calibri" w:hAnsi="Calibri" w:cs="Calibri"/>
                <w:b w:val="0"/>
                <w:color w:val="002060"/>
                <w:sz w:val="18"/>
                <w:szCs w:val="18"/>
                <w:lang w:val="sr-Cyrl-RS"/>
              </w:rPr>
              <w:t>2025</w:t>
            </w:r>
          </w:p>
        </w:tc>
        <w:tc>
          <w:tcPr>
            <w:tcW w:w="391" w:type="pct"/>
            <w:tcBorders>
              <w:top w:val="single" w:sz="4" w:space="0" w:color="002060"/>
              <w:bottom w:val="single" w:sz="4" w:space="0" w:color="002060"/>
            </w:tcBorders>
            <w:shd w:val="clear" w:color="auto" w:fill="auto"/>
            <w:noWrap/>
            <w:vAlign w:val="center"/>
            <w:hideMark/>
          </w:tcPr>
          <w:p w14:paraId="29284D19" w14:textId="77777777" w:rsidR="001E3C08" w:rsidRPr="00A37BCE" w:rsidRDefault="001E3C08"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8"/>
                <w:szCs w:val="18"/>
                <w:lang w:val="sr-Cyrl-RS"/>
              </w:rPr>
            </w:pPr>
            <w:r w:rsidRPr="00A37BCE">
              <w:rPr>
                <w:rFonts w:ascii="Calibri" w:hAnsi="Calibri" w:cs="Calibri"/>
                <w:b w:val="0"/>
                <w:color w:val="002060"/>
                <w:sz w:val="18"/>
                <w:szCs w:val="18"/>
                <w:lang w:val="sr-Cyrl-RS"/>
              </w:rPr>
              <w:t>2026</w:t>
            </w:r>
          </w:p>
        </w:tc>
      </w:tr>
      <w:tr w:rsidR="001A342B" w:rsidRPr="00A37BCE" w14:paraId="7DE9F2AA" w14:textId="77777777" w:rsidTr="001D3262">
        <w:trPr>
          <w:cnfStyle w:val="000000100000" w:firstRow="0" w:lastRow="0" w:firstColumn="0" w:lastColumn="0" w:oddVBand="0" w:evenVBand="0" w:oddHBand="1" w:evenHBand="0" w:firstRowFirstColumn="0" w:firstRowLastColumn="0" w:lastRowFirstColumn="0" w:lastRowLastColumn="0"/>
          <w:trHeight w:val="284"/>
          <w:jc w:val="center"/>
        </w:trPr>
        <w:tc>
          <w:tcPr>
            <w:cnfStyle w:val="001000000000" w:firstRow="0" w:lastRow="0" w:firstColumn="1" w:lastColumn="0" w:oddVBand="0" w:evenVBand="0" w:oddHBand="0" w:evenHBand="0" w:firstRowFirstColumn="0" w:firstRowLastColumn="0" w:lastRowFirstColumn="0" w:lastRowLastColumn="0"/>
            <w:tcW w:w="1124" w:type="pct"/>
            <w:tcBorders>
              <w:top w:val="single" w:sz="4" w:space="0" w:color="002060"/>
              <w:bottom w:val="nil"/>
            </w:tcBorders>
            <w:shd w:val="clear" w:color="auto" w:fill="auto"/>
            <w:noWrap/>
            <w:vAlign w:val="center"/>
            <w:hideMark/>
          </w:tcPr>
          <w:p w14:paraId="6731825A" w14:textId="77777777" w:rsidR="001E3C08" w:rsidRPr="00A37BCE" w:rsidRDefault="001E3C08" w:rsidP="001E3C08">
            <w:pPr>
              <w:jc w:val="both"/>
              <w:rPr>
                <w:rFonts w:ascii="Calibri" w:eastAsia="Times New Roman" w:hAnsi="Calibri" w:cs="Calibri"/>
                <w:b w:val="0"/>
                <w:color w:val="002060"/>
                <w:sz w:val="18"/>
                <w:szCs w:val="18"/>
                <w:lang w:val="sr-Cyrl-RS"/>
              </w:rPr>
            </w:pPr>
            <w:r w:rsidRPr="00A37BCE">
              <w:rPr>
                <w:rFonts w:ascii="Calibri" w:eastAsia="Times New Roman" w:hAnsi="Calibri" w:cs="Calibri"/>
                <w:b w:val="0"/>
                <w:color w:val="002060"/>
                <w:sz w:val="18"/>
                <w:szCs w:val="18"/>
                <w:lang w:val="sr-Cyrl-RS"/>
              </w:rPr>
              <w:t>Приходи</w:t>
            </w:r>
          </w:p>
        </w:tc>
        <w:tc>
          <w:tcPr>
            <w:tcW w:w="355" w:type="pct"/>
            <w:tcBorders>
              <w:top w:val="single" w:sz="4" w:space="0" w:color="002060"/>
              <w:bottom w:val="nil"/>
            </w:tcBorders>
            <w:shd w:val="clear" w:color="auto" w:fill="auto"/>
            <w:noWrap/>
            <w:vAlign w:val="bottom"/>
            <w:hideMark/>
          </w:tcPr>
          <w:p w14:paraId="7162AD27"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41,5</w:t>
            </w:r>
          </w:p>
        </w:tc>
        <w:tc>
          <w:tcPr>
            <w:tcW w:w="391" w:type="pct"/>
            <w:tcBorders>
              <w:top w:val="single" w:sz="4" w:space="0" w:color="002060"/>
              <w:bottom w:val="nil"/>
            </w:tcBorders>
            <w:shd w:val="clear" w:color="auto" w:fill="auto"/>
            <w:noWrap/>
            <w:vAlign w:val="bottom"/>
            <w:hideMark/>
          </w:tcPr>
          <w:p w14:paraId="7199B809"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41,1</w:t>
            </w:r>
          </w:p>
        </w:tc>
        <w:tc>
          <w:tcPr>
            <w:tcW w:w="391" w:type="pct"/>
            <w:tcBorders>
              <w:top w:val="single" w:sz="4" w:space="0" w:color="002060"/>
              <w:bottom w:val="nil"/>
            </w:tcBorders>
            <w:shd w:val="clear" w:color="auto" w:fill="auto"/>
            <w:noWrap/>
            <w:vAlign w:val="bottom"/>
            <w:hideMark/>
          </w:tcPr>
          <w:p w14:paraId="31362FAD"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39,9</w:t>
            </w:r>
          </w:p>
        </w:tc>
        <w:tc>
          <w:tcPr>
            <w:tcW w:w="391" w:type="pct"/>
            <w:tcBorders>
              <w:top w:val="single" w:sz="4" w:space="0" w:color="002060"/>
              <w:bottom w:val="nil"/>
            </w:tcBorders>
            <w:shd w:val="clear" w:color="auto" w:fill="auto"/>
            <w:noWrap/>
            <w:vAlign w:val="bottom"/>
            <w:hideMark/>
          </w:tcPr>
          <w:p w14:paraId="06CFC3D0"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39,2</w:t>
            </w:r>
          </w:p>
        </w:tc>
        <w:tc>
          <w:tcPr>
            <w:tcW w:w="391" w:type="pct"/>
            <w:tcBorders>
              <w:top w:val="single" w:sz="4" w:space="0" w:color="002060"/>
              <w:bottom w:val="nil"/>
            </w:tcBorders>
            <w:shd w:val="clear" w:color="auto" w:fill="auto"/>
            <w:noWrap/>
            <w:vAlign w:val="bottom"/>
            <w:hideMark/>
          </w:tcPr>
          <w:p w14:paraId="6B97AC5F"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38,7</w:t>
            </w:r>
          </w:p>
        </w:tc>
        <w:tc>
          <w:tcPr>
            <w:tcW w:w="391" w:type="pct"/>
            <w:tcBorders>
              <w:top w:val="single" w:sz="4" w:space="0" w:color="002060"/>
              <w:bottom w:val="nil"/>
            </w:tcBorders>
            <w:shd w:val="clear" w:color="auto" w:fill="auto"/>
            <w:noWrap/>
            <w:vAlign w:val="bottom"/>
            <w:hideMark/>
          </w:tcPr>
          <w:p w14:paraId="34BC9FFD"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38,5</w:t>
            </w:r>
          </w:p>
        </w:tc>
        <w:tc>
          <w:tcPr>
            <w:tcW w:w="391" w:type="pct"/>
            <w:tcBorders>
              <w:top w:val="single" w:sz="4" w:space="0" w:color="002060"/>
              <w:bottom w:val="nil"/>
            </w:tcBorders>
            <w:shd w:val="clear" w:color="auto" w:fill="auto"/>
            <w:noWrap/>
            <w:vAlign w:val="bottom"/>
            <w:hideMark/>
          </w:tcPr>
          <w:p w14:paraId="435280E8"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38,3</w:t>
            </w:r>
          </w:p>
        </w:tc>
        <w:tc>
          <w:tcPr>
            <w:tcW w:w="391" w:type="pct"/>
            <w:tcBorders>
              <w:top w:val="single" w:sz="4" w:space="0" w:color="002060"/>
              <w:bottom w:val="nil"/>
            </w:tcBorders>
            <w:shd w:val="clear" w:color="auto" w:fill="auto"/>
            <w:noWrap/>
            <w:vAlign w:val="bottom"/>
            <w:hideMark/>
          </w:tcPr>
          <w:p w14:paraId="4F280F82"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38,1</w:t>
            </w:r>
          </w:p>
        </w:tc>
        <w:tc>
          <w:tcPr>
            <w:tcW w:w="391" w:type="pct"/>
            <w:tcBorders>
              <w:top w:val="single" w:sz="4" w:space="0" w:color="002060"/>
              <w:bottom w:val="nil"/>
            </w:tcBorders>
            <w:shd w:val="clear" w:color="auto" w:fill="auto"/>
            <w:noWrap/>
            <w:vAlign w:val="bottom"/>
            <w:hideMark/>
          </w:tcPr>
          <w:p w14:paraId="4EE7D627"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37,9</w:t>
            </w:r>
          </w:p>
        </w:tc>
        <w:tc>
          <w:tcPr>
            <w:tcW w:w="391" w:type="pct"/>
            <w:tcBorders>
              <w:top w:val="single" w:sz="4" w:space="0" w:color="002060"/>
              <w:bottom w:val="nil"/>
            </w:tcBorders>
            <w:shd w:val="clear" w:color="auto" w:fill="auto"/>
            <w:noWrap/>
            <w:vAlign w:val="bottom"/>
            <w:hideMark/>
          </w:tcPr>
          <w:p w14:paraId="2F0F6D89"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37,7</w:t>
            </w:r>
          </w:p>
        </w:tc>
      </w:tr>
      <w:tr w:rsidR="001E3C08" w:rsidRPr="00A37BCE" w14:paraId="41117D14" w14:textId="77777777" w:rsidTr="001D3262">
        <w:trPr>
          <w:trHeight w:val="284"/>
          <w:jc w:val="center"/>
        </w:trPr>
        <w:tc>
          <w:tcPr>
            <w:cnfStyle w:val="001000000000" w:firstRow="0" w:lastRow="0" w:firstColumn="1" w:lastColumn="0" w:oddVBand="0" w:evenVBand="0" w:oddHBand="0" w:evenHBand="0" w:firstRowFirstColumn="0" w:firstRowLastColumn="0" w:lastRowFirstColumn="0" w:lastRowLastColumn="0"/>
            <w:tcW w:w="1124" w:type="pct"/>
            <w:tcBorders>
              <w:top w:val="nil"/>
              <w:left w:val="nil"/>
              <w:bottom w:val="nil"/>
              <w:right w:val="nil"/>
            </w:tcBorders>
            <w:shd w:val="clear" w:color="auto" w:fill="auto"/>
            <w:noWrap/>
            <w:vAlign w:val="center"/>
            <w:hideMark/>
          </w:tcPr>
          <w:p w14:paraId="130F520E" w14:textId="77777777" w:rsidR="001E3C08" w:rsidRPr="00A37BCE" w:rsidRDefault="001E3C08" w:rsidP="001E3C08">
            <w:pPr>
              <w:jc w:val="both"/>
              <w:rPr>
                <w:rFonts w:ascii="Calibri" w:eastAsia="Times New Roman" w:hAnsi="Calibri" w:cs="Calibri"/>
                <w:b w:val="0"/>
                <w:color w:val="002060"/>
                <w:sz w:val="18"/>
                <w:szCs w:val="18"/>
                <w:lang w:val="sr-Cyrl-RS"/>
              </w:rPr>
            </w:pPr>
            <w:r w:rsidRPr="00A37BCE">
              <w:rPr>
                <w:rFonts w:ascii="Calibri" w:eastAsia="Times New Roman" w:hAnsi="Calibri" w:cs="Calibri"/>
                <w:b w:val="0"/>
                <w:color w:val="002060"/>
                <w:sz w:val="18"/>
                <w:szCs w:val="18"/>
                <w:lang w:val="sr-Cyrl-RS"/>
              </w:rPr>
              <w:t>Расходи</w:t>
            </w:r>
          </w:p>
        </w:tc>
        <w:tc>
          <w:tcPr>
            <w:tcW w:w="355" w:type="pct"/>
            <w:tcBorders>
              <w:top w:val="nil"/>
              <w:left w:val="nil"/>
              <w:bottom w:val="nil"/>
              <w:right w:val="nil"/>
            </w:tcBorders>
            <w:shd w:val="clear" w:color="auto" w:fill="auto"/>
            <w:noWrap/>
            <w:vAlign w:val="bottom"/>
            <w:hideMark/>
          </w:tcPr>
          <w:p w14:paraId="4DCBA4F3"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40,4</w:t>
            </w:r>
          </w:p>
        </w:tc>
        <w:tc>
          <w:tcPr>
            <w:tcW w:w="391" w:type="pct"/>
            <w:tcBorders>
              <w:top w:val="nil"/>
              <w:left w:val="nil"/>
              <w:bottom w:val="nil"/>
              <w:right w:val="nil"/>
            </w:tcBorders>
            <w:shd w:val="clear" w:color="auto" w:fill="auto"/>
            <w:noWrap/>
            <w:vAlign w:val="bottom"/>
            <w:hideMark/>
          </w:tcPr>
          <w:p w14:paraId="1883CB28"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40,6</w:t>
            </w:r>
          </w:p>
        </w:tc>
        <w:tc>
          <w:tcPr>
            <w:tcW w:w="391" w:type="pct"/>
            <w:tcBorders>
              <w:top w:val="nil"/>
              <w:left w:val="nil"/>
              <w:bottom w:val="nil"/>
              <w:right w:val="nil"/>
            </w:tcBorders>
            <w:shd w:val="clear" w:color="auto" w:fill="auto"/>
            <w:noWrap/>
            <w:vAlign w:val="bottom"/>
            <w:hideMark/>
          </w:tcPr>
          <w:p w14:paraId="13157EF2"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40,4</w:t>
            </w:r>
          </w:p>
        </w:tc>
        <w:tc>
          <w:tcPr>
            <w:tcW w:w="391" w:type="pct"/>
            <w:tcBorders>
              <w:top w:val="nil"/>
              <w:left w:val="nil"/>
              <w:bottom w:val="nil"/>
              <w:right w:val="nil"/>
            </w:tcBorders>
            <w:shd w:val="clear" w:color="auto" w:fill="auto"/>
            <w:noWrap/>
            <w:vAlign w:val="bottom"/>
            <w:hideMark/>
          </w:tcPr>
          <w:p w14:paraId="3AB3D358"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39,7</w:t>
            </w:r>
          </w:p>
        </w:tc>
        <w:tc>
          <w:tcPr>
            <w:tcW w:w="391" w:type="pct"/>
            <w:tcBorders>
              <w:top w:val="nil"/>
              <w:left w:val="nil"/>
              <w:bottom w:val="nil"/>
              <w:right w:val="nil"/>
            </w:tcBorders>
            <w:shd w:val="clear" w:color="auto" w:fill="auto"/>
            <w:noWrap/>
            <w:vAlign w:val="bottom"/>
            <w:hideMark/>
          </w:tcPr>
          <w:p w14:paraId="1FBFB11C"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39,2</w:t>
            </w:r>
          </w:p>
        </w:tc>
        <w:tc>
          <w:tcPr>
            <w:tcW w:w="391" w:type="pct"/>
            <w:tcBorders>
              <w:top w:val="nil"/>
              <w:left w:val="nil"/>
              <w:bottom w:val="nil"/>
              <w:right w:val="nil"/>
            </w:tcBorders>
            <w:shd w:val="clear" w:color="auto" w:fill="auto"/>
            <w:noWrap/>
            <w:vAlign w:val="bottom"/>
            <w:hideMark/>
          </w:tcPr>
          <w:p w14:paraId="17FA465B"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39,0</w:t>
            </w:r>
          </w:p>
        </w:tc>
        <w:tc>
          <w:tcPr>
            <w:tcW w:w="391" w:type="pct"/>
            <w:tcBorders>
              <w:top w:val="nil"/>
              <w:left w:val="nil"/>
              <w:bottom w:val="nil"/>
              <w:right w:val="nil"/>
            </w:tcBorders>
            <w:shd w:val="clear" w:color="auto" w:fill="auto"/>
            <w:noWrap/>
            <w:vAlign w:val="bottom"/>
            <w:hideMark/>
          </w:tcPr>
          <w:p w14:paraId="7769D9F6"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38,8</w:t>
            </w:r>
          </w:p>
        </w:tc>
        <w:tc>
          <w:tcPr>
            <w:tcW w:w="391" w:type="pct"/>
            <w:tcBorders>
              <w:top w:val="nil"/>
              <w:left w:val="nil"/>
              <w:bottom w:val="nil"/>
              <w:right w:val="nil"/>
            </w:tcBorders>
            <w:shd w:val="clear" w:color="auto" w:fill="auto"/>
            <w:noWrap/>
            <w:vAlign w:val="bottom"/>
            <w:hideMark/>
          </w:tcPr>
          <w:p w14:paraId="32DBA875"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38,6</w:t>
            </w:r>
          </w:p>
        </w:tc>
        <w:tc>
          <w:tcPr>
            <w:tcW w:w="391" w:type="pct"/>
            <w:tcBorders>
              <w:top w:val="nil"/>
              <w:left w:val="nil"/>
              <w:bottom w:val="nil"/>
              <w:right w:val="nil"/>
            </w:tcBorders>
            <w:shd w:val="clear" w:color="auto" w:fill="auto"/>
            <w:noWrap/>
            <w:vAlign w:val="bottom"/>
            <w:hideMark/>
          </w:tcPr>
          <w:p w14:paraId="2FDA4E2C"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38,4</w:t>
            </w:r>
          </w:p>
        </w:tc>
        <w:tc>
          <w:tcPr>
            <w:tcW w:w="391" w:type="pct"/>
            <w:tcBorders>
              <w:top w:val="nil"/>
              <w:left w:val="nil"/>
              <w:bottom w:val="nil"/>
              <w:right w:val="nil"/>
            </w:tcBorders>
            <w:shd w:val="clear" w:color="auto" w:fill="auto"/>
            <w:noWrap/>
            <w:vAlign w:val="bottom"/>
            <w:hideMark/>
          </w:tcPr>
          <w:p w14:paraId="64F5B444"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38,2</w:t>
            </w:r>
          </w:p>
        </w:tc>
      </w:tr>
      <w:tr w:rsidR="001A342B" w:rsidRPr="00A37BCE" w14:paraId="6D756394" w14:textId="77777777" w:rsidTr="001D3262">
        <w:trPr>
          <w:cnfStyle w:val="000000100000" w:firstRow="0" w:lastRow="0" w:firstColumn="0" w:lastColumn="0" w:oddVBand="0" w:evenVBand="0" w:oddHBand="1" w:evenHBand="0" w:firstRowFirstColumn="0" w:firstRowLastColumn="0" w:lastRowFirstColumn="0" w:lastRowLastColumn="0"/>
          <w:trHeight w:val="284"/>
          <w:jc w:val="center"/>
        </w:trPr>
        <w:tc>
          <w:tcPr>
            <w:cnfStyle w:val="001000000000" w:firstRow="0" w:lastRow="0" w:firstColumn="1" w:lastColumn="0" w:oddVBand="0" w:evenVBand="0" w:oddHBand="0" w:evenHBand="0" w:firstRowFirstColumn="0" w:firstRowLastColumn="0" w:lastRowFirstColumn="0" w:lastRowLastColumn="0"/>
            <w:tcW w:w="1124" w:type="pct"/>
            <w:tcBorders>
              <w:top w:val="nil"/>
              <w:bottom w:val="nil"/>
            </w:tcBorders>
            <w:shd w:val="clear" w:color="auto" w:fill="auto"/>
            <w:noWrap/>
            <w:vAlign w:val="center"/>
            <w:hideMark/>
          </w:tcPr>
          <w:p w14:paraId="56F84314" w14:textId="77777777" w:rsidR="001E3C08" w:rsidRPr="00A37BCE" w:rsidRDefault="001E3C08" w:rsidP="001E3C08">
            <w:pPr>
              <w:jc w:val="both"/>
              <w:rPr>
                <w:rFonts w:ascii="Calibri" w:eastAsia="Times New Roman" w:hAnsi="Calibri" w:cs="Calibri"/>
                <w:b w:val="0"/>
                <w:iCs/>
                <w:color w:val="002060"/>
                <w:sz w:val="18"/>
                <w:szCs w:val="18"/>
                <w:lang w:val="sr-Cyrl-RS"/>
              </w:rPr>
            </w:pPr>
            <w:r w:rsidRPr="00A37BCE">
              <w:rPr>
                <w:rFonts w:ascii="Calibri" w:eastAsia="Times New Roman" w:hAnsi="Calibri" w:cs="Calibri"/>
                <w:b w:val="0"/>
                <w:iCs/>
                <w:color w:val="002060"/>
                <w:sz w:val="18"/>
                <w:szCs w:val="18"/>
                <w:lang w:val="sr-Cyrl-RS"/>
              </w:rPr>
              <w:t>Пад учешћа расхода</w:t>
            </w:r>
          </w:p>
        </w:tc>
        <w:tc>
          <w:tcPr>
            <w:tcW w:w="355" w:type="pct"/>
            <w:tcBorders>
              <w:top w:val="nil"/>
              <w:bottom w:val="nil"/>
            </w:tcBorders>
            <w:shd w:val="clear" w:color="auto" w:fill="auto"/>
            <w:noWrap/>
            <w:vAlign w:val="bottom"/>
            <w:hideMark/>
          </w:tcPr>
          <w:p w14:paraId="0D3235CD" w14:textId="77777777" w:rsidR="001E3C08" w:rsidRPr="00A37BCE" w:rsidRDefault="001E3C08" w:rsidP="001E3C08">
            <w:pPr>
              <w:spacing w:line="256" w:lineRule="auto"/>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iCs/>
                <w:color w:val="002060"/>
                <w:sz w:val="18"/>
                <w:szCs w:val="18"/>
                <w:lang w:val="sr-Cyrl-RS"/>
              </w:rPr>
            </w:pPr>
          </w:p>
        </w:tc>
        <w:tc>
          <w:tcPr>
            <w:tcW w:w="391" w:type="pct"/>
            <w:tcBorders>
              <w:top w:val="nil"/>
              <w:bottom w:val="nil"/>
            </w:tcBorders>
            <w:shd w:val="clear" w:color="auto" w:fill="auto"/>
            <w:noWrap/>
            <w:vAlign w:val="bottom"/>
            <w:hideMark/>
          </w:tcPr>
          <w:p w14:paraId="5A46C3A6"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0,2</w:t>
            </w:r>
          </w:p>
        </w:tc>
        <w:tc>
          <w:tcPr>
            <w:tcW w:w="391" w:type="pct"/>
            <w:tcBorders>
              <w:top w:val="nil"/>
              <w:bottom w:val="nil"/>
            </w:tcBorders>
            <w:shd w:val="clear" w:color="auto" w:fill="auto"/>
            <w:noWrap/>
            <w:vAlign w:val="bottom"/>
            <w:hideMark/>
          </w:tcPr>
          <w:p w14:paraId="67CCB0C3"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-0,2</w:t>
            </w:r>
          </w:p>
        </w:tc>
        <w:tc>
          <w:tcPr>
            <w:tcW w:w="391" w:type="pct"/>
            <w:tcBorders>
              <w:top w:val="nil"/>
              <w:bottom w:val="nil"/>
            </w:tcBorders>
            <w:shd w:val="clear" w:color="auto" w:fill="auto"/>
            <w:noWrap/>
            <w:vAlign w:val="bottom"/>
            <w:hideMark/>
          </w:tcPr>
          <w:p w14:paraId="32A6138A"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-0,7</w:t>
            </w:r>
          </w:p>
        </w:tc>
        <w:tc>
          <w:tcPr>
            <w:tcW w:w="391" w:type="pct"/>
            <w:tcBorders>
              <w:top w:val="nil"/>
              <w:bottom w:val="nil"/>
            </w:tcBorders>
            <w:shd w:val="clear" w:color="auto" w:fill="auto"/>
            <w:noWrap/>
            <w:vAlign w:val="bottom"/>
            <w:hideMark/>
          </w:tcPr>
          <w:p w14:paraId="284861C9"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-0,5</w:t>
            </w:r>
          </w:p>
        </w:tc>
        <w:tc>
          <w:tcPr>
            <w:tcW w:w="391" w:type="pct"/>
            <w:tcBorders>
              <w:top w:val="nil"/>
              <w:bottom w:val="nil"/>
            </w:tcBorders>
            <w:shd w:val="clear" w:color="auto" w:fill="auto"/>
            <w:noWrap/>
            <w:vAlign w:val="bottom"/>
            <w:hideMark/>
          </w:tcPr>
          <w:p w14:paraId="7BDC2EE3"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-0,2</w:t>
            </w:r>
          </w:p>
        </w:tc>
        <w:tc>
          <w:tcPr>
            <w:tcW w:w="391" w:type="pct"/>
            <w:tcBorders>
              <w:top w:val="nil"/>
              <w:bottom w:val="nil"/>
            </w:tcBorders>
            <w:shd w:val="clear" w:color="auto" w:fill="auto"/>
            <w:noWrap/>
            <w:vAlign w:val="bottom"/>
            <w:hideMark/>
          </w:tcPr>
          <w:p w14:paraId="48FFB69F"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-0,2</w:t>
            </w:r>
          </w:p>
        </w:tc>
        <w:tc>
          <w:tcPr>
            <w:tcW w:w="391" w:type="pct"/>
            <w:tcBorders>
              <w:top w:val="nil"/>
              <w:bottom w:val="nil"/>
            </w:tcBorders>
            <w:shd w:val="clear" w:color="auto" w:fill="auto"/>
            <w:noWrap/>
            <w:vAlign w:val="bottom"/>
            <w:hideMark/>
          </w:tcPr>
          <w:p w14:paraId="150DCADB"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-0,2</w:t>
            </w:r>
          </w:p>
        </w:tc>
        <w:tc>
          <w:tcPr>
            <w:tcW w:w="391" w:type="pct"/>
            <w:tcBorders>
              <w:top w:val="nil"/>
              <w:bottom w:val="nil"/>
            </w:tcBorders>
            <w:shd w:val="clear" w:color="auto" w:fill="auto"/>
            <w:noWrap/>
            <w:vAlign w:val="bottom"/>
            <w:hideMark/>
          </w:tcPr>
          <w:p w14:paraId="4D2BE5E9"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-0,2</w:t>
            </w:r>
          </w:p>
        </w:tc>
        <w:tc>
          <w:tcPr>
            <w:tcW w:w="391" w:type="pct"/>
            <w:tcBorders>
              <w:top w:val="nil"/>
              <w:bottom w:val="nil"/>
            </w:tcBorders>
            <w:shd w:val="clear" w:color="auto" w:fill="auto"/>
            <w:noWrap/>
            <w:vAlign w:val="bottom"/>
            <w:hideMark/>
          </w:tcPr>
          <w:p w14:paraId="281FF7E2"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-0,2</w:t>
            </w:r>
          </w:p>
        </w:tc>
      </w:tr>
      <w:tr w:rsidR="001E3C08" w:rsidRPr="00A37BCE" w14:paraId="6FB0B128" w14:textId="77777777" w:rsidTr="001D3262">
        <w:trPr>
          <w:trHeight w:val="284"/>
          <w:jc w:val="center"/>
        </w:trPr>
        <w:tc>
          <w:tcPr>
            <w:cnfStyle w:val="001000000000" w:firstRow="0" w:lastRow="0" w:firstColumn="1" w:lastColumn="0" w:oddVBand="0" w:evenVBand="0" w:oddHBand="0" w:evenHBand="0" w:firstRowFirstColumn="0" w:firstRowLastColumn="0" w:lastRowFirstColumn="0" w:lastRowLastColumn="0"/>
            <w:tcW w:w="1124" w:type="pct"/>
            <w:tcBorders>
              <w:top w:val="nil"/>
              <w:left w:val="nil"/>
              <w:bottom w:val="nil"/>
              <w:right w:val="nil"/>
            </w:tcBorders>
            <w:shd w:val="clear" w:color="auto" w:fill="auto"/>
            <w:noWrap/>
            <w:vAlign w:val="center"/>
            <w:hideMark/>
          </w:tcPr>
          <w:p w14:paraId="4B7A13BC" w14:textId="77777777" w:rsidR="001E3C08" w:rsidRPr="00A37BCE" w:rsidRDefault="001E3C08" w:rsidP="001E3C08">
            <w:pPr>
              <w:jc w:val="both"/>
              <w:rPr>
                <w:rFonts w:ascii="Calibri" w:eastAsia="Times New Roman" w:hAnsi="Calibri" w:cs="Calibri"/>
                <w:b w:val="0"/>
                <w:color w:val="002060"/>
                <w:sz w:val="18"/>
                <w:szCs w:val="18"/>
                <w:lang w:val="sr-Cyrl-RS"/>
              </w:rPr>
            </w:pPr>
            <w:r w:rsidRPr="00A37BCE">
              <w:rPr>
                <w:rFonts w:ascii="Calibri" w:eastAsia="Times New Roman" w:hAnsi="Calibri" w:cs="Calibri"/>
                <w:b w:val="0"/>
                <w:color w:val="002060"/>
                <w:sz w:val="18"/>
                <w:szCs w:val="18"/>
                <w:lang w:val="sr-Cyrl-RS"/>
              </w:rPr>
              <w:t xml:space="preserve">Фискални резултат </w:t>
            </w:r>
          </w:p>
        </w:tc>
        <w:tc>
          <w:tcPr>
            <w:tcW w:w="355" w:type="pct"/>
            <w:tcBorders>
              <w:top w:val="nil"/>
              <w:left w:val="nil"/>
              <w:bottom w:val="nil"/>
              <w:right w:val="nil"/>
            </w:tcBorders>
            <w:shd w:val="clear" w:color="auto" w:fill="auto"/>
            <w:noWrap/>
            <w:vAlign w:val="bottom"/>
            <w:hideMark/>
          </w:tcPr>
          <w:p w14:paraId="2553ED96"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1,1</w:t>
            </w:r>
          </w:p>
        </w:tc>
        <w:tc>
          <w:tcPr>
            <w:tcW w:w="391" w:type="pct"/>
            <w:tcBorders>
              <w:top w:val="nil"/>
              <w:left w:val="nil"/>
              <w:bottom w:val="nil"/>
              <w:right w:val="nil"/>
            </w:tcBorders>
            <w:shd w:val="clear" w:color="auto" w:fill="auto"/>
            <w:noWrap/>
            <w:vAlign w:val="bottom"/>
            <w:hideMark/>
          </w:tcPr>
          <w:p w14:paraId="1FCE689D"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0,6</w:t>
            </w:r>
          </w:p>
        </w:tc>
        <w:tc>
          <w:tcPr>
            <w:tcW w:w="391" w:type="pct"/>
            <w:tcBorders>
              <w:top w:val="nil"/>
              <w:left w:val="nil"/>
              <w:bottom w:val="nil"/>
              <w:right w:val="nil"/>
            </w:tcBorders>
            <w:shd w:val="clear" w:color="auto" w:fill="auto"/>
            <w:noWrap/>
            <w:vAlign w:val="bottom"/>
            <w:hideMark/>
          </w:tcPr>
          <w:p w14:paraId="4C900FB3"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-0,5</w:t>
            </w:r>
          </w:p>
        </w:tc>
        <w:tc>
          <w:tcPr>
            <w:tcW w:w="391" w:type="pct"/>
            <w:tcBorders>
              <w:top w:val="nil"/>
              <w:left w:val="nil"/>
              <w:bottom w:val="nil"/>
              <w:right w:val="nil"/>
            </w:tcBorders>
            <w:shd w:val="clear" w:color="auto" w:fill="auto"/>
            <w:noWrap/>
            <w:vAlign w:val="bottom"/>
            <w:hideMark/>
          </w:tcPr>
          <w:p w14:paraId="4DB71680"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-0,5</w:t>
            </w:r>
          </w:p>
        </w:tc>
        <w:tc>
          <w:tcPr>
            <w:tcW w:w="391" w:type="pct"/>
            <w:tcBorders>
              <w:top w:val="nil"/>
              <w:left w:val="nil"/>
              <w:bottom w:val="nil"/>
              <w:right w:val="nil"/>
            </w:tcBorders>
            <w:shd w:val="clear" w:color="auto" w:fill="auto"/>
            <w:noWrap/>
            <w:vAlign w:val="bottom"/>
            <w:hideMark/>
          </w:tcPr>
          <w:p w14:paraId="03E7097D"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-0,5</w:t>
            </w:r>
          </w:p>
        </w:tc>
        <w:tc>
          <w:tcPr>
            <w:tcW w:w="391" w:type="pct"/>
            <w:tcBorders>
              <w:top w:val="nil"/>
              <w:left w:val="nil"/>
              <w:bottom w:val="nil"/>
              <w:right w:val="nil"/>
            </w:tcBorders>
            <w:shd w:val="clear" w:color="auto" w:fill="auto"/>
            <w:noWrap/>
            <w:vAlign w:val="bottom"/>
            <w:hideMark/>
          </w:tcPr>
          <w:p w14:paraId="5163C3D8"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-0,5</w:t>
            </w:r>
          </w:p>
        </w:tc>
        <w:tc>
          <w:tcPr>
            <w:tcW w:w="391" w:type="pct"/>
            <w:tcBorders>
              <w:top w:val="nil"/>
              <w:left w:val="nil"/>
              <w:bottom w:val="nil"/>
              <w:right w:val="nil"/>
            </w:tcBorders>
            <w:shd w:val="clear" w:color="auto" w:fill="auto"/>
            <w:noWrap/>
            <w:vAlign w:val="bottom"/>
            <w:hideMark/>
          </w:tcPr>
          <w:p w14:paraId="7B5D2196"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-0,5</w:t>
            </w:r>
          </w:p>
        </w:tc>
        <w:tc>
          <w:tcPr>
            <w:tcW w:w="391" w:type="pct"/>
            <w:tcBorders>
              <w:top w:val="nil"/>
              <w:left w:val="nil"/>
              <w:bottom w:val="nil"/>
              <w:right w:val="nil"/>
            </w:tcBorders>
            <w:shd w:val="clear" w:color="auto" w:fill="auto"/>
            <w:noWrap/>
            <w:vAlign w:val="bottom"/>
            <w:hideMark/>
          </w:tcPr>
          <w:p w14:paraId="3EDE7BD1"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-0,5</w:t>
            </w:r>
          </w:p>
        </w:tc>
        <w:tc>
          <w:tcPr>
            <w:tcW w:w="391" w:type="pct"/>
            <w:tcBorders>
              <w:top w:val="nil"/>
              <w:left w:val="nil"/>
              <w:bottom w:val="nil"/>
              <w:right w:val="nil"/>
            </w:tcBorders>
            <w:shd w:val="clear" w:color="auto" w:fill="auto"/>
            <w:noWrap/>
            <w:vAlign w:val="bottom"/>
            <w:hideMark/>
          </w:tcPr>
          <w:p w14:paraId="7840D25F"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-0,5</w:t>
            </w:r>
          </w:p>
        </w:tc>
        <w:tc>
          <w:tcPr>
            <w:tcW w:w="391" w:type="pct"/>
            <w:tcBorders>
              <w:top w:val="nil"/>
              <w:left w:val="nil"/>
              <w:bottom w:val="nil"/>
              <w:right w:val="nil"/>
            </w:tcBorders>
            <w:shd w:val="clear" w:color="auto" w:fill="auto"/>
            <w:noWrap/>
            <w:vAlign w:val="bottom"/>
            <w:hideMark/>
          </w:tcPr>
          <w:p w14:paraId="69D3715B"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-0,5</w:t>
            </w:r>
          </w:p>
        </w:tc>
      </w:tr>
      <w:tr w:rsidR="001A342B" w:rsidRPr="00A37BCE" w14:paraId="5AC8CD3F" w14:textId="77777777" w:rsidTr="001D3262">
        <w:trPr>
          <w:cnfStyle w:val="000000100000" w:firstRow="0" w:lastRow="0" w:firstColumn="0" w:lastColumn="0" w:oddVBand="0" w:evenVBand="0" w:oddHBand="1" w:evenHBand="0" w:firstRowFirstColumn="0" w:firstRowLastColumn="0" w:lastRowFirstColumn="0" w:lastRowLastColumn="0"/>
          <w:trHeight w:val="284"/>
          <w:jc w:val="center"/>
        </w:trPr>
        <w:tc>
          <w:tcPr>
            <w:cnfStyle w:val="001000000000" w:firstRow="0" w:lastRow="0" w:firstColumn="1" w:lastColumn="0" w:oddVBand="0" w:evenVBand="0" w:oddHBand="0" w:evenHBand="0" w:firstRowFirstColumn="0" w:firstRowLastColumn="0" w:lastRowFirstColumn="0" w:lastRowLastColumn="0"/>
            <w:tcW w:w="1124" w:type="pct"/>
            <w:tcBorders>
              <w:top w:val="nil"/>
              <w:bottom w:val="nil"/>
            </w:tcBorders>
            <w:shd w:val="clear" w:color="auto" w:fill="auto"/>
            <w:noWrap/>
            <w:vAlign w:val="center"/>
            <w:hideMark/>
          </w:tcPr>
          <w:p w14:paraId="68894A75" w14:textId="77777777" w:rsidR="001E3C08" w:rsidRPr="00A37BCE" w:rsidRDefault="001E3C08" w:rsidP="001E3C08">
            <w:pPr>
              <w:jc w:val="both"/>
              <w:rPr>
                <w:rFonts w:ascii="Calibri" w:eastAsia="Times New Roman" w:hAnsi="Calibri" w:cs="Calibri"/>
                <w:b w:val="0"/>
                <w:color w:val="002060"/>
                <w:sz w:val="18"/>
                <w:szCs w:val="18"/>
                <w:lang w:val="sr-Cyrl-RS"/>
              </w:rPr>
            </w:pPr>
            <w:r w:rsidRPr="00A37BCE">
              <w:rPr>
                <w:rFonts w:ascii="Calibri" w:eastAsia="Times New Roman" w:hAnsi="Calibri" w:cs="Calibri"/>
                <w:b w:val="0"/>
                <w:color w:val="002060"/>
                <w:sz w:val="18"/>
                <w:szCs w:val="18"/>
                <w:lang w:val="sr-Cyrl-RS"/>
              </w:rPr>
              <w:t> </w:t>
            </w:r>
          </w:p>
        </w:tc>
        <w:tc>
          <w:tcPr>
            <w:tcW w:w="355" w:type="pct"/>
            <w:tcBorders>
              <w:top w:val="nil"/>
              <w:bottom w:val="nil"/>
            </w:tcBorders>
            <w:shd w:val="clear" w:color="auto" w:fill="auto"/>
            <w:noWrap/>
            <w:vAlign w:val="bottom"/>
            <w:hideMark/>
          </w:tcPr>
          <w:p w14:paraId="75FA5F50" w14:textId="77777777" w:rsidR="001E3C08" w:rsidRPr="00A37BCE" w:rsidRDefault="001E3C08" w:rsidP="001E3C08">
            <w:pPr>
              <w:spacing w:line="256" w:lineRule="auto"/>
              <w:jc w:val="both"/>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color w:val="002060"/>
                <w:sz w:val="18"/>
                <w:szCs w:val="18"/>
                <w:lang w:val="sr-Cyrl-RS"/>
              </w:rPr>
            </w:pPr>
          </w:p>
        </w:tc>
        <w:tc>
          <w:tcPr>
            <w:tcW w:w="391" w:type="pct"/>
            <w:tcBorders>
              <w:top w:val="nil"/>
              <w:bottom w:val="nil"/>
            </w:tcBorders>
            <w:shd w:val="clear" w:color="auto" w:fill="auto"/>
            <w:noWrap/>
            <w:vAlign w:val="bottom"/>
            <w:hideMark/>
          </w:tcPr>
          <w:p w14:paraId="21278716" w14:textId="77777777" w:rsidR="001E3C08" w:rsidRPr="00A37BCE" w:rsidRDefault="001E3C08" w:rsidP="001E3C08">
            <w:pPr>
              <w:cnfStyle w:val="000000100000" w:firstRow="0" w:lastRow="0" w:firstColumn="0" w:lastColumn="0" w:oddVBand="0" w:evenVBand="0" w:oddHBand="1" w:evenHBand="0" w:firstRowFirstColumn="0" w:firstRowLastColumn="0" w:lastRowFirstColumn="0" w:lastRowLastColumn="0"/>
              <w:rPr>
                <w:rFonts w:ascii="Calibri" w:hAnsi="Calibri"/>
                <w:lang w:val="sr-Cyrl-RS"/>
              </w:rPr>
            </w:pPr>
          </w:p>
        </w:tc>
        <w:tc>
          <w:tcPr>
            <w:tcW w:w="391" w:type="pct"/>
            <w:tcBorders>
              <w:top w:val="nil"/>
              <w:bottom w:val="nil"/>
            </w:tcBorders>
            <w:shd w:val="clear" w:color="auto" w:fill="auto"/>
            <w:noWrap/>
            <w:vAlign w:val="bottom"/>
            <w:hideMark/>
          </w:tcPr>
          <w:p w14:paraId="047616C3" w14:textId="77777777" w:rsidR="001E3C08" w:rsidRPr="00A37BCE" w:rsidRDefault="001E3C08" w:rsidP="001E3C08">
            <w:pPr>
              <w:cnfStyle w:val="000000100000" w:firstRow="0" w:lastRow="0" w:firstColumn="0" w:lastColumn="0" w:oddVBand="0" w:evenVBand="0" w:oddHBand="1" w:evenHBand="0" w:firstRowFirstColumn="0" w:firstRowLastColumn="0" w:lastRowFirstColumn="0" w:lastRowLastColumn="0"/>
              <w:rPr>
                <w:rFonts w:ascii="Calibri" w:hAnsi="Calibri"/>
                <w:lang w:val="sr-Cyrl-RS"/>
              </w:rPr>
            </w:pPr>
          </w:p>
        </w:tc>
        <w:tc>
          <w:tcPr>
            <w:tcW w:w="391" w:type="pct"/>
            <w:tcBorders>
              <w:top w:val="nil"/>
              <w:bottom w:val="nil"/>
            </w:tcBorders>
            <w:shd w:val="clear" w:color="auto" w:fill="auto"/>
            <w:noWrap/>
            <w:vAlign w:val="bottom"/>
            <w:hideMark/>
          </w:tcPr>
          <w:p w14:paraId="4153DA0E" w14:textId="77777777" w:rsidR="001E3C08" w:rsidRPr="00A37BCE" w:rsidRDefault="001E3C08" w:rsidP="001E3C08">
            <w:pPr>
              <w:cnfStyle w:val="000000100000" w:firstRow="0" w:lastRow="0" w:firstColumn="0" w:lastColumn="0" w:oddVBand="0" w:evenVBand="0" w:oddHBand="1" w:evenHBand="0" w:firstRowFirstColumn="0" w:firstRowLastColumn="0" w:lastRowFirstColumn="0" w:lastRowLastColumn="0"/>
              <w:rPr>
                <w:rFonts w:ascii="Calibri" w:hAnsi="Calibri"/>
                <w:lang w:val="sr-Cyrl-RS"/>
              </w:rPr>
            </w:pPr>
          </w:p>
        </w:tc>
        <w:tc>
          <w:tcPr>
            <w:tcW w:w="391" w:type="pct"/>
            <w:tcBorders>
              <w:top w:val="nil"/>
              <w:bottom w:val="nil"/>
            </w:tcBorders>
            <w:shd w:val="clear" w:color="auto" w:fill="auto"/>
            <w:noWrap/>
            <w:vAlign w:val="bottom"/>
            <w:hideMark/>
          </w:tcPr>
          <w:p w14:paraId="48E13329" w14:textId="77777777" w:rsidR="001E3C08" w:rsidRPr="00A37BCE" w:rsidRDefault="001E3C08" w:rsidP="001E3C08">
            <w:pPr>
              <w:cnfStyle w:val="000000100000" w:firstRow="0" w:lastRow="0" w:firstColumn="0" w:lastColumn="0" w:oddVBand="0" w:evenVBand="0" w:oddHBand="1" w:evenHBand="0" w:firstRowFirstColumn="0" w:firstRowLastColumn="0" w:lastRowFirstColumn="0" w:lastRowLastColumn="0"/>
              <w:rPr>
                <w:rFonts w:ascii="Calibri" w:hAnsi="Calibri"/>
                <w:lang w:val="sr-Cyrl-RS"/>
              </w:rPr>
            </w:pPr>
          </w:p>
        </w:tc>
        <w:tc>
          <w:tcPr>
            <w:tcW w:w="391" w:type="pct"/>
            <w:tcBorders>
              <w:top w:val="nil"/>
              <w:bottom w:val="nil"/>
            </w:tcBorders>
            <w:shd w:val="clear" w:color="auto" w:fill="auto"/>
            <w:noWrap/>
            <w:vAlign w:val="bottom"/>
            <w:hideMark/>
          </w:tcPr>
          <w:p w14:paraId="02749134" w14:textId="77777777" w:rsidR="001E3C08" w:rsidRPr="00A37BCE" w:rsidRDefault="001E3C08" w:rsidP="001E3C08">
            <w:pPr>
              <w:cnfStyle w:val="000000100000" w:firstRow="0" w:lastRow="0" w:firstColumn="0" w:lastColumn="0" w:oddVBand="0" w:evenVBand="0" w:oddHBand="1" w:evenHBand="0" w:firstRowFirstColumn="0" w:firstRowLastColumn="0" w:lastRowFirstColumn="0" w:lastRowLastColumn="0"/>
              <w:rPr>
                <w:rFonts w:ascii="Calibri" w:hAnsi="Calibri"/>
                <w:lang w:val="sr-Cyrl-RS"/>
              </w:rPr>
            </w:pPr>
          </w:p>
        </w:tc>
        <w:tc>
          <w:tcPr>
            <w:tcW w:w="391" w:type="pct"/>
            <w:tcBorders>
              <w:top w:val="nil"/>
              <w:bottom w:val="nil"/>
            </w:tcBorders>
            <w:shd w:val="clear" w:color="auto" w:fill="auto"/>
            <w:noWrap/>
            <w:vAlign w:val="bottom"/>
            <w:hideMark/>
          </w:tcPr>
          <w:p w14:paraId="4CF31B2E" w14:textId="77777777" w:rsidR="001E3C08" w:rsidRPr="00A37BCE" w:rsidRDefault="001E3C08" w:rsidP="001E3C08">
            <w:pPr>
              <w:cnfStyle w:val="000000100000" w:firstRow="0" w:lastRow="0" w:firstColumn="0" w:lastColumn="0" w:oddVBand="0" w:evenVBand="0" w:oddHBand="1" w:evenHBand="0" w:firstRowFirstColumn="0" w:firstRowLastColumn="0" w:lastRowFirstColumn="0" w:lastRowLastColumn="0"/>
              <w:rPr>
                <w:rFonts w:ascii="Calibri" w:hAnsi="Calibri"/>
                <w:lang w:val="sr-Cyrl-RS"/>
              </w:rPr>
            </w:pPr>
          </w:p>
        </w:tc>
        <w:tc>
          <w:tcPr>
            <w:tcW w:w="391" w:type="pct"/>
            <w:tcBorders>
              <w:top w:val="nil"/>
              <w:bottom w:val="nil"/>
            </w:tcBorders>
            <w:shd w:val="clear" w:color="auto" w:fill="auto"/>
            <w:noWrap/>
            <w:vAlign w:val="bottom"/>
            <w:hideMark/>
          </w:tcPr>
          <w:p w14:paraId="2566A2C2" w14:textId="77777777" w:rsidR="001E3C08" w:rsidRPr="00A37BCE" w:rsidRDefault="001E3C08" w:rsidP="001E3C08">
            <w:pPr>
              <w:cnfStyle w:val="000000100000" w:firstRow="0" w:lastRow="0" w:firstColumn="0" w:lastColumn="0" w:oddVBand="0" w:evenVBand="0" w:oddHBand="1" w:evenHBand="0" w:firstRowFirstColumn="0" w:firstRowLastColumn="0" w:lastRowFirstColumn="0" w:lastRowLastColumn="0"/>
              <w:rPr>
                <w:rFonts w:ascii="Calibri" w:hAnsi="Calibri"/>
                <w:lang w:val="sr-Cyrl-RS"/>
              </w:rPr>
            </w:pPr>
          </w:p>
        </w:tc>
        <w:tc>
          <w:tcPr>
            <w:tcW w:w="391" w:type="pct"/>
            <w:tcBorders>
              <w:top w:val="nil"/>
              <w:bottom w:val="nil"/>
            </w:tcBorders>
            <w:shd w:val="clear" w:color="auto" w:fill="auto"/>
            <w:noWrap/>
            <w:vAlign w:val="bottom"/>
            <w:hideMark/>
          </w:tcPr>
          <w:p w14:paraId="6D7EBE4C" w14:textId="77777777" w:rsidR="001E3C08" w:rsidRPr="00A37BCE" w:rsidRDefault="001E3C08" w:rsidP="001E3C08">
            <w:pPr>
              <w:cnfStyle w:val="000000100000" w:firstRow="0" w:lastRow="0" w:firstColumn="0" w:lastColumn="0" w:oddVBand="0" w:evenVBand="0" w:oddHBand="1" w:evenHBand="0" w:firstRowFirstColumn="0" w:firstRowLastColumn="0" w:lastRowFirstColumn="0" w:lastRowLastColumn="0"/>
              <w:rPr>
                <w:rFonts w:ascii="Calibri" w:hAnsi="Calibri"/>
                <w:lang w:val="sr-Cyrl-RS"/>
              </w:rPr>
            </w:pPr>
          </w:p>
        </w:tc>
        <w:tc>
          <w:tcPr>
            <w:tcW w:w="391" w:type="pct"/>
            <w:tcBorders>
              <w:top w:val="nil"/>
              <w:bottom w:val="nil"/>
            </w:tcBorders>
            <w:shd w:val="clear" w:color="auto" w:fill="auto"/>
            <w:noWrap/>
            <w:vAlign w:val="bottom"/>
            <w:hideMark/>
          </w:tcPr>
          <w:p w14:paraId="325750F0" w14:textId="77777777" w:rsidR="001E3C08" w:rsidRPr="00A37BCE" w:rsidRDefault="001E3C08" w:rsidP="001E3C08">
            <w:pPr>
              <w:cnfStyle w:val="000000100000" w:firstRow="0" w:lastRow="0" w:firstColumn="0" w:lastColumn="0" w:oddVBand="0" w:evenVBand="0" w:oddHBand="1" w:evenHBand="0" w:firstRowFirstColumn="0" w:firstRowLastColumn="0" w:lastRowFirstColumn="0" w:lastRowLastColumn="0"/>
              <w:rPr>
                <w:rFonts w:ascii="Calibri" w:hAnsi="Calibri"/>
                <w:lang w:val="sr-Cyrl-RS"/>
              </w:rPr>
            </w:pPr>
          </w:p>
        </w:tc>
      </w:tr>
      <w:tr w:rsidR="001E3C08" w:rsidRPr="00A37BCE" w14:paraId="176E484D" w14:textId="77777777" w:rsidTr="001D3262">
        <w:trPr>
          <w:trHeight w:val="284"/>
          <w:jc w:val="center"/>
        </w:trPr>
        <w:tc>
          <w:tcPr>
            <w:cnfStyle w:val="001000000000" w:firstRow="0" w:lastRow="0" w:firstColumn="1" w:lastColumn="0" w:oddVBand="0" w:evenVBand="0" w:oddHBand="0" w:evenHBand="0" w:firstRowFirstColumn="0" w:firstRowLastColumn="0" w:lastRowFirstColumn="0" w:lastRowLastColumn="0"/>
            <w:tcW w:w="1124" w:type="pct"/>
            <w:tcBorders>
              <w:top w:val="nil"/>
              <w:left w:val="nil"/>
              <w:bottom w:val="nil"/>
              <w:right w:val="nil"/>
            </w:tcBorders>
            <w:shd w:val="clear" w:color="auto" w:fill="auto"/>
            <w:noWrap/>
            <w:vAlign w:val="center"/>
            <w:hideMark/>
          </w:tcPr>
          <w:p w14:paraId="6476BD5B" w14:textId="77777777" w:rsidR="001E3C08" w:rsidRPr="00A37BCE" w:rsidRDefault="001E3C08" w:rsidP="001E3C08">
            <w:pPr>
              <w:jc w:val="both"/>
              <w:rPr>
                <w:rFonts w:ascii="Calibri" w:eastAsia="Times New Roman" w:hAnsi="Calibri" w:cs="Calibri"/>
                <w:b w:val="0"/>
                <w:color w:val="002060"/>
                <w:sz w:val="18"/>
                <w:szCs w:val="18"/>
                <w:lang w:val="sr-Cyrl-RS"/>
              </w:rPr>
            </w:pPr>
            <w:r w:rsidRPr="00A37BCE">
              <w:rPr>
                <w:rFonts w:ascii="Calibri" w:eastAsia="Times New Roman" w:hAnsi="Calibri" w:cs="Calibri"/>
                <w:b w:val="0"/>
                <w:color w:val="002060"/>
                <w:sz w:val="18"/>
                <w:szCs w:val="18"/>
                <w:lang w:val="sr-Cyrl-RS"/>
              </w:rPr>
              <w:t>Јавни дуг у БДП</w:t>
            </w:r>
          </w:p>
        </w:tc>
        <w:tc>
          <w:tcPr>
            <w:tcW w:w="355" w:type="pct"/>
            <w:tcBorders>
              <w:top w:val="nil"/>
              <w:left w:val="nil"/>
              <w:bottom w:val="nil"/>
              <w:right w:val="nil"/>
            </w:tcBorders>
            <w:shd w:val="clear" w:color="auto" w:fill="auto"/>
            <w:noWrap/>
            <w:vAlign w:val="bottom"/>
            <w:hideMark/>
          </w:tcPr>
          <w:p w14:paraId="3A4B333C"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58,7</w:t>
            </w:r>
          </w:p>
        </w:tc>
        <w:tc>
          <w:tcPr>
            <w:tcW w:w="391" w:type="pct"/>
            <w:tcBorders>
              <w:top w:val="nil"/>
              <w:left w:val="nil"/>
              <w:bottom w:val="nil"/>
              <w:right w:val="nil"/>
            </w:tcBorders>
            <w:shd w:val="clear" w:color="auto" w:fill="auto"/>
            <w:noWrap/>
            <w:vAlign w:val="bottom"/>
            <w:hideMark/>
          </w:tcPr>
          <w:p w14:paraId="71F96334"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54,4</w:t>
            </w:r>
          </w:p>
        </w:tc>
        <w:tc>
          <w:tcPr>
            <w:tcW w:w="391" w:type="pct"/>
            <w:tcBorders>
              <w:top w:val="nil"/>
              <w:left w:val="nil"/>
              <w:bottom w:val="nil"/>
              <w:right w:val="nil"/>
            </w:tcBorders>
            <w:shd w:val="clear" w:color="auto" w:fill="auto"/>
            <w:noWrap/>
            <w:vAlign w:val="bottom"/>
            <w:hideMark/>
          </w:tcPr>
          <w:p w14:paraId="075FBD00"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51,7</w:t>
            </w:r>
          </w:p>
        </w:tc>
        <w:tc>
          <w:tcPr>
            <w:tcW w:w="391" w:type="pct"/>
            <w:tcBorders>
              <w:top w:val="nil"/>
              <w:left w:val="nil"/>
              <w:bottom w:val="nil"/>
              <w:right w:val="nil"/>
            </w:tcBorders>
            <w:shd w:val="clear" w:color="auto" w:fill="auto"/>
            <w:noWrap/>
            <w:vAlign w:val="bottom"/>
            <w:hideMark/>
          </w:tcPr>
          <w:p w14:paraId="7EE26D42"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49,3</w:t>
            </w:r>
          </w:p>
        </w:tc>
        <w:tc>
          <w:tcPr>
            <w:tcW w:w="391" w:type="pct"/>
            <w:tcBorders>
              <w:top w:val="nil"/>
              <w:left w:val="nil"/>
              <w:bottom w:val="nil"/>
              <w:right w:val="nil"/>
            </w:tcBorders>
            <w:shd w:val="clear" w:color="auto" w:fill="auto"/>
            <w:noWrap/>
            <w:vAlign w:val="bottom"/>
            <w:hideMark/>
          </w:tcPr>
          <w:p w14:paraId="4F866906"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46,9</w:t>
            </w:r>
          </w:p>
        </w:tc>
        <w:tc>
          <w:tcPr>
            <w:tcW w:w="391" w:type="pct"/>
            <w:tcBorders>
              <w:top w:val="nil"/>
              <w:left w:val="nil"/>
              <w:bottom w:val="nil"/>
              <w:right w:val="nil"/>
            </w:tcBorders>
            <w:shd w:val="clear" w:color="auto" w:fill="auto"/>
            <w:noWrap/>
            <w:vAlign w:val="bottom"/>
            <w:hideMark/>
          </w:tcPr>
          <w:p w14:paraId="7277E252"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44,8</w:t>
            </w:r>
          </w:p>
        </w:tc>
        <w:tc>
          <w:tcPr>
            <w:tcW w:w="391" w:type="pct"/>
            <w:tcBorders>
              <w:top w:val="nil"/>
              <w:left w:val="nil"/>
              <w:bottom w:val="nil"/>
              <w:right w:val="nil"/>
            </w:tcBorders>
            <w:shd w:val="clear" w:color="auto" w:fill="auto"/>
            <w:noWrap/>
            <w:vAlign w:val="bottom"/>
            <w:hideMark/>
          </w:tcPr>
          <w:p w14:paraId="7C324724"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42,9</w:t>
            </w:r>
          </w:p>
        </w:tc>
        <w:tc>
          <w:tcPr>
            <w:tcW w:w="391" w:type="pct"/>
            <w:tcBorders>
              <w:top w:val="nil"/>
              <w:left w:val="nil"/>
              <w:bottom w:val="nil"/>
              <w:right w:val="nil"/>
            </w:tcBorders>
            <w:shd w:val="clear" w:color="auto" w:fill="auto"/>
            <w:noWrap/>
            <w:vAlign w:val="bottom"/>
            <w:hideMark/>
          </w:tcPr>
          <w:p w14:paraId="2FE02AE3"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41,0</w:t>
            </w:r>
          </w:p>
        </w:tc>
        <w:tc>
          <w:tcPr>
            <w:tcW w:w="391" w:type="pct"/>
            <w:tcBorders>
              <w:top w:val="nil"/>
              <w:left w:val="nil"/>
              <w:bottom w:val="nil"/>
              <w:right w:val="nil"/>
            </w:tcBorders>
            <w:shd w:val="clear" w:color="auto" w:fill="auto"/>
            <w:noWrap/>
            <w:vAlign w:val="bottom"/>
            <w:hideMark/>
          </w:tcPr>
          <w:p w14:paraId="45DA1537"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39,3</w:t>
            </w:r>
          </w:p>
        </w:tc>
        <w:tc>
          <w:tcPr>
            <w:tcW w:w="391" w:type="pct"/>
            <w:tcBorders>
              <w:top w:val="nil"/>
              <w:left w:val="nil"/>
              <w:bottom w:val="nil"/>
              <w:right w:val="nil"/>
            </w:tcBorders>
            <w:shd w:val="clear" w:color="auto" w:fill="auto"/>
            <w:noWrap/>
            <w:vAlign w:val="bottom"/>
            <w:hideMark/>
          </w:tcPr>
          <w:p w14:paraId="5A6CB526" w14:textId="77777777" w:rsidR="001E3C08" w:rsidRPr="00A37BCE" w:rsidRDefault="001E3C08" w:rsidP="001E3C08">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37,6</w:t>
            </w:r>
          </w:p>
        </w:tc>
      </w:tr>
      <w:tr w:rsidR="001A342B" w:rsidRPr="00A37BCE" w14:paraId="3D3F28BA" w14:textId="77777777" w:rsidTr="001D3262">
        <w:trPr>
          <w:cnfStyle w:val="000000100000" w:firstRow="0" w:lastRow="0" w:firstColumn="0" w:lastColumn="0" w:oddVBand="0" w:evenVBand="0" w:oddHBand="1" w:evenHBand="0" w:firstRowFirstColumn="0" w:firstRowLastColumn="0" w:lastRowFirstColumn="0" w:lastRowLastColumn="0"/>
          <w:trHeight w:val="284"/>
          <w:jc w:val="center"/>
        </w:trPr>
        <w:tc>
          <w:tcPr>
            <w:cnfStyle w:val="001000000000" w:firstRow="0" w:lastRow="0" w:firstColumn="1" w:lastColumn="0" w:oddVBand="0" w:evenVBand="0" w:oddHBand="0" w:evenHBand="0" w:firstRowFirstColumn="0" w:firstRowLastColumn="0" w:lastRowFirstColumn="0" w:lastRowLastColumn="0"/>
            <w:tcW w:w="1124" w:type="pct"/>
            <w:tcBorders>
              <w:top w:val="nil"/>
              <w:bottom w:val="single" w:sz="4" w:space="0" w:color="002060"/>
            </w:tcBorders>
            <w:shd w:val="clear" w:color="auto" w:fill="auto"/>
            <w:noWrap/>
            <w:vAlign w:val="center"/>
            <w:hideMark/>
          </w:tcPr>
          <w:p w14:paraId="7CD86F1C" w14:textId="77777777" w:rsidR="001E3C08" w:rsidRPr="00A37BCE" w:rsidRDefault="001E3C08" w:rsidP="001E3C08">
            <w:pPr>
              <w:jc w:val="both"/>
              <w:rPr>
                <w:rFonts w:ascii="Calibri" w:eastAsia="Times New Roman" w:hAnsi="Calibri" w:cs="Calibri"/>
                <w:b w:val="0"/>
                <w:color w:val="002060"/>
                <w:sz w:val="18"/>
                <w:szCs w:val="18"/>
                <w:lang w:val="sr-Cyrl-RS"/>
              </w:rPr>
            </w:pPr>
            <w:r w:rsidRPr="00A37BCE">
              <w:rPr>
                <w:rFonts w:ascii="Calibri" w:eastAsia="Times New Roman" w:hAnsi="Calibri" w:cs="Calibri"/>
                <w:b w:val="0"/>
                <w:color w:val="002060"/>
                <w:sz w:val="18"/>
                <w:szCs w:val="18"/>
                <w:lang w:val="sr-Cyrl-RS"/>
              </w:rPr>
              <w:t>БДП реални раст, %</w:t>
            </w:r>
          </w:p>
        </w:tc>
        <w:tc>
          <w:tcPr>
            <w:tcW w:w="355" w:type="pct"/>
            <w:tcBorders>
              <w:top w:val="nil"/>
              <w:bottom w:val="single" w:sz="4" w:space="0" w:color="002060"/>
            </w:tcBorders>
            <w:shd w:val="clear" w:color="auto" w:fill="auto"/>
            <w:noWrap/>
            <w:vAlign w:val="bottom"/>
            <w:hideMark/>
          </w:tcPr>
          <w:p w14:paraId="162B8DC5"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2,0</w:t>
            </w:r>
          </w:p>
        </w:tc>
        <w:tc>
          <w:tcPr>
            <w:tcW w:w="391" w:type="pct"/>
            <w:tcBorders>
              <w:top w:val="nil"/>
              <w:bottom w:val="single" w:sz="4" w:space="0" w:color="002060"/>
            </w:tcBorders>
            <w:shd w:val="clear" w:color="auto" w:fill="auto"/>
            <w:noWrap/>
            <w:vAlign w:val="bottom"/>
            <w:hideMark/>
          </w:tcPr>
          <w:p w14:paraId="1FEA7724"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4,2</w:t>
            </w:r>
          </w:p>
        </w:tc>
        <w:tc>
          <w:tcPr>
            <w:tcW w:w="391" w:type="pct"/>
            <w:tcBorders>
              <w:top w:val="nil"/>
              <w:bottom w:val="single" w:sz="4" w:space="0" w:color="002060"/>
            </w:tcBorders>
            <w:shd w:val="clear" w:color="auto" w:fill="auto"/>
            <w:noWrap/>
            <w:vAlign w:val="bottom"/>
            <w:hideMark/>
          </w:tcPr>
          <w:p w14:paraId="00E958E1"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3,5</w:t>
            </w:r>
          </w:p>
        </w:tc>
        <w:tc>
          <w:tcPr>
            <w:tcW w:w="391" w:type="pct"/>
            <w:tcBorders>
              <w:top w:val="nil"/>
              <w:bottom w:val="single" w:sz="4" w:space="0" w:color="002060"/>
            </w:tcBorders>
            <w:shd w:val="clear" w:color="auto" w:fill="auto"/>
            <w:noWrap/>
            <w:vAlign w:val="bottom"/>
            <w:hideMark/>
          </w:tcPr>
          <w:p w14:paraId="13035714"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4,0</w:t>
            </w:r>
          </w:p>
        </w:tc>
        <w:tc>
          <w:tcPr>
            <w:tcW w:w="391" w:type="pct"/>
            <w:tcBorders>
              <w:top w:val="nil"/>
              <w:bottom w:val="single" w:sz="4" w:space="0" w:color="002060"/>
            </w:tcBorders>
            <w:shd w:val="clear" w:color="auto" w:fill="auto"/>
            <w:noWrap/>
            <w:vAlign w:val="bottom"/>
            <w:hideMark/>
          </w:tcPr>
          <w:p w14:paraId="02305B9C"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4,0</w:t>
            </w:r>
          </w:p>
        </w:tc>
        <w:tc>
          <w:tcPr>
            <w:tcW w:w="391" w:type="pct"/>
            <w:tcBorders>
              <w:top w:val="nil"/>
              <w:bottom w:val="single" w:sz="4" w:space="0" w:color="002060"/>
            </w:tcBorders>
            <w:shd w:val="clear" w:color="auto" w:fill="auto"/>
            <w:noWrap/>
            <w:vAlign w:val="bottom"/>
            <w:hideMark/>
          </w:tcPr>
          <w:p w14:paraId="14371746"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4,0</w:t>
            </w:r>
          </w:p>
        </w:tc>
        <w:tc>
          <w:tcPr>
            <w:tcW w:w="391" w:type="pct"/>
            <w:tcBorders>
              <w:top w:val="nil"/>
              <w:bottom w:val="single" w:sz="4" w:space="0" w:color="002060"/>
            </w:tcBorders>
            <w:shd w:val="clear" w:color="auto" w:fill="auto"/>
            <w:noWrap/>
            <w:vAlign w:val="bottom"/>
            <w:hideMark/>
          </w:tcPr>
          <w:p w14:paraId="20849EFB"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4,0</w:t>
            </w:r>
          </w:p>
        </w:tc>
        <w:tc>
          <w:tcPr>
            <w:tcW w:w="391" w:type="pct"/>
            <w:tcBorders>
              <w:top w:val="nil"/>
              <w:bottom w:val="single" w:sz="4" w:space="0" w:color="002060"/>
            </w:tcBorders>
            <w:shd w:val="clear" w:color="auto" w:fill="auto"/>
            <w:noWrap/>
            <w:vAlign w:val="bottom"/>
            <w:hideMark/>
          </w:tcPr>
          <w:p w14:paraId="1AD3BB0C"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4,0</w:t>
            </w:r>
          </w:p>
        </w:tc>
        <w:tc>
          <w:tcPr>
            <w:tcW w:w="391" w:type="pct"/>
            <w:tcBorders>
              <w:top w:val="nil"/>
              <w:bottom w:val="single" w:sz="4" w:space="0" w:color="002060"/>
            </w:tcBorders>
            <w:shd w:val="clear" w:color="auto" w:fill="auto"/>
            <w:noWrap/>
            <w:vAlign w:val="bottom"/>
            <w:hideMark/>
          </w:tcPr>
          <w:p w14:paraId="47BB6B80"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4,0</w:t>
            </w:r>
          </w:p>
        </w:tc>
        <w:tc>
          <w:tcPr>
            <w:tcW w:w="391" w:type="pct"/>
            <w:tcBorders>
              <w:top w:val="nil"/>
              <w:bottom w:val="single" w:sz="4" w:space="0" w:color="002060"/>
            </w:tcBorders>
            <w:shd w:val="clear" w:color="auto" w:fill="auto"/>
            <w:noWrap/>
            <w:vAlign w:val="bottom"/>
            <w:hideMark/>
          </w:tcPr>
          <w:p w14:paraId="7C17EF2A" w14:textId="77777777" w:rsidR="001E3C08" w:rsidRPr="00A37BCE" w:rsidRDefault="001E3C08" w:rsidP="001E3C08">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A37BCE">
              <w:rPr>
                <w:rFonts w:ascii="Calibri" w:hAnsi="Calibri" w:cs="Calibri"/>
                <w:color w:val="002060"/>
                <w:sz w:val="18"/>
                <w:szCs w:val="18"/>
                <w:lang w:val="sr-Cyrl-RS"/>
              </w:rPr>
              <w:t>4,0</w:t>
            </w:r>
          </w:p>
        </w:tc>
      </w:tr>
    </w:tbl>
    <w:p w14:paraId="3B0A34D2" w14:textId="77777777" w:rsidR="001E3C08" w:rsidRPr="00A37BCE" w:rsidRDefault="001E3C08" w:rsidP="001E3C08">
      <w:pPr>
        <w:spacing w:after="120" w:line="276" w:lineRule="auto"/>
        <w:rPr>
          <w:rFonts w:ascii="Calibri" w:eastAsia="MS PGothic" w:hAnsi="Calibri" w:cs="Calibri"/>
          <w:color w:val="44546A" w:themeColor="text2"/>
          <w:sz w:val="16"/>
          <w:szCs w:val="16"/>
          <w:lang w:val="sr-Cyrl-RS" w:eastAsia="ja-JP"/>
        </w:rPr>
      </w:pPr>
      <w:r w:rsidRPr="00A37BCE">
        <w:rPr>
          <w:rFonts w:ascii="Calibri" w:eastAsia="MS PGothic" w:hAnsi="Calibri" w:cs="Calibri"/>
          <w:color w:val="44546A" w:themeColor="text2"/>
          <w:sz w:val="16"/>
          <w:szCs w:val="16"/>
          <w:lang w:val="sr-Cyrl-RS" w:eastAsia="ja-JP"/>
        </w:rPr>
        <w:t xml:space="preserve">Извор: </w:t>
      </w:r>
      <w:r w:rsidRPr="00A37BCE">
        <w:rPr>
          <w:rFonts w:ascii="Calibri" w:eastAsia="Calibri" w:hAnsi="Calibri" w:cs="Calibri"/>
          <w:color w:val="44546A" w:themeColor="text2"/>
          <w:sz w:val="16"/>
          <w:szCs w:val="20"/>
          <w:lang w:val="sr-Cyrl-RS"/>
        </w:rPr>
        <w:t>Министарство финансија</w:t>
      </w:r>
    </w:p>
    <w:p w14:paraId="1199408C" w14:textId="77777777" w:rsidR="001E3C08" w:rsidRPr="00A37BCE" w:rsidRDefault="001E3C08" w:rsidP="001E3C08">
      <w:pPr>
        <w:spacing w:after="0" w:line="276" w:lineRule="auto"/>
        <w:rPr>
          <w:rFonts w:ascii="Calibri" w:eastAsia="Calibri" w:hAnsi="Calibri" w:cs="Calibri"/>
          <w:color w:val="44546A" w:themeColor="text2"/>
          <w:sz w:val="20"/>
          <w:szCs w:val="20"/>
          <w:lang w:val="sr-Cyrl-RS" w:eastAsia="ja-JP"/>
        </w:rPr>
        <w:sectPr w:rsidR="001E3C08" w:rsidRPr="00A37BCE">
          <w:type w:val="continuous"/>
          <w:pgSz w:w="12240" w:h="15840"/>
          <w:pgMar w:top="1417" w:right="1417" w:bottom="1417" w:left="1417" w:header="720" w:footer="720" w:gutter="0"/>
          <w:cols w:space="720"/>
        </w:sectPr>
      </w:pPr>
    </w:p>
    <w:p w14:paraId="3F4DEFAF" w14:textId="3394E2CD" w:rsidR="001E3C08" w:rsidRPr="00A37BCE" w:rsidRDefault="001E3C08" w:rsidP="001E3C08">
      <w:pPr>
        <w:spacing w:after="120" w:line="276" w:lineRule="auto"/>
        <w:jc w:val="both"/>
        <w:rPr>
          <w:rFonts w:ascii="Calibri" w:eastAsia="Calibri" w:hAnsi="Calibri" w:cs="Calibri"/>
          <w:color w:val="44546A" w:themeColor="text2"/>
          <w:sz w:val="20"/>
          <w:szCs w:val="20"/>
          <w:lang w:val="sr-Cyrl-RS"/>
        </w:rPr>
      </w:pPr>
      <w:r w:rsidRPr="00A37BCE">
        <w:rPr>
          <w:rFonts w:ascii="Calibri" w:eastAsia="Calibri" w:hAnsi="Calibri" w:cs="Calibri"/>
          <w:color w:val="44546A" w:themeColor="text2"/>
          <w:sz w:val="20"/>
          <w:szCs w:val="20"/>
          <w:lang w:val="sr-Cyrl-RS"/>
        </w:rPr>
        <w:lastRenderedPageBreak/>
        <w:t xml:space="preserve">Основни сценарио претпоставља да се ниво јавног дуга спусти на око 45% БДП у 2022. години. На </w:t>
      </w:r>
      <w:r w:rsidRPr="00A37BCE">
        <w:rPr>
          <w:rFonts w:ascii="Calibri" w:eastAsia="Calibri" w:hAnsi="Calibri" w:cs="Calibri"/>
          <w:color w:val="44546A" w:themeColor="text2"/>
          <w:sz w:val="20"/>
          <w:szCs w:val="20"/>
          <w:lang w:val="sr-Cyrl-RS"/>
        </w:rPr>
        <w:lastRenderedPageBreak/>
        <w:t xml:space="preserve">графикону су приказане симулације алтернативних сценарија кретања јавног дуга, у </w:t>
      </w:r>
      <w:r w:rsidRPr="00A37BCE">
        <w:rPr>
          <w:rFonts w:ascii="Calibri" w:eastAsia="Calibri" w:hAnsi="Calibri" w:cs="Calibri"/>
          <w:color w:val="44546A" w:themeColor="text2"/>
          <w:sz w:val="20"/>
          <w:szCs w:val="20"/>
          <w:lang w:val="sr-Cyrl-RS"/>
        </w:rPr>
        <w:lastRenderedPageBreak/>
        <w:t xml:space="preserve">зависности од промена одређених претпоставки у основном сценарију. Ради бољег поређења, извршена је варијација само једне варијабле, као фактора </w:t>
      </w:r>
      <w:r w:rsidR="00D82D2A">
        <w:rPr>
          <w:rFonts w:ascii="Calibri" w:eastAsia="Calibri" w:hAnsi="Calibri" w:cs="Calibri"/>
          <w:color w:val="44546A" w:themeColor="text2"/>
          <w:sz w:val="20"/>
          <w:szCs w:val="20"/>
          <w:lang w:val="sr-Cyrl-RS"/>
        </w:rPr>
        <w:t>ризика који утиче на ниво дуга.</w:t>
      </w:r>
    </w:p>
    <w:p w14:paraId="2BF0E896" w14:textId="427EA7AA" w:rsidR="001E3C08" w:rsidRPr="00A37BCE" w:rsidRDefault="001E3C08" w:rsidP="001E3C08">
      <w:pPr>
        <w:spacing w:after="120" w:line="276" w:lineRule="auto"/>
        <w:jc w:val="both"/>
        <w:rPr>
          <w:rFonts w:ascii="Calibri" w:eastAsia="Calibri" w:hAnsi="Calibri" w:cs="Calibri"/>
          <w:color w:val="44546A" w:themeColor="text2"/>
          <w:sz w:val="20"/>
          <w:szCs w:val="20"/>
          <w:lang w:val="sr-Cyrl-RS"/>
        </w:rPr>
      </w:pPr>
      <w:r w:rsidRPr="00A37BCE">
        <w:rPr>
          <w:rFonts w:ascii="Calibri" w:eastAsia="Calibri" w:hAnsi="Calibri" w:cs="Calibri"/>
          <w:color w:val="44546A" w:themeColor="text2"/>
          <w:sz w:val="20"/>
          <w:szCs w:val="20"/>
          <w:lang w:val="sr-Cyrl-RS"/>
        </w:rPr>
        <w:t>Сценарио „успорени раст након 2021” подразумева просечан реални раст БДП од око 0,7% у посматраном периоду, уз исти ниво фискалног дефицита у односу на основни сценарио. Ово не подразумева и исти ниво фискалног прилагођавања јер је потребна већа акомодација на расходној страни у ситуацијама када се бележи нижи привредни раст. На крају периода јавни дуг према овом сценарију достиже ниво од 43,6% БДП, што је испод законске границе од 45%. Једна од опасности коју носи сценарио продуженог успореног раста, лежи у томе што и поред одржавања нивоа фискалног дефицита на ниском нивоу, ниво јавног дуга не пада довољно брзо. Са друге стране, успорени раст, путем аутоматских стабилизатора, продукује више нивое фискалног дефицита, па су неопходна већа смањења расхода како би се задржала опадајућа путања учешћа јавног дуга. Присутан је ризик уласка у спиралу успореног раста и неопходност за додатним мерама штедње. И поред ових ризика, сценарио омогућава постепено смањење учешћа јавног дуга и одржавање на нивоу испод 45%, пр</w:t>
      </w:r>
      <w:r w:rsidR="00D82D2A">
        <w:rPr>
          <w:rFonts w:ascii="Calibri" w:eastAsia="Calibri" w:hAnsi="Calibri" w:cs="Calibri"/>
          <w:color w:val="44546A" w:themeColor="text2"/>
          <w:sz w:val="20"/>
          <w:szCs w:val="20"/>
          <w:lang w:val="sr-Cyrl-RS"/>
        </w:rPr>
        <w:t>и осталим датим претпоставкама.</w:t>
      </w:r>
    </w:p>
    <w:p w14:paraId="12EAB92F" w14:textId="77777777" w:rsidR="001D3262" w:rsidRDefault="001D3262" w:rsidP="002E527B">
      <w:pPr>
        <w:spacing w:after="120" w:line="276" w:lineRule="auto"/>
        <w:jc w:val="center"/>
        <w:rPr>
          <w:rFonts w:ascii="Calibri" w:eastAsia="Calibri" w:hAnsi="Calibri" w:cs="Calibri"/>
          <w:b/>
          <w:bCs/>
          <w:color w:val="002060"/>
          <w:sz w:val="18"/>
          <w:szCs w:val="18"/>
          <w:lang w:val="sr-Cyrl-RS"/>
        </w:rPr>
      </w:pPr>
    </w:p>
    <w:p w14:paraId="4B7C9B89" w14:textId="77777777" w:rsidR="001D3262" w:rsidRDefault="001D3262" w:rsidP="002E527B">
      <w:pPr>
        <w:spacing w:after="120" w:line="276" w:lineRule="auto"/>
        <w:jc w:val="center"/>
        <w:rPr>
          <w:rFonts w:ascii="Calibri" w:eastAsia="Calibri" w:hAnsi="Calibri" w:cs="Calibri"/>
          <w:b/>
          <w:bCs/>
          <w:color w:val="002060"/>
          <w:sz w:val="18"/>
          <w:szCs w:val="18"/>
          <w:lang w:val="sr-Cyrl-RS"/>
        </w:rPr>
      </w:pPr>
    </w:p>
    <w:p w14:paraId="6DA2E224" w14:textId="77777777" w:rsidR="001D3262" w:rsidRDefault="001D3262" w:rsidP="002E527B">
      <w:pPr>
        <w:spacing w:after="120" w:line="276" w:lineRule="auto"/>
        <w:jc w:val="center"/>
        <w:rPr>
          <w:rFonts w:ascii="Calibri" w:eastAsia="Calibri" w:hAnsi="Calibri" w:cs="Calibri"/>
          <w:b/>
          <w:bCs/>
          <w:color w:val="002060"/>
          <w:sz w:val="18"/>
          <w:szCs w:val="18"/>
          <w:lang w:val="sr-Cyrl-RS"/>
        </w:rPr>
      </w:pPr>
    </w:p>
    <w:p w14:paraId="510228FD" w14:textId="77777777" w:rsidR="001D3262" w:rsidRDefault="001D3262" w:rsidP="002E527B">
      <w:pPr>
        <w:spacing w:after="120" w:line="276" w:lineRule="auto"/>
        <w:jc w:val="center"/>
        <w:rPr>
          <w:rFonts w:ascii="Calibri" w:eastAsia="Calibri" w:hAnsi="Calibri" w:cs="Calibri"/>
          <w:b/>
          <w:bCs/>
          <w:color w:val="002060"/>
          <w:sz w:val="18"/>
          <w:szCs w:val="18"/>
          <w:lang w:val="sr-Cyrl-RS"/>
        </w:rPr>
      </w:pPr>
    </w:p>
    <w:p w14:paraId="22936F7D" w14:textId="77777777" w:rsidR="001D3262" w:rsidRDefault="001D3262" w:rsidP="002E527B">
      <w:pPr>
        <w:spacing w:after="120" w:line="276" w:lineRule="auto"/>
        <w:jc w:val="center"/>
        <w:rPr>
          <w:rFonts w:ascii="Calibri" w:eastAsia="Calibri" w:hAnsi="Calibri" w:cs="Calibri"/>
          <w:b/>
          <w:bCs/>
          <w:color w:val="002060"/>
          <w:sz w:val="18"/>
          <w:szCs w:val="18"/>
          <w:lang w:val="sr-Cyrl-RS"/>
        </w:rPr>
      </w:pPr>
    </w:p>
    <w:p w14:paraId="3E0D51E0" w14:textId="77777777" w:rsidR="001D3262" w:rsidRDefault="001D3262" w:rsidP="002E527B">
      <w:pPr>
        <w:spacing w:after="120" w:line="276" w:lineRule="auto"/>
        <w:jc w:val="center"/>
        <w:rPr>
          <w:rFonts w:ascii="Calibri" w:eastAsia="Calibri" w:hAnsi="Calibri" w:cs="Calibri"/>
          <w:b/>
          <w:bCs/>
          <w:color w:val="002060"/>
          <w:sz w:val="18"/>
          <w:szCs w:val="18"/>
          <w:lang w:val="sr-Cyrl-RS"/>
        </w:rPr>
      </w:pPr>
    </w:p>
    <w:p w14:paraId="6999753E" w14:textId="77777777" w:rsidR="001D3262" w:rsidRDefault="001D3262" w:rsidP="002E527B">
      <w:pPr>
        <w:spacing w:after="120" w:line="276" w:lineRule="auto"/>
        <w:jc w:val="center"/>
        <w:rPr>
          <w:rFonts w:ascii="Calibri" w:eastAsia="Calibri" w:hAnsi="Calibri" w:cs="Calibri"/>
          <w:b/>
          <w:bCs/>
          <w:color w:val="002060"/>
          <w:sz w:val="18"/>
          <w:szCs w:val="18"/>
          <w:lang w:val="sr-Cyrl-RS"/>
        </w:rPr>
      </w:pPr>
    </w:p>
    <w:p w14:paraId="53E1C880" w14:textId="77777777" w:rsidR="001D3262" w:rsidRDefault="001D3262" w:rsidP="002E527B">
      <w:pPr>
        <w:spacing w:after="120" w:line="276" w:lineRule="auto"/>
        <w:jc w:val="center"/>
        <w:rPr>
          <w:rFonts w:ascii="Calibri" w:eastAsia="Calibri" w:hAnsi="Calibri" w:cs="Calibri"/>
          <w:b/>
          <w:bCs/>
          <w:color w:val="002060"/>
          <w:sz w:val="18"/>
          <w:szCs w:val="18"/>
          <w:lang w:val="sr-Cyrl-RS"/>
        </w:rPr>
      </w:pPr>
    </w:p>
    <w:p w14:paraId="288EE096" w14:textId="77777777" w:rsidR="001D3262" w:rsidRDefault="001D3262" w:rsidP="002E527B">
      <w:pPr>
        <w:spacing w:after="120" w:line="276" w:lineRule="auto"/>
        <w:jc w:val="center"/>
        <w:rPr>
          <w:rFonts w:ascii="Calibri" w:eastAsia="Calibri" w:hAnsi="Calibri" w:cs="Calibri"/>
          <w:b/>
          <w:bCs/>
          <w:color w:val="002060"/>
          <w:sz w:val="18"/>
          <w:szCs w:val="18"/>
          <w:lang w:val="sr-Cyrl-RS"/>
        </w:rPr>
      </w:pPr>
    </w:p>
    <w:p w14:paraId="5F7D3EDB" w14:textId="77777777" w:rsidR="009E35F4" w:rsidRDefault="009E35F4" w:rsidP="00EB0EE8">
      <w:pPr>
        <w:spacing w:after="120" w:line="276" w:lineRule="auto"/>
        <w:rPr>
          <w:rFonts w:ascii="Calibri" w:eastAsia="Calibri" w:hAnsi="Calibri" w:cs="Calibri"/>
          <w:b/>
          <w:bCs/>
          <w:color w:val="002060"/>
          <w:sz w:val="18"/>
          <w:szCs w:val="18"/>
          <w:lang w:val="sr-Cyrl-RS"/>
        </w:rPr>
      </w:pPr>
    </w:p>
    <w:p w14:paraId="11764ADF" w14:textId="77777777" w:rsidR="00B0714F" w:rsidRDefault="00B0714F" w:rsidP="002E527B">
      <w:pPr>
        <w:spacing w:after="120" w:line="276" w:lineRule="auto"/>
        <w:jc w:val="center"/>
        <w:rPr>
          <w:rFonts w:ascii="Calibri" w:eastAsia="Calibri" w:hAnsi="Calibri" w:cs="Calibri"/>
          <w:b/>
          <w:bCs/>
          <w:color w:val="002060"/>
          <w:sz w:val="18"/>
          <w:szCs w:val="18"/>
          <w:lang w:val="sr-Cyrl-RS"/>
        </w:rPr>
      </w:pPr>
    </w:p>
    <w:p w14:paraId="1779E32F" w14:textId="77777777" w:rsidR="00B0714F" w:rsidRDefault="00B0714F" w:rsidP="002E527B">
      <w:pPr>
        <w:spacing w:after="120" w:line="276" w:lineRule="auto"/>
        <w:jc w:val="center"/>
        <w:rPr>
          <w:rFonts w:ascii="Calibri" w:eastAsia="Calibri" w:hAnsi="Calibri" w:cs="Calibri"/>
          <w:b/>
          <w:bCs/>
          <w:color w:val="002060"/>
          <w:sz w:val="18"/>
          <w:szCs w:val="18"/>
          <w:lang w:val="sr-Cyrl-RS"/>
        </w:rPr>
      </w:pPr>
    </w:p>
    <w:p w14:paraId="54179E6E" w14:textId="022318C5" w:rsidR="001E3C08" w:rsidRPr="00A37BCE" w:rsidRDefault="001E3C08" w:rsidP="002E527B">
      <w:pPr>
        <w:spacing w:after="120" w:line="276" w:lineRule="auto"/>
        <w:jc w:val="center"/>
        <w:rPr>
          <w:rFonts w:ascii="Calibri" w:eastAsia="Calibri" w:hAnsi="Calibri" w:cs="Calibri"/>
          <w:b/>
          <w:bCs/>
          <w:color w:val="002060"/>
          <w:sz w:val="18"/>
          <w:szCs w:val="18"/>
          <w:lang w:val="sr-Cyrl-RS"/>
        </w:rPr>
      </w:pPr>
      <w:r w:rsidRPr="00A37BCE">
        <w:rPr>
          <w:rFonts w:ascii="Calibri" w:eastAsia="Calibri" w:hAnsi="Calibri" w:cs="Calibri"/>
          <w:b/>
          <w:bCs/>
          <w:color w:val="002060"/>
          <w:sz w:val="18"/>
          <w:szCs w:val="18"/>
          <w:lang w:val="sr-Cyrl-RS"/>
        </w:rPr>
        <w:lastRenderedPageBreak/>
        <w:t>Поређење различитих сценарија и утицај на висину јавног дуга, % БДП</w:t>
      </w:r>
    </w:p>
    <w:p w14:paraId="26E7A18D" w14:textId="6D79A5E5" w:rsidR="001E3C08" w:rsidRDefault="00BC321E" w:rsidP="001E3C08">
      <w:pPr>
        <w:spacing w:after="120" w:line="276" w:lineRule="auto"/>
        <w:jc w:val="both"/>
        <w:rPr>
          <w:rFonts w:ascii="Calibri" w:eastAsia="Calibri" w:hAnsi="Calibri" w:cs="Calibri"/>
          <w:b/>
          <w:bCs/>
          <w:color w:val="002060"/>
          <w:sz w:val="18"/>
          <w:szCs w:val="18"/>
          <w:lang w:val="sr-Cyrl-RS"/>
        </w:rPr>
      </w:pPr>
      <w:r w:rsidRPr="00A37BCE">
        <w:rPr>
          <w:rFonts w:ascii="Calibri" w:eastAsia="Calibri" w:hAnsi="Calibri" w:cs="Calibri"/>
          <w:b/>
          <w:bCs/>
          <w:noProof/>
          <w:color w:val="002060"/>
          <w:sz w:val="18"/>
          <w:szCs w:val="18"/>
        </w:rPr>
        <w:drawing>
          <wp:inline distT="0" distB="0" distL="0" distR="0" wp14:anchorId="72F84E9D" wp14:editId="777F9639">
            <wp:extent cx="2981325" cy="2274073"/>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987221" cy="2278570"/>
                    </a:xfrm>
                    <a:prstGeom prst="rect">
                      <a:avLst/>
                    </a:prstGeom>
                    <a:noFill/>
                  </pic:spPr>
                </pic:pic>
              </a:graphicData>
            </a:graphic>
          </wp:inline>
        </w:drawing>
      </w:r>
    </w:p>
    <w:p w14:paraId="6EDE368D" w14:textId="30144554" w:rsidR="009E35F4" w:rsidRPr="009E35F4" w:rsidRDefault="009E35F4" w:rsidP="009E35F4">
      <w:pPr>
        <w:spacing w:after="120" w:line="276" w:lineRule="auto"/>
        <w:rPr>
          <w:rFonts w:ascii="Calibri" w:eastAsia="MS PGothic" w:hAnsi="Calibri" w:cs="Calibri"/>
          <w:color w:val="44546A" w:themeColor="text2"/>
          <w:sz w:val="16"/>
          <w:szCs w:val="16"/>
          <w:lang w:val="sr-Cyrl-RS" w:eastAsia="ja-JP"/>
        </w:rPr>
      </w:pPr>
      <w:r w:rsidRPr="00A37BCE">
        <w:rPr>
          <w:rFonts w:ascii="Calibri" w:eastAsia="MS PGothic" w:hAnsi="Calibri" w:cs="Calibri"/>
          <w:color w:val="44546A" w:themeColor="text2"/>
          <w:sz w:val="16"/>
          <w:szCs w:val="16"/>
          <w:lang w:val="sr-Cyrl-RS" w:eastAsia="ja-JP"/>
        </w:rPr>
        <w:t xml:space="preserve">Извор: </w:t>
      </w:r>
      <w:r w:rsidRPr="00A37BCE">
        <w:rPr>
          <w:rFonts w:ascii="Calibri" w:eastAsia="Calibri" w:hAnsi="Calibri" w:cs="Calibri"/>
          <w:color w:val="44546A" w:themeColor="text2"/>
          <w:sz w:val="16"/>
          <w:szCs w:val="20"/>
          <w:lang w:val="sr-Cyrl-RS"/>
        </w:rPr>
        <w:t>Министарство финансија</w:t>
      </w:r>
    </w:p>
    <w:p w14:paraId="1F2D76F1" w14:textId="799FE209" w:rsidR="001E3C08" w:rsidRPr="00A37BCE" w:rsidRDefault="001E3C08" w:rsidP="001E3C08">
      <w:pPr>
        <w:spacing w:after="120" w:line="276" w:lineRule="auto"/>
        <w:jc w:val="both"/>
        <w:rPr>
          <w:rFonts w:ascii="Calibri" w:eastAsia="Calibri" w:hAnsi="Calibri" w:cs="Calibri"/>
          <w:color w:val="44546A" w:themeColor="text2"/>
          <w:sz w:val="20"/>
          <w:szCs w:val="20"/>
          <w:lang w:val="sr-Cyrl-RS"/>
        </w:rPr>
      </w:pPr>
      <w:r w:rsidRPr="00A37BCE">
        <w:rPr>
          <w:rFonts w:ascii="Calibri" w:eastAsia="Calibri" w:hAnsi="Calibri" w:cs="Calibri"/>
          <w:color w:val="44546A" w:themeColor="text2"/>
          <w:sz w:val="20"/>
          <w:szCs w:val="20"/>
          <w:lang w:val="sr-Cyrl-RS"/>
        </w:rPr>
        <w:t>Сценарио „фискална експанзија након 2021. године” подразумева значајније одступање од мера које су водиле ка смањењу фискалног дефицита и достизање фискалног дефицита од 3%. У овом случају ниво учешћа јавног дуга стагнира. Јавни дуг не достиже законску границу од 45% у посматраном периоду, а ниво испод 60% одржава се у целом посматраном периоду, јер је и поред погоршања фискалних перформанси и даље присутан примарни фискални резултат који омогућава стабилизацију учешћа ду</w:t>
      </w:r>
      <w:r w:rsidR="00D82D2A">
        <w:rPr>
          <w:rFonts w:ascii="Calibri" w:eastAsia="Calibri" w:hAnsi="Calibri" w:cs="Calibri"/>
          <w:color w:val="44546A" w:themeColor="text2"/>
          <w:sz w:val="20"/>
          <w:szCs w:val="20"/>
          <w:lang w:val="sr-Cyrl-RS"/>
        </w:rPr>
        <w:t>га при датим стопама раста БДП.</w:t>
      </w:r>
    </w:p>
    <w:p w14:paraId="2E38B16D" w14:textId="1EF43A27" w:rsidR="001E3C08" w:rsidRPr="00A37BCE" w:rsidRDefault="001E3C08" w:rsidP="001E3C08">
      <w:pPr>
        <w:spacing w:after="120" w:line="276" w:lineRule="auto"/>
        <w:jc w:val="both"/>
        <w:rPr>
          <w:rFonts w:ascii="Calibri" w:eastAsia="Calibri" w:hAnsi="Calibri" w:cs="Calibri"/>
          <w:color w:val="44546A" w:themeColor="text2"/>
          <w:sz w:val="20"/>
          <w:szCs w:val="20"/>
          <w:lang w:val="sr-Cyrl-RS"/>
        </w:rPr>
      </w:pPr>
      <w:r w:rsidRPr="00A37BCE">
        <w:rPr>
          <w:rFonts w:ascii="Calibri" w:eastAsia="Calibri" w:hAnsi="Calibri" w:cs="Calibri"/>
          <w:color w:val="44546A" w:themeColor="text2"/>
          <w:sz w:val="20"/>
          <w:szCs w:val="20"/>
          <w:lang w:val="sr-Cyrl-RS"/>
        </w:rPr>
        <w:t>Сценарио који комбинује мањи реални раст БДП и подизање нивоа фискалног дефицита на 3% БДП има најнеповољнију путању јавног дуга. При томе једино у овом сценарију дуг има изразиту растућу путању у периоду након 2022. године, а учешће јавног дуга почиње да убрзава ка нивоу од 60</w:t>
      </w:r>
      <w:r w:rsidR="00D82D2A">
        <w:rPr>
          <w:rFonts w:ascii="Calibri" w:eastAsia="Calibri" w:hAnsi="Calibri" w:cs="Calibri"/>
          <w:color w:val="44546A" w:themeColor="text2"/>
          <w:sz w:val="20"/>
          <w:szCs w:val="20"/>
          <w:lang w:val="sr-Cyrl-RS"/>
        </w:rPr>
        <w:t>% на крају посматраног периода.</w:t>
      </w:r>
    </w:p>
    <w:p w14:paraId="64F1941E" w14:textId="44020672" w:rsidR="00630A81" w:rsidRPr="00A37BCE" w:rsidRDefault="001E3C08" w:rsidP="00642DA6">
      <w:pPr>
        <w:spacing w:after="120" w:line="276" w:lineRule="auto"/>
        <w:jc w:val="both"/>
        <w:rPr>
          <w:rFonts w:ascii="Calibri" w:eastAsia="MS PGothic" w:hAnsi="Calibri" w:cs="Calibri"/>
          <w:color w:val="44546A" w:themeColor="text2"/>
          <w:sz w:val="20"/>
          <w:szCs w:val="20"/>
          <w:lang w:val="sr-Cyrl-RS" w:eastAsia="ja-JP"/>
        </w:rPr>
        <w:sectPr w:rsidR="00630A81" w:rsidRPr="00A37BCE" w:rsidSect="00630A81">
          <w:headerReference w:type="even" r:id="rId74"/>
          <w:headerReference w:type="default" r:id="rId75"/>
          <w:footerReference w:type="even" r:id="rId76"/>
          <w:footerReference w:type="default" r:id="rId77"/>
          <w:headerReference w:type="first" r:id="rId78"/>
          <w:type w:val="continuous"/>
          <w:pgSz w:w="12240" w:h="15840"/>
          <w:pgMar w:top="1440" w:right="1440" w:bottom="1440" w:left="1440" w:header="720" w:footer="720" w:gutter="0"/>
          <w:cols w:num="2" w:space="720"/>
          <w:docGrid w:linePitch="360"/>
        </w:sectPr>
      </w:pPr>
      <w:r w:rsidRPr="00A37BCE">
        <w:rPr>
          <w:rFonts w:ascii="Calibri" w:eastAsia="Calibri" w:hAnsi="Calibri" w:cs="Calibri"/>
          <w:color w:val="44546A" w:themeColor="text2"/>
          <w:sz w:val="20"/>
          <w:szCs w:val="20"/>
          <w:lang w:val="sr-Cyrl-RS"/>
        </w:rPr>
        <w:t>Мере спроведене у оквиру аранжмана са ММФ и остварена фискална консолидација су омогућиле знатно релаксиранију позицију у погледу висине и динамике кретања учешћа јавног дуга у БДП у будућем периоду. Најважнија претпоставка била је достизање примарног</w:t>
      </w:r>
      <w:r w:rsidRPr="00A37BCE">
        <w:rPr>
          <w:rFonts w:ascii="Calibri" w:eastAsia="MS PGothic" w:hAnsi="Calibri" w:cs="Calibri"/>
          <w:color w:val="44546A" w:themeColor="text2"/>
          <w:sz w:val="20"/>
          <w:szCs w:val="20"/>
          <w:lang w:val="sr-Cyrl-RS" w:eastAsia="ja-JP"/>
        </w:rPr>
        <w:t xml:space="preserve"> фискалног суфицита. У наредном периоду за стабилизацију или благо смањење учешћа биће до</w:t>
      </w:r>
      <w:r w:rsidR="009E35F4">
        <w:rPr>
          <w:rFonts w:ascii="Calibri" w:eastAsia="MS PGothic" w:hAnsi="Calibri" w:cs="Calibri"/>
          <w:color w:val="44546A" w:themeColor="text2"/>
          <w:sz w:val="20"/>
          <w:szCs w:val="20"/>
          <w:lang w:val="sr-Cyrl-RS" w:eastAsia="ja-JP"/>
        </w:rPr>
        <w:t>вољан и низак примарни дефицит.</w:t>
      </w:r>
    </w:p>
    <w:p w14:paraId="471B261D" w14:textId="2D7B37EA" w:rsidR="003A4FB0" w:rsidRPr="00B01111" w:rsidRDefault="003A4FB0" w:rsidP="003A4FB0">
      <w:pPr>
        <w:pStyle w:val="Heading1"/>
        <w:jc w:val="center"/>
        <w:rPr>
          <w:rFonts w:asciiTheme="minorHAnsi" w:hAnsiTheme="minorHAnsi" w:cstheme="minorHAnsi"/>
          <w:b/>
          <w:sz w:val="26"/>
          <w:szCs w:val="26"/>
          <w:lang w:val="sr-Cyrl-RS"/>
        </w:rPr>
        <w:sectPr w:rsidR="003A4FB0" w:rsidRPr="00B01111" w:rsidSect="004E661B">
          <w:type w:val="continuous"/>
          <w:pgSz w:w="12240" w:h="15840"/>
          <w:pgMar w:top="1440" w:right="1440" w:bottom="1440" w:left="1440" w:header="720" w:footer="720" w:gutter="0"/>
          <w:cols w:space="720"/>
          <w:docGrid w:linePitch="360"/>
        </w:sectPr>
      </w:pPr>
      <w:bookmarkStart w:id="19" w:name="_Toc530042004"/>
      <w:r w:rsidRPr="00B01111">
        <w:rPr>
          <w:rFonts w:asciiTheme="minorHAnsi" w:hAnsiTheme="minorHAnsi" w:cstheme="minorHAnsi"/>
          <w:b/>
          <w:sz w:val="26"/>
          <w:szCs w:val="26"/>
          <w:lang w:val="sr-Cyrl-RS"/>
        </w:rPr>
        <w:lastRenderedPageBreak/>
        <w:t>III</w:t>
      </w:r>
      <w:r w:rsidR="00342D1C" w:rsidRPr="00B01111">
        <w:rPr>
          <w:rFonts w:asciiTheme="minorHAnsi" w:hAnsiTheme="minorHAnsi" w:cstheme="minorHAnsi"/>
          <w:b/>
          <w:sz w:val="26"/>
          <w:szCs w:val="26"/>
          <w:lang w:val="sr-Cyrl-RS"/>
        </w:rPr>
        <w:t>.</w:t>
      </w:r>
      <w:r w:rsidRPr="00B01111">
        <w:rPr>
          <w:rFonts w:asciiTheme="minorHAnsi" w:hAnsiTheme="minorHAnsi" w:cstheme="minorHAnsi"/>
          <w:b/>
          <w:sz w:val="26"/>
          <w:szCs w:val="26"/>
          <w:lang w:val="sr-Cyrl-RS"/>
        </w:rPr>
        <w:t xml:space="preserve"> СТРАТЕГИЈА УПРАВЉАЊА ЈАВНИМ ДУГОМ ОД 2019. ДО 2021. ГОДИНЕ</w:t>
      </w:r>
      <w:bookmarkEnd w:id="19"/>
      <w:r w:rsidRPr="00B01111">
        <w:rPr>
          <w:rFonts w:asciiTheme="minorHAnsi" w:hAnsiTheme="minorHAnsi" w:cstheme="minorHAnsi"/>
          <w:b/>
          <w:sz w:val="26"/>
          <w:szCs w:val="26"/>
          <w:lang w:val="sr-Cyrl-RS"/>
        </w:rPr>
        <w:br/>
      </w:r>
    </w:p>
    <w:p w14:paraId="7791F282" w14:textId="02C1C8CC"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lastRenderedPageBreak/>
        <w:t>Према Закону о јавном дугу, као правном основу задуживања Републике Србије, јавни дуг чине све директне обавезе Републике по основу задуживања, као и гаранције издате од Републике за задуживање јавних предузећа и локалних власти, као и других правних лица. Република се може задуживати у домаћој и страној валути, ради финансирања буџетског дефицита, дефицита текуће ликвидности, рефинансирања неизмиреног дуга, за финансирање инвестиционих пројеката, као и за извршавање обавеза по датим гаранцијама. Одредбама Закона о јавном дугу назначено је да јавни дуг представља безусловну и неопозиву обавезу Републике Србије у односу на отплату главнице, камате и осталих припадајућих трошкова</w:t>
      </w:r>
      <w:r w:rsidR="003E09E6">
        <w:rPr>
          <w:rFonts w:cstheme="minorHAnsi"/>
          <w:bCs/>
          <w:color w:val="44546A" w:themeColor="text2"/>
          <w:sz w:val="20"/>
          <w:szCs w:val="72"/>
          <w:lang w:val="sr-Cyrl-RS"/>
        </w:rPr>
        <w:t>.</w:t>
      </w:r>
    </w:p>
    <w:p w14:paraId="35116C79" w14:textId="7060B740"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За формулисање Стратегије за управљање јавним дугом коришћен је квантитативни приступ, идентификујући могућа ограничења кроз макро-економске показатеље, анализу трошкова и ризика и тржишних услова који утичу на управљање јавним дугом. У сврху анализе коришћени су инструменти ф</w:t>
      </w:r>
      <w:r w:rsidR="00543BEB">
        <w:rPr>
          <w:rFonts w:cstheme="minorHAnsi"/>
          <w:bCs/>
          <w:color w:val="44546A" w:themeColor="text2"/>
          <w:sz w:val="20"/>
          <w:szCs w:val="72"/>
          <w:lang w:val="sr-Cyrl-RS"/>
        </w:rPr>
        <w:t>инансирања доступ</w:t>
      </w:r>
      <w:r w:rsidRPr="00A37BCE">
        <w:rPr>
          <w:rFonts w:cstheme="minorHAnsi"/>
          <w:bCs/>
          <w:color w:val="44546A" w:themeColor="text2"/>
          <w:sz w:val="20"/>
          <w:szCs w:val="72"/>
          <w:lang w:val="sr-Cyrl-RS"/>
        </w:rPr>
        <w:t>ни на домаћем и међународном финансијском тржишту. Стратегија управљања јавним дугом заснива се на принципима који дефинишу потребу за транспарентним и предвидивим процесом задуживања, уз перманентан развој тржишта државних хартија од вредности и прихватљив ниво изложености финансијским ризицима.</w:t>
      </w:r>
    </w:p>
    <w:p w14:paraId="787B328C" w14:textId="2981BF86"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 xml:space="preserve">Анализирајући могуће стратегије задуживања, модел Светске банке MTDS указује да структура задуживања која се заснива на хартијама од вредности емитованим у динарима и еврима представља најбољу опцију са аспекта трошкова (ризика). Стратегија задуживања Републике Србије која је примењивана у протеклих пет година и која се заснивала на комбинацији финансирања из тржишних извора највећим делом и делимично из концесионалних извора финансирања показала је да у ситуацијама када се могу обезбедити концесионални извори финансирања треба искористити та средства, јер </w:t>
      </w:r>
      <w:r w:rsidRPr="00A37BCE">
        <w:rPr>
          <w:rFonts w:cstheme="minorHAnsi"/>
          <w:bCs/>
          <w:color w:val="44546A" w:themeColor="text2"/>
          <w:sz w:val="20"/>
          <w:szCs w:val="72"/>
          <w:lang w:val="sr-Cyrl-RS"/>
        </w:rPr>
        <w:lastRenderedPageBreak/>
        <w:t xml:space="preserve">се на тај начин смањују трошкови финансирања уз прихватљив ризик, чиме се остварује основни циљ управљања јавним дугом. Ситуација на међународном и домаћем финансијском тржишту, успешна примена мера фискалне консолидације уз добру координацију фискалне и монетарне политике у последње три године довела је до значајног пада трошкова задуживања на динарским и евро деноминованим хартијама од вредности и смањивања ризико премије за српске државне хартије од вредности на историјски минимум. Нови оквир анализе могућих стратегија задуживања заснива се на компарацији стратегије примењиване у протеклих пет година са стратегијама које се заснивају искључиво на тржишним финансијским инструментима </w:t>
      </w:r>
      <w:r w:rsidR="00543BEB" w:rsidRPr="00A37BCE">
        <w:rPr>
          <w:rFonts w:cstheme="minorHAnsi"/>
          <w:bCs/>
          <w:color w:val="44546A" w:themeColor="text2"/>
          <w:sz w:val="20"/>
          <w:szCs w:val="72"/>
          <w:lang w:val="sr-Cyrl-RS"/>
        </w:rPr>
        <w:t>деноминованим</w:t>
      </w:r>
      <w:r w:rsidRPr="00A37BCE">
        <w:rPr>
          <w:rFonts w:cstheme="minorHAnsi"/>
          <w:bCs/>
          <w:color w:val="44546A" w:themeColor="text2"/>
          <w:sz w:val="20"/>
          <w:szCs w:val="72"/>
          <w:lang w:val="sr-Cyrl-RS"/>
        </w:rPr>
        <w:t xml:space="preserve"> у динарима и еврима.</w:t>
      </w:r>
    </w:p>
    <w:p w14:paraId="294F27D6"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Фискална стратегија предвиђа смањење јавног дуга општег нивоа државе у наредном периоду до 2021. године на ниво од 46,9% БДП, при чему се у складу са Смерницама управљања јавним дугом дефинисаним од стране Светске банке и Међународног монетарног фонда, у оквиру Стратегије управљања јавним дугом врши стрес-сценарио анализа утицаја промене девизног курса домаће валуте у односу на валуте у којима је деноминован јавни дуг Републике Србије.</w:t>
      </w:r>
    </w:p>
    <w:p w14:paraId="5CB803B3" w14:textId="5C799328"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У последњих шест година учињен је значајан напредак у погледу повећања просечне рочности динарских државних хартија од вредности и смањења трошкова финансирања по основу овог вида задуживања, чиме је смањена изложеност ризику рефинансирања. Битно је напоменути да је у наведеном периоду просечна купонска стопа динарских државних хартија од вредности смањена са 12,4% колико је износила на крају септембра 2012. године на 6,9% н</w:t>
      </w:r>
      <w:r w:rsidR="003E09E6">
        <w:rPr>
          <w:rFonts w:cstheme="minorHAnsi"/>
          <w:bCs/>
          <w:color w:val="44546A" w:themeColor="text2"/>
          <w:sz w:val="20"/>
          <w:szCs w:val="72"/>
          <w:lang w:val="sr-Cyrl-RS"/>
        </w:rPr>
        <w:t>а крају септембра 2018. године.</w:t>
      </w:r>
    </w:p>
    <w:p w14:paraId="1A72C465" w14:textId="77777777" w:rsidR="003A4FB0" w:rsidRPr="00A37BCE" w:rsidRDefault="003A4FB0" w:rsidP="003A4FB0">
      <w:pPr>
        <w:rPr>
          <w:rFonts w:cstheme="minorHAnsi"/>
          <w:bCs/>
          <w:color w:val="44546A" w:themeColor="text2"/>
          <w:sz w:val="20"/>
          <w:szCs w:val="72"/>
          <w:lang w:val="sr-Cyrl-RS"/>
        </w:rPr>
      </w:pPr>
      <w:r w:rsidRPr="00A37BCE">
        <w:rPr>
          <w:rFonts w:cstheme="minorHAnsi"/>
          <w:bCs/>
          <w:color w:val="44546A" w:themeColor="text2"/>
          <w:sz w:val="20"/>
          <w:szCs w:val="72"/>
          <w:lang w:val="sr-Cyrl-RS"/>
        </w:rPr>
        <w:br w:type="page"/>
      </w:r>
    </w:p>
    <w:p w14:paraId="3FE50C6A" w14:textId="00F7B78A"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lastRenderedPageBreak/>
        <w:t xml:space="preserve">Стратегијом управљања јавним дугом се дефинишу основне мере за даљи наставак развоја динарског тржишта државних хартија од вредности, јер ће се развојем овог тржишта створити један од неопходних </w:t>
      </w:r>
      <w:r w:rsidR="00543BEB" w:rsidRPr="00A37BCE">
        <w:rPr>
          <w:rFonts w:cstheme="minorHAnsi"/>
          <w:bCs/>
          <w:color w:val="44546A" w:themeColor="text2"/>
          <w:sz w:val="20"/>
          <w:szCs w:val="72"/>
          <w:lang w:val="sr-Cyrl-RS"/>
        </w:rPr>
        <w:t>предуслова</w:t>
      </w:r>
      <w:r w:rsidRPr="00A37BCE">
        <w:rPr>
          <w:rFonts w:cstheme="minorHAnsi"/>
          <w:bCs/>
          <w:color w:val="44546A" w:themeColor="text2"/>
          <w:sz w:val="20"/>
          <w:szCs w:val="72"/>
          <w:lang w:val="sr-Cyrl-RS"/>
        </w:rPr>
        <w:t xml:space="preserve"> за повећање кредитног рејтинга Републике Србије и смањење изложености јавног дуга према девизном ризику.</w:t>
      </w:r>
    </w:p>
    <w:p w14:paraId="511A216A"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На крају септембра 2018. године укупно стање јавног дуга општег нивоа државе износило је 2.875,6 млрд динара, односно 56,7% БДП. Од тога се на директне обавезе односило 2.652,1 млрд динара, на индиректне обавезе 185,0 млрд динара, док се 38,1 млрд динара односи на негарантовани дуг јединица локалне власти и 338,8 мил. динара на негарантовани дуг ЈП ,,Путеви Србије”.</w:t>
      </w:r>
    </w:p>
    <w:p w14:paraId="7280B05A" w14:textId="77777777" w:rsidR="003A4FB0" w:rsidRPr="00A37BCE" w:rsidRDefault="003A4FB0" w:rsidP="003A4FB0">
      <w:pPr>
        <w:pStyle w:val="Caption"/>
        <w:keepNext/>
        <w:jc w:val="both"/>
        <w:rPr>
          <w:b/>
          <w:i w:val="0"/>
          <w:iCs w:val="0"/>
          <w:color w:val="002060"/>
          <w:sz w:val="20"/>
          <w:szCs w:val="22"/>
          <w:lang w:val="sr-Cyrl-RS"/>
        </w:rPr>
      </w:pPr>
      <w:r w:rsidRPr="00A37BCE">
        <w:rPr>
          <w:b/>
          <w:i w:val="0"/>
          <w:iCs w:val="0"/>
          <w:color w:val="002060"/>
          <w:sz w:val="20"/>
          <w:szCs w:val="22"/>
          <w:lang w:val="sr-Cyrl-RS"/>
        </w:rPr>
        <w:lastRenderedPageBreak/>
        <w:t>Учешће јавног дуга општег нивоа државе у БДП,%</w:t>
      </w:r>
    </w:p>
    <w:p w14:paraId="4DFA6C86" w14:textId="77777777" w:rsidR="003A4FB0" w:rsidRPr="00A37BCE" w:rsidRDefault="003A4FB0" w:rsidP="003A4FB0">
      <w:pPr>
        <w:jc w:val="both"/>
        <w:rPr>
          <w:b/>
          <w:color w:val="002060"/>
          <w:sz w:val="20"/>
          <w:lang w:val="sr-Cyrl-RS"/>
        </w:rPr>
        <w:sectPr w:rsidR="003A4FB0" w:rsidRPr="00A37BCE" w:rsidSect="00D01AB2">
          <w:type w:val="continuous"/>
          <w:pgSz w:w="12240" w:h="15840"/>
          <w:pgMar w:top="1440" w:right="1440" w:bottom="1440" w:left="1440" w:header="720" w:footer="720" w:gutter="0"/>
          <w:cols w:num="2" w:space="720"/>
          <w:docGrid w:linePitch="360"/>
        </w:sectPr>
      </w:pPr>
      <w:r w:rsidRPr="00A37BCE">
        <w:rPr>
          <w:b/>
          <w:noProof/>
          <w:color w:val="002060"/>
          <w:sz w:val="20"/>
        </w:rPr>
        <w:drawing>
          <wp:inline distT="0" distB="0" distL="0" distR="0" wp14:anchorId="3142FB1F" wp14:editId="71A8AB2D">
            <wp:extent cx="2743200" cy="31965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Javni dug 1-01.png"/>
                    <pic:cNvPicPr/>
                  </pic:nvPicPr>
                  <pic:blipFill>
                    <a:blip r:embed="rId79" cstate="print">
                      <a:extLst>
                        <a:ext uri="{28A0092B-C50C-407E-A947-70E740481C1C}">
                          <a14:useLocalDpi xmlns:a14="http://schemas.microsoft.com/office/drawing/2010/main" val="0"/>
                        </a:ext>
                      </a:extLst>
                    </a:blip>
                    <a:stretch>
                      <a:fillRect/>
                    </a:stretch>
                  </pic:blipFill>
                  <pic:spPr>
                    <a:xfrm>
                      <a:off x="0" y="0"/>
                      <a:ext cx="2743200" cy="3196590"/>
                    </a:xfrm>
                    <a:prstGeom prst="rect">
                      <a:avLst/>
                    </a:prstGeom>
                  </pic:spPr>
                </pic:pic>
              </a:graphicData>
            </a:graphic>
          </wp:inline>
        </w:drawing>
      </w:r>
    </w:p>
    <w:p w14:paraId="1B222607" w14:textId="4F703452" w:rsidR="003A4FB0" w:rsidRPr="00A37BCE" w:rsidRDefault="003A4FB0" w:rsidP="003A4FB0">
      <w:pPr>
        <w:jc w:val="center"/>
        <w:rPr>
          <w:b/>
          <w:color w:val="002060"/>
          <w:sz w:val="20"/>
          <w:lang w:val="sr-Cyrl-RS"/>
        </w:rPr>
      </w:pPr>
      <w:r w:rsidRPr="00A37BCE">
        <w:rPr>
          <w:b/>
          <w:color w:val="002060"/>
          <w:sz w:val="20"/>
          <w:lang w:val="sr-Cyrl-RS"/>
        </w:rPr>
        <w:lastRenderedPageBreak/>
        <w:t xml:space="preserve">Табела </w:t>
      </w:r>
      <w:r w:rsidR="005B01D9" w:rsidRPr="00A37BCE">
        <w:rPr>
          <w:b/>
          <w:color w:val="002060"/>
          <w:sz w:val="20"/>
          <w:lang w:val="sr-Cyrl-RS"/>
        </w:rPr>
        <w:t>22</w:t>
      </w:r>
      <w:r w:rsidRPr="00A37BCE">
        <w:rPr>
          <w:b/>
          <w:color w:val="002060"/>
          <w:sz w:val="20"/>
          <w:lang w:val="sr-Cyrl-RS"/>
        </w:rPr>
        <w:t xml:space="preserve">. </w:t>
      </w:r>
      <w:r w:rsidRPr="00A37BCE">
        <w:rPr>
          <w:b/>
          <w:bCs/>
          <w:color w:val="002060"/>
          <w:sz w:val="20"/>
          <w:lang w:val="sr-Cyrl-RS"/>
        </w:rPr>
        <w:t>Јавни дуг општег нивоа државе Репуб</w:t>
      </w:r>
      <w:r w:rsidR="00C56AD0">
        <w:rPr>
          <w:b/>
          <w:bCs/>
          <w:color w:val="002060"/>
          <w:sz w:val="20"/>
          <w:lang w:val="sr-Cyrl-RS"/>
        </w:rPr>
        <w:t xml:space="preserve">лике Србије у периоду </w:t>
      </w:r>
      <w:r w:rsidR="00C56AD0">
        <w:rPr>
          <w:b/>
          <w:bCs/>
          <w:color w:val="002060"/>
          <w:sz w:val="20"/>
          <w:lang w:val="sr-Cyrl-RS"/>
        </w:rPr>
        <w:br w:type="textWrapping" w:clear="all"/>
        <w:t>крај 2015–</w:t>
      </w:r>
      <w:r w:rsidRPr="00A37BCE">
        <w:rPr>
          <w:b/>
          <w:bCs/>
          <w:color w:val="002060"/>
          <w:sz w:val="20"/>
          <w:lang w:val="sr-Cyrl-RS"/>
        </w:rPr>
        <w:t>30. септембар 2018. године</w:t>
      </w:r>
    </w:p>
    <w:tbl>
      <w:tblPr>
        <w:tblStyle w:val="LightShading-Accent121"/>
        <w:tblW w:w="5000" w:type="pct"/>
        <w:tblLook w:val="04A0" w:firstRow="1" w:lastRow="0" w:firstColumn="1" w:lastColumn="0" w:noHBand="0" w:noVBand="1"/>
      </w:tblPr>
      <w:tblGrid>
        <w:gridCol w:w="4046"/>
        <w:gridCol w:w="1329"/>
        <w:gridCol w:w="1329"/>
        <w:gridCol w:w="1329"/>
        <w:gridCol w:w="1327"/>
      </w:tblGrid>
      <w:tr w:rsidR="003A4FB0" w:rsidRPr="00A37BCE" w14:paraId="4EF135F7" w14:textId="77777777" w:rsidTr="004E661B">
        <w:trPr>
          <w:cnfStyle w:val="100000000000" w:firstRow="1" w:lastRow="0" w:firstColumn="0" w:lastColumn="0" w:oddVBand="0" w:evenVBand="0" w:oddHBand="0" w:evenHBand="0" w:firstRowFirstColumn="0" w:firstRowLastColumn="0" w:lastRowFirstColumn="0" w:lastRowLastColumn="0"/>
          <w:trHeight w:val="14"/>
        </w:trPr>
        <w:tc>
          <w:tcPr>
            <w:cnfStyle w:val="001000000000" w:firstRow="0" w:lastRow="0" w:firstColumn="1" w:lastColumn="0" w:oddVBand="0" w:evenVBand="0" w:oddHBand="0" w:evenHBand="0" w:firstRowFirstColumn="0" w:firstRowLastColumn="0" w:lastRowFirstColumn="0" w:lastRowLastColumn="0"/>
            <w:tcW w:w="2161" w:type="pct"/>
            <w:tcBorders>
              <w:top w:val="single" w:sz="4" w:space="0" w:color="002060"/>
              <w:bottom w:val="single" w:sz="4" w:space="0" w:color="FFFFFF" w:themeColor="background1"/>
            </w:tcBorders>
            <w:shd w:val="clear" w:color="auto" w:fill="auto"/>
            <w:noWrap/>
            <w:hideMark/>
          </w:tcPr>
          <w:p w14:paraId="081989C0" w14:textId="77777777" w:rsidR="003A4FB0" w:rsidRPr="009E35F4" w:rsidRDefault="003A4FB0" w:rsidP="004E661B">
            <w:pPr>
              <w:jc w:val="center"/>
              <w:rPr>
                <w:rFonts w:asciiTheme="minorHAnsi" w:hAnsiTheme="minorHAnsi" w:cstheme="minorHAnsi"/>
                <w:color w:val="002060"/>
                <w:sz w:val="18"/>
                <w:szCs w:val="18"/>
                <w:lang w:val="sr-Cyrl-RS"/>
              </w:rPr>
            </w:pPr>
            <w:bookmarkStart w:id="20" w:name="_Hlk529193448"/>
            <w:r w:rsidRPr="009E35F4">
              <w:rPr>
                <w:rFonts w:asciiTheme="minorHAnsi" w:hAnsiTheme="minorHAnsi" w:cstheme="minorHAnsi"/>
                <w:color w:val="002060"/>
                <w:sz w:val="18"/>
                <w:szCs w:val="18"/>
                <w:lang w:val="sr-Cyrl-RS"/>
              </w:rPr>
              <w:t> </w:t>
            </w:r>
          </w:p>
        </w:tc>
        <w:tc>
          <w:tcPr>
            <w:tcW w:w="710" w:type="pct"/>
            <w:tcBorders>
              <w:top w:val="single" w:sz="4" w:space="0" w:color="002060"/>
              <w:bottom w:val="single" w:sz="4" w:space="0" w:color="002060"/>
            </w:tcBorders>
            <w:shd w:val="clear" w:color="auto" w:fill="auto"/>
            <w:vAlign w:val="center"/>
          </w:tcPr>
          <w:p w14:paraId="56C64EDC" w14:textId="77777777" w:rsidR="003A4FB0" w:rsidRPr="009E35F4" w:rsidRDefault="003A4FB0" w:rsidP="009D147F">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9E35F4">
              <w:rPr>
                <w:rFonts w:asciiTheme="minorHAnsi" w:hAnsiTheme="minorHAnsi" w:cstheme="minorHAnsi"/>
                <w:b w:val="0"/>
                <w:color w:val="002060"/>
                <w:sz w:val="18"/>
                <w:szCs w:val="18"/>
                <w:lang w:val="sr-Cyrl-RS"/>
              </w:rPr>
              <w:t>2015</w:t>
            </w:r>
          </w:p>
        </w:tc>
        <w:tc>
          <w:tcPr>
            <w:tcW w:w="710" w:type="pct"/>
            <w:tcBorders>
              <w:top w:val="single" w:sz="4" w:space="0" w:color="002060"/>
              <w:bottom w:val="single" w:sz="4" w:space="0" w:color="002060"/>
            </w:tcBorders>
            <w:shd w:val="clear" w:color="auto" w:fill="auto"/>
            <w:vAlign w:val="center"/>
          </w:tcPr>
          <w:p w14:paraId="10CC2C09" w14:textId="77777777" w:rsidR="003A4FB0" w:rsidRPr="009E35F4" w:rsidRDefault="003A4FB0" w:rsidP="009D147F">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9E35F4">
              <w:rPr>
                <w:rFonts w:asciiTheme="minorHAnsi" w:hAnsiTheme="minorHAnsi" w:cstheme="minorHAnsi"/>
                <w:b w:val="0"/>
                <w:color w:val="002060"/>
                <w:sz w:val="18"/>
                <w:szCs w:val="18"/>
                <w:lang w:val="sr-Cyrl-RS"/>
              </w:rPr>
              <w:t>2016</w:t>
            </w:r>
          </w:p>
        </w:tc>
        <w:tc>
          <w:tcPr>
            <w:tcW w:w="710" w:type="pct"/>
            <w:tcBorders>
              <w:top w:val="single" w:sz="4" w:space="0" w:color="002060"/>
              <w:bottom w:val="single" w:sz="4" w:space="0" w:color="002060"/>
            </w:tcBorders>
            <w:shd w:val="clear" w:color="auto" w:fill="auto"/>
            <w:noWrap/>
            <w:vAlign w:val="center"/>
            <w:hideMark/>
          </w:tcPr>
          <w:p w14:paraId="03C20E25" w14:textId="77777777" w:rsidR="003A4FB0" w:rsidRPr="009E35F4" w:rsidRDefault="003A4FB0" w:rsidP="009D147F">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9E35F4">
              <w:rPr>
                <w:rFonts w:asciiTheme="minorHAnsi" w:hAnsiTheme="minorHAnsi" w:cstheme="minorHAnsi"/>
                <w:b w:val="0"/>
                <w:color w:val="002060"/>
                <w:sz w:val="18"/>
                <w:szCs w:val="18"/>
                <w:lang w:val="sr-Cyrl-RS"/>
              </w:rPr>
              <w:t>2017</w:t>
            </w:r>
          </w:p>
        </w:tc>
        <w:tc>
          <w:tcPr>
            <w:tcW w:w="709" w:type="pct"/>
            <w:tcBorders>
              <w:top w:val="single" w:sz="4" w:space="0" w:color="002060"/>
              <w:bottom w:val="single" w:sz="4" w:space="0" w:color="002060"/>
            </w:tcBorders>
            <w:shd w:val="clear" w:color="auto" w:fill="auto"/>
            <w:noWrap/>
            <w:vAlign w:val="center"/>
            <w:hideMark/>
          </w:tcPr>
          <w:p w14:paraId="46A54FBF" w14:textId="77777777" w:rsidR="003A4FB0" w:rsidRPr="009E35F4" w:rsidRDefault="003A4FB0" w:rsidP="009D147F">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9E35F4">
              <w:rPr>
                <w:rFonts w:asciiTheme="minorHAnsi" w:hAnsiTheme="minorHAnsi" w:cstheme="minorHAnsi"/>
                <w:b w:val="0"/>
                <w:color w:val="002060"/>
                <w:sz w:val="18"/>
                <w:szCs w:val="18"/>
                <w:lang w:val="sr-Cyrl-RS"/>
              </w:rPr>
              <w:t>2018/IX</w:t>
            </w:r>
          </w:p>
        </w:tc>
      </w:tr>
      <w:tr w:rsidR="003A4FB0" w:rsidRPr="00A37BCE" w14:paraId="6487E1C5" w14:textId="77777777" w:rsidTr="004E661B">
        <w:trPr>
          <w:cnfStyle w:val="000000100000" w:firstRow="0" w:lastRow="0" w:firstColumn="0" w:lastColumn="0" w:oddVBand="0" w:evenVBand="0" w:oddHBand="1" w:evenHBand="0" w:firstRowFirstColumn="0" w:firstRowLastColumn="0" w:lastRowFirstColumn="0" w:lastRowLastColumn="0"/>
          <w:trHeight w:val="323"/>
        </w:trPr>
        <w:tc>
          <w:tcPr>
            <w:cnfStyle w:val="001000000000" w:firstRow="0" w:lastRow="0" w:firstColumn="1" w:lastColumn="0" w:oddVBand="0" w:evenVBand="0" w:oddHBand="0" w:evenHBand="0" w:firstRowFirstColumn="0" w:firstRowLastColumn="0" w:lastRowFirstColumn="0" w:lastRowLastColumn="0"/>
            <w:tcW w:w="2161" w:type="pct"/>
            <w:tcBorders>
              <w:top w:val="single" w:sz="4" w:space="0" w:color="FFFFFF" w:themeColor="background1"/>
            </w:tcBorders>
            <w:shd w:val="clear" w:color="auto" w:fill="auto"/>
            <w:noWrap/>
            <w:vAlign w:val="center"/>
            <w:hideMark/>
          </w:tcPr>
          <w:p w14:paraId="16B02DEF"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Јавни дуг (у млрд динара)</w:t>
            </w:r>
          </w:p>
        </w:tc>
        <w:tc>
          <w:tcPr>
            <w:tcW w:w="710" w:type="pct"/>
            <w:tcBorders>
              <w:top w:val="single" w:sz="4" w:space="0" w:color="002060"/>
            </w:tcBorders>
            <w:shd w:val="clear" w:color="auto" w:fill="auto"/>
            <w:vAlign w:val="center"/>
          </w:tcPr>
          <w:p w14:paraId="7FDEDE32" w14:textId="77777777" w:rsidR="003A4FB0" w:rsidRPr="00A37BCE" w:rsidRDefault="003A4FB0" w:rsidP="004E661B">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3.072,3</w:t>
            </w:r>
          </w:p>
        </w:tc>
        <w:tc>
          <w:tcPr>
            <w:tcW w:w="710" w:type="pct"/>
            <w:tcBorders>
              <w:top w:val="single" w:sz="4" w:space="0" w:color="002060"/>
            </w:tcBorders>
            <w:shd w:val="clear" w:color="auto" w:fill="auto"/>
            <w:vAlign w:val="center"/>
          </w:tcPr>
          <w:p w14:paraId="23FF2318" w14:textId="77777777" w:rsidR="003A4FB0" w:rsidRPr="00A37BCE" w:rsidRDefault="003A4FB0" w:rsidP="004E661B">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3.110,8</w:t>
            </w:r>
          </w:p>
        </w:tc>
        <w:tc>
          <w:tcPr>
            <w:tcW w:w="710" w:type="pct"/>
            <w:tcBorders>
              <w:top w:val="single" w:sz="4" w:space="0" w:color="002060"/>
            </w:tcBorders>
            <w:shd w:val="clear" w:color="auto" w:fill="auto"/>
            <w:noWrap/>
            <w:vAlign w:val="center"/>
            <w:hideMark/>
          </w:tcPr>
          <w:p w14:paraId="0DF21E2C" w14:textId="77777777" w:rsidR="003A4FB0" w:rsidRPr="00A37BCE" w:rsidRDefault="003A4FB0" w:rsidP="004E661B">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2.790,5</w:t>
            </w:r>
          </w:p>
        </w:tc>
        <w:tc>
          <w:tcPr>
            <w:tcW w:w="709" w:type="pct"/>
            <w:tcBorders>
              <w:top w:val="single" w:sz="4" w:space="0" w:color="002060"/>
            </w:tcBorders>
            <w:shd w:val="clear" w:color="auto" w:fill="auto"/>
            <w:noWrap/>
            <w:vAlign w:val="center"/>
            <w:hideMark/>
          </w:tcPr>
          <w:p w14:paraId="1C7C3848" w14:textId="77777777" w:rsidR="003A4FB0" w:rsidRPr="00A37BCE" w:rsidRDefault="003A4FB0" w:rsidP="004E661B">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2.875,6</w:t>
            </w:r>
          </w:p>
        </w:tc>
      </w:tr>
      <w:tr w:rsidR="003A4FB0" w:rsidRPr="00A37BCE" w14:paraId="52F61E16" w14:textId="77777777" w:rsidTr="004E661B">
        <w:trPr>
          <w:trHeight w:val="252"/>
        </w:trPr>
        <w:tc>
          <w:tcPr>
            <w:cnfStyle w:val="001000000000" w:firstRow="0" w:lastRow="0" w:firstColumn="1" w:lastColumn="0" w:oddVBand="0" w:evenVBand="0" w:oddHBand="0" w:evenHBand="0" w:firstRowFirstColumn="0" w:firstRowLastColumn="0" w:lastRowFirstColumn="0" w:lastRowLastColumn="0"/>
            <w:tcW w:w="2161" w:type="pct"/>
            <w:shd w:val="clear" w:color="auto" w:fill="auto"/>
            <w:noWrap/>
            <w:vAlign w:val="center"/>
            <w:hideMark/>
          </w:tcPr>
          <w:p w14:paraId="4BED2492"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Јавни дуг (у мил. евра)</w:t>
            </w:r>
          </w:p>
        </w:tc>
        <w:tc>
          <w:tcPr>
            <w:tcW w:w="710" w:type="pct"/>
            <w:shd w:val="clear" w:color="auto" w:fill="auto"/>
            <w:vAlign w:val="center"/>
          </w:tcPr>
          <w:p w14:paraId="63A0E55B" w14:textId="77777777" w:rsidR="003A4FB0" w:rsidRPr="00A37BCE" w:rsidRDefault="003A4FB0" w:rsidP="004E661B">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25.260,1</w:t>
            </w:r>
          </w:p>
        </w:tc>
        <w:tc>
          <w:tcPr>
            <w:tcW w:w="710" w:type="pct"/>
            <w:shd w:val="clear" w:color="auto" w:fill="auto"/>
            <w:vAlign w:val="center"/>
          </w:tcPr>
          <w:p w14:paraId="2E8BB89D" w14:textId="77777777" w:rsidR="003A4FB0" w:rsidRPr="00A37BCE" w:rsidRDefault="003A4FB0" w:rsidP="004E661B">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25.194,3</w:t>
            </w:r>
          </w:p>
        </w:tc>
        <w:tc>
          <w:tcPr>
            <w:tcW w:w="710" w:type="pct"/>
            <w:shd w:val="clear" w:color="auto" w:fill="auto"/>
            <w:noWrap/>
            <w:vAlign w:val="center"/>
            <w:hideMark/>
          </w:tcPr>
          <w:p w14:paraId="41362FBC" w14:textId="77777777" w:rsidR="003A4FB0" w:rsidRPr="00A37BCE" w:rsidRDefault="003A4FB0" w:rsidP="004E661B">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23.554,0</w:t>
            </w:r>
          </w:p>
        </w:tc>
        <w:tc>
          <w:tcPr>
            <w:tcW w:w="709" w:type="pct"/>
            <w:shd w:val="clear" w:color="auto" w:fill="auto"/>
            <w:noWrap/>
            <w:vAlign w:val="center"/>
            <w:hideMark/>
          </w:tcPr>
          <w:p w14:paraId="56D20AD3" w14:textId="77777777" w:rsidR="003A4FB0" w:rsidRPr="00A37BCE" w:rsidRDefault="003A4FB0" w:rsidP="004E661B">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24.283,2</w:t>
            </w:r>
          </w:p>
        </w:tc>
      </w:tr>
      <w:tr w:rsidR="003A4FB0" w:rsidRPr="00A37BCE" w14:paraId="7ABC061C" w14:textId="77777777" w:rsidTr="004E661B">
        <w:trPr>
          <w:cnfStyle w:val="000000100000" w:firstRow="0" w:lastRow="0" w:firstColumn="0" w:lastColumn="0" w:oddVBand="0" w:evenVBand="0" w:oddHBand="1" w:evenHBand="0" w:firstRowFirstColumn="0" w:firstRowLastColumn="0" w:lastRowFirstColumn="0" w:lastRowLastColumn="0"/>
          <w:trHeight w:val="333"/>
        </w:trPr>
        <w:tc>
          <w:tcPr>
            <w:cnfStyle w:val="001000000000" w:firstRow="0" w:lastRow="0" w:firstColumn="1" w:lastColumn="0" w:oddVBand="0" w:evenVBand="0" w:oddHBand="0" w:evenHBand="0" w:firstRowFirstColumn="0" w:firstRowLastColumn="0" w:lastRowFirstColumn="0" w:lastRowLastColumn="0"/>
            <w:tcW w:w="2161" w:type="pct"/>
            <w:tcBorders>
              <w:bottom w:val="single" w:sz="4" w:space="0" w:color="002060"/>
            </w:tcBorders>
            <w:shd w:val="clear" w:color="auto" w:fill="auto"/>
            <w:noWrap/>
            <w:vAlign w:val="center"/>
            <w:hideMark/>
          </w:tcPr>
          <w:p w14:paraId="46ED1F3D"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Јавни дуг (у мил. долара)</w:t>
            </w:r>
          </w:p>
        </w:tc>
        <w:tc>
          <w:tcPr>
            <w:tcW w:w="710" w:type="pct"/>
            <w:tcBorders>
              <w:bottom w:val="single" w:sz="4" w:space="0" w:color="002060"/>
            </w:tcBorders>
            <w:shd w:val="clear" w:color="auto" w:fill="auto"/>
            <w:vAlign w:val="center"/>
          </w:tcPr>
          <w:p w14:paraId="11D43A8F" w14:textId="77777777" w:rsidR="003A4FB0" w:rsidRPr="00A37BCE" w:rsidRDefault="003A4FB0" w:rsidP="004E661B">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27.616,9</w:t>
            </w:r>
          </w:p>
        </w:tc>
        <w:tc>
          <w:tcPr>
            <w:tcW w:w="710" w:type="pct"/>
            <w:tcBorders>
              <w:bottom w:val="single" w:sz="4" w:space="0" w:color="002060"/>
            </w:tcBorders>
            <w:shd w:val="clear" w:color="auto" w:fill="auto"/>
            <w:vAlign w:val="center"/>
          </w:tcPr>
          <w:p w14:paraId="15D739CC" w14:textId="77777777" w:rsidR="003A4FB0" w:rsidRPr="00A37BCE" w:rsidRDefault="003A4FB0" w:rsidP="004E661B">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26.557,3</w:t>
            </w:r>
          </w:p>
        </w:tc>
        <w:tc>
          <w:tcPr>
            <w:tcW w:w="710" w:type="pct"/>
            <w:tcBorders>
              <w:bottom w:val="single" w:sz="4" w:space="0" w:color="002060"/>
            </w:tcBorders>
            <w:shd w:val="clear" w:color="auto" w:fill="auto"/>
            <w:noWrap/>
            <w:vAlign w:val="center"/>
            <w:hideMark/>
          </w:tcPr>
          <w:p w14:paraId="7CD10346" w14:textId="77777777" w:rsidR="003A4FB0" w:rsidRPr="00A37BCE" w:rsidRDefault="003A4FB0" w:rsidP="004E661B">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28.154,0</w:t>
            </w:r>
          </w:p>
        </w:tc>
        <w:tc>
          <w:tcPr>
            <w:tcW w:w="709" w:type="pct"/>
            <w:tcBorders>
              <w:bottom w:val="single" w:sz="4" w:space="0" w:color="002060"/>
            </w:tcBorders>
            <w:shd w:val="clear" w:color="auto" w:fill="auto"/>
            <w:noWrap/>
            <w:vAlign w:val="center"/>
            <w:hideMark/>
          </w:tcPr>
          <w:p w14:paraId="79778F29" w14:textId="77777777" w:rsidR="003A4FB0" w:rsidRPr="00A37BCE" w:rsidRDefault="003A4FB0" w:rsidP="004E661B">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28.277,8</w:t>
            </w:r>
          </w:p>
        </w:tc>
      </w:tr>
      <w:bookmarkEnd w:id="20"/>
    </w:tbl>
    <w:p w14:paraId="1A4367DF" w14:textId="77777777" w:rsidR="003A4FB0" w:rsidRPr="00A37BCE" w:rsidRDefault="003A4FB0" w:rsidP="003A4FB0">
      <w:pPr>
        <w:jc w:val="both"/>
        <w:rPr>
          <w:b/>
          <w:color w:val="002060"/>
          <w:sz w:val="20"/>
          <w:lang w:val="sr-Cyrl-RS"/>
        </w:rPr>
      </w:pPr>
    </w:p>
    <w:p w14:paraId="26F487B1" w14:textId="77777777" w:rsidR="003A4FB0" w:rsidRPr="00A37BCE" w:rsidRDefault="003A4FB0" w:rsidP="003A4FB0">
      <w:pPr>
        <w:jc w:val="both"/>
        <w:rPr>
          <w:rFonts w:cstheme="minorHAnsi"/>
          <w:bCs/>
          <w:color w:val="44546A" w:themeColor="text2"/>
          <w:sz w:val="20"/>
          <w:szCs w:val="72"/>
          <w:lang w:val="sr-Cyrl-RS"/>
        </w:rPr>
        <w:sectPr w:rsidR="003A4FB0" w:rsidRPr="00A37BCE" w:rsidSect="004E661B">
          <w:type w:val="continuous"/>
          <w:pgSz w:w="12240" w:h="15840"/>
          <w:pgMar w:top="1440" w:right="1440" w:bottom="1440" w:left="1440" w:header="720" w:footer="720" w:gutter="0"/>
          <w:cols w:space="720"/>
          <w:docGrid w:linePitch="360"/>
        </w:sectPr>
      </w:pPr>
    </w:p>
    <w:p w14:paraId="0E065530" w14:textId="3AE84204" w:rsidR="003A4FB0" w:rsidRPr="00A37BCE" w:rsidRDefault="003A4FB0" w:rsidP="003A4FB0">
      <w:pPr>
        <w:jc w:val="both"/>
        <w:rPr>
          <w:rFonts w:cstheme="minorHAnsi"/>
          <w:bCs/>
          <w:color w:val="44546A" w:themeColor="text2"/>
          <w:sz w:val="20"/>
          <w:szCs w:val="72"/>
          <w:lang w:val="sr-Cyrl-RS"/>
        </w:rPr>
        <w:sectPr w:rsidR="003A4FB0" w:rsidRPr="00A37BCE" w:rsidSect="004E661B">
          <w:type w:val="continuous"/>
          <w:pgSz w:w="12240" w:h="15840"/>
          <w:pgMar w:top="1440" w:right="1440" w:bottom="1440" w:left="1440" w:header="720" w:footer="720" w:gutter="0"/>
          <w:cols w:num="2" w:space="720"/>
          <w:docGrid w:linePitch="360"/>
        </w:sectPr>
      </w:pPr>
      <w:r w:rsidRPr="00A37BCE">
        <w:rPr>
          <w:rFonts w:cstheme="minorHAnsi"/>
          <w:bCs/>
          <w:color w:val="44546A" w:themeColor="text2"/>
          <w:sz w:val="20"/>
          <w:szCs w:val="72"/>
          <w:lang w:val="sr-Cyrl-RS"/>
        </w:rPr>
        <w:lastRenderedPageBreak/>
        <w:t xml:space="preserve">У првих девет месеци 2018. године приметно је смањење јавног дуга централног нивоа власти по основу готово свих ино валута у којима је оригинално деноминован, док у динарима постоји раст од 100,8 млрд динара, а складу са дефинисаним стратешким оквиром и тежњом да се </w:t>
      </w:r>
      <w:r w:rsidR="00543BEB" w:rsidRPr="00A37BCE">
        <w:rPr>
          <w:rFonts w:cstheme="minorHAnsi"/>
          <w:bCs/>
          <w:color w:val="44546A" w:themeColor="text2"/>
          <w:sz w:val="20"/>
          <w:szCs w:val="72"/>
          <w:lang w:val="sr-Cyrl-RS"/>
        </w:rPr>
        <w:t>смањи</w:t>
      </w:r>
      <w:r w:rsidRPr="00A37BCE">
        <w:rPr>
          <w:rFonts w:cstheme="minorHAnsi"/>
          <w:bCs/>
          <w:color w:val="44546A" w:themeColor="text2"/>
          <w:sz w:val="20"/>
          <w:szCs w:val="72"/>
          <w:lang w:val="sr-Cyrl-RS"/>
        </w:rPr>
        <w:t xml:space="preserve"> валутни ризик и дође до раста учешћа дуга у динарима у укупном јавном дугу. Дуг </w:t>
      </w:r>
      <w:r w:rsidRPr="00A37BCE">
        <w:rPr>
          <w:rFonts w:cstheme="minorHAnsi"/>
          <w:bCs/>
          <w:color w:val="44546A" w:themeColor="text2"/>
          <w:sz w:val="20"/>
          <w:szCs w:val="72"/>
          <w:lang w:val="sr-Cyrl-RS"/>
        </w:rPr>
        <w:lastRenderedPageBreak/>
        <w:t>деноминован у америчким доларима за првих девет месеци 2018. године се смањио за 224,3 мил. америчких долара и очекује се значајан пад до краја 2018. године, након што буде отплаћена еврообвезница Србија 2018 у износу од 1 млрд америчких долара. Дуг деноминован у еврима је смањен у истом периоду за 242,3 мил. евра.</w:t>
      </w:r>
    </w:p>
    <w:p w14:paraId="23FEDBA5" w14:textId="035B7F85" w:rsidR="003A4FB0" w:rsidRPr="00A37BCE" w:rsidRDefault="003A4FB0" w:rsidP="00D558B2">
      <w:pPr>
        <w:jc w:val="center"/>
        <w:rPr>
          <w:b/>
          <w:color w:val="002060"/>
          <w:sz w:val="20"/>
          <w:lang w:val="sr-Cyrl-RS"/>
        </w:rPr>
      </w:pPr>
      <w:r w:rsidRPr="00A37BCE">
        <w:rPr>
          <w:b/>
          <w:color w:val="002060"/>
          <w:sz w:val="20"/>
          <w:lang w:val="sr-Cyrl-RS"/>
        </w:rPr>
        <w:lastRenderedPageBreak/>
        <w:t xml:space="preserve">Табела </w:t>
      </w:r>
      <w:r w:rsidR="005B01D9" w:rsidRPr="00A37BCE">
        <w:rPr>
          <w:b/>
          <w:color w:val="002060"/>
          <w:sz w:val="20"/>
          <w:lang w:val="sr-Cyrl-RS"/>
        </w:rPr>
        <w:t>23</w:t>
      </w:r>
      <w:r w:rsidRPr="00A37BCE">
        <w:rPr>
          <w:b/>
          <w:color w:val="002060"/>
          <w:sz w:val="20"/>
          <w:lang w:val="sr-Cyrl-RS"/>
        </w:rPr>
        <w:t xml:space="preserve">. Стање јавног дуга централног нивоа државе по оригиналним валутама у периоду </w:t>
      </w:r>
      <w:r w:rsidR="00D558B2">
        <w:rPr>
          <w:b/>
          <w:color w:val="002060"/>
          <w:sz w:val="20"/>
          <w:lang w:val="sr-Cyrl-RS"/>
        </w:rPr>
        <w:br/>
      </w:r>
      <w:r w:rsidRPr="00A37BCE">
        <w:rPr>
          <w:b/>
          <w:color w:val="002060"/>
          <w:sz w:val="20"/>
          <w:lang w:val="sr-Cyrl-RS"/>
        </w:rPr>
        <w:t>201</w:t>
      </w:r>
      <w:r w:rsidR="00195D34">
        <w:rPr>
          <w:b/>
          <w:color w:val="002060"/>
          <w:sz w:val="20"/>
          <w:lang w:val="sr-Latn-RS"/>
        </w:rPr>
        <w:t>5</w:t>
      </w:r>
      <w:r w:rsidR="00D558B2">
        <w:rPr>
          <w:b/>
          <w:color w:val="002060"/>
          <w:sz w:val="20"/>
          <w:lang w:val="sr-Cyrl-RS"/>
        </w:rPr>
        <w:t>–</w:t>
      </w:r>
      <w:r w:rsidRPr="00A37BCE">
        <w:rPr>
          <w:b/>
          <w:color w:val="002060"/>
          <w:sz w:val="20"/>
          <w:lang w:val="sr-Cyrl-RS"/>
        </w:rPr>
        <w:t>30. септембар 2018. године, у милионима</w:t>
      </w:r>
    </w:p>
    <w:tbl>
      <w:tblPr>
        <w:tblStyle w:val="LightShading-Accent121"/>
        <w:tblW w:w="5000" w:type="pct"/>
        <w:tblInd w:w="-48" w:type="dxa"/>
        <w:tblLook w:val="04A0" w:firstRow="1" w:lastRow="0" w:firstColumn="1" w:lastColumn="0" w:noHBand="0" w:noVBand="1"/>
      </w:tblPr>
      <w:tblGrid>
        <w:gridCol w:w="3230"/>
        <w:gridCol w:w="1532"/>
        <w:gridCol w:w="1534"/>
        <w:gridCol w:w="1531"/>
        <w:gridCol w:w="1533"/>
      </w:tblGrid>
      <w:tr w:rsidR="003A4FB0" w:rsidRPr="00A37BCE" w14:paraId="27072553" w14:textId="77777777" w:rsidTr="009D147F">
        <w:trPr>
          <w:cnfStyle w:val="100000000000" w:firstRow="1" w:lastRow="0" w:firstColumn="0" w:lastColumn="0" w:oddVBand="0" w:evenVBand="0" w:oddHBand="0"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1725" w:type="pct"/>
            <w:tcBorders>
              <w:top w:val="single" w:sz="4" w:space="0" w:color="002060"/>
              <w:bottom w:val="single" w:sz="4" w:space="0" w:color="FFFFFF" w:themeColor="background1"/>
            </w:tcBorders>
            <w:shd w:val="clear" w:color="auto" w:fill="auto"/>
            <w:noWrap/>
            <w:hideMark/>
          </w:tcPr>
          <w:p w14:paraId="033D0E2E" w14:textId="77777777" w:rsidR="003A4FB0" w:rsidRPr="009E35F4" w:rsidRDefault="003A4FB0" w:rsidP="004E661B">
            <w:pPr>
              <w:jc w:val="right"/>
              <w:rPr>
                <w:rFonts w:asciiTheme="minorHAnsi" w:hAnsiTheme="minorHAnsi" w:cstheme="minorHAnsi"/>
                <w:b w:val="0"/>
                <w:bCs w:val="0"/>
                <w:color w:val="002060"/>
                <w:sz w:val="18"/>
                <w:szCs w:val="18"/>
                <w:lang w:val="sr-Cyrl-RS"/>
              </w:rPr>
            </w:pPr>
            <w:r w:rsidRPr="009E35F4">
              <w:rPr>
                <w:rFonts w:asciiTheme="minorHAnsi" w:hAnsiTheme="minorHAnsi" w:cstheme="minorHAnsi"/>
                <w:b w:val="0"/>
                <w:bCs w:val="0"/>
                <w:color w:val="002060"/>
                <w:sz w:val="18"/>
                <w:szCs w:val="18"/>
                <w:lang w:val="sr-Cyrl-RS"/>
              </w:rPr>
              <w:t> </w:t>
            </w:r>
          </w:p>
        </w:tc>
        <w:tc>
          <w:tcPr>
            <w:tcW w:w="818" w:type="pct"/>
            <w:tcBorders>
              <w:top w:val="single" w:sz="4" w:space="0" w:color="002060"/>
              <w:bottom w:val="single" w:sz="4" w:space="0" w:color="002060"/>
            </w:tcBorders>
            <w:shd w:val="clear" w:color="auto" w:fill="auto"/>
            <w:noWrap/>
            <w:hideMark/>
          </w:tcPr>
          <w:p w14:paraId="5855A7E4" w14:textId="77777777" w:rsidR="003A4FB0" w:rsidRPr="009E35F4" w:rsidRDefault="003A4FB0" w:rsidP="009D147F">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2060"/>
                <w:sz w:val="18"/>
                <w:szCs w:val="18"/>
                <w:lang w:val="sr-Cyrl-RS"/>
              </w:rPr>
            </w:pPr>
            <w:r w:rsidRPr="009E35F4">
              <w:rPr>
                <w:rFonts w:asciiTheme="minorHAnsi" w:hAnsiTheme="minorHAnsi" w:cstheme="minorHAnsi"/>
                <w:b w:val="0"/>
                <w:bCs w:val="0"/>
                <w:color w:val="002060"/>
                <w:sz w:val="18"/>
                <w:szCs w:val="18"/>
                <w:lang w:val="sr-Cyrl-RS"/>
              </w:rPr>
              <w:t xml:space="preserve">        2015</w:t>
            </w:r>
          </w:p>
        </w:tc>
        <w:tc>
          <w:tcPr>
            <w:tcW w:w="819" w:type="pct"/>
            <w:tcBorders>
              <w:top w:val="single" w:sz="4" w:space="0" w:color="002060"/>
              <w:bottom w:val="single" w:sz="4" w:space="0" w:color="002060"/>
            </w:tcBorders>
            <w:shd w:val="clear" w:color="auto" w:fill="auto"/>
            <w:noWrap/>
            <w:hideMark/>
          </w:tcPr>
          <w:p w14:paraId="6916C3F9" w14:textId="77777777" w:rsidR="003A4FB0" w:rsidRPr="009E35F4" w:rsidRDefault="003A4FB0" w:rsidP="009D147F">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2060"/>
                <w:sz w:val="18"/>
                <w:szCs w:val="18"/>
                <w:lang w:val="sr-Cyrl-RS"/>
              </w:rPr>
            </w:pPr>
            <w:r w:rsidRPr="009E35F4">
              <w:rPr>
                <w:rFonts w:asciiTheme="minorHAnsi" w:hAnsiTheme="minorHAnsi" w:cstheme="minorHAnsi"/>
                <w:b w:val="0"/>
                <w:bCs w:val="0"/>
                <w:color w:val="002060"/>
                <w:sz w:val="18"/>
                <w:szCs w:val="18"/>
                <w:lang w:val="sr-Cyrl-RS"/>
              </w:rPr>
              <w:t>2016</w:t>
            </w:r>
          </w:p>
        </w:tc>
        <w:tc>
          <w:tcPr>
            <w:tcW w:w="818" w:type="pct"/>
            <w:tcBorders>
              <w:top w:val="single" w:sz="4" w:space="0" w:color="002060"/>
              <w:bottom w:val="single" w:sz="4" w:space="0" w:color="002060"/>
            </w:tcBorders>
            <w:shd w:val="clear" w:color="auto" w:fill="auto"/>
            <w:noWrap/>
            <w:hideMark/>
          </w:tcPr>
          <w:p w14:paraId="296918C0" w14:textId="77777777" w:rsidR="003A4FB0" w:rsidRPr="009E35F4" w:rsidRDefault="003A4FB0" w:rsidP="009D147F">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2060"/>
                <w:sz w:val="18"/>
                <w:szCs w:val="18"/>
                <w:lang w:val="sr-Cyrl-RS"/>
              </w:rPr>
            </w:pPr>
            <w:r w:rsidRPr="009E35F4">
              <w:rPr>
                <w:rFonts w:asciiTheme="minorHAnsi" w:hAnsiTheme="minorHAnsi" w:cstheme="minorHAnsi"/>
                <w:b w:val="0"/>
                <w:bCs w:val="0"/>
                <w:color w:val="002060"/>
                <w:sz w:val="18"/>
                <w:szCs w:val="18"/>
                <w:lang w:val="sr-Cyrl-RS"/>
              </w:rPr>
              <w:t>2017</w:t>
            </w:r>
          </w:p>
        </w:tc>
        <w:tc>
          <w:tcPr>
            <w:tcW w:w="819" w:type="pct"/>
            <w:tcBorders>
              <w:top w:val="single" w:sz="4" w:space="0" w:color="002060"/>
              <w:bottom w:val="single" w:sz="4" w:space="0" w:color="002060"/>
            </w:tcBorders>
            <w:shd w:val="clear" w:color="auto" w:fill="auto"/>
            <w:noWrap/>
            <w:hideMark/>
          </w:tcPr>
          <w:p w14:paraId="3FE749CD" w14:textId="77777777" w:rsidR="003A4FB0" w:rsidRPr="009E35F4" w:rsidRDefault="003A4FB0" w:rsidP="009D147F">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2060"/>
                <w:sz w:val="18"/>
                <w:szCs w:val="18"/>
                <w:lang w:val="sr-Cyrl-RS"/>
              </w:rPr>
            </w:pPr>
            <w:r w:rsidRPr="009E35F4">
              <w:rPr>
                <w:rFonts w:asciiTheme="minorHAnsi" w:hAnsiTheme="minorHAnsi" w:cstheme="minorHAnsi"/>
                <w:b w:val="0"/>
                <w:bCs w:val="0"/>
                <w:color w:val="002060"/>
                <w:sz w:val="18"/>
                <w:szCs w:val="18"/>
                <w:lang w:val="sr-Cyrl-RS"/>
              </w:rPr>
              <w:t>2018/IX</w:t>
            </w:r>
          </w:p>
        </w:tc>
      </w:tr>
      <w:tr w:rsidR="003A4FB0" w:rsidRPr="00A37BCE" w14:paraId="032DC2F3" w14:textId="77777777" w:rsidTr="009D147F">
        <w:trPr>
          <w:cnfStyle w:val="000000100000" w:firstRow="0" w:lastRow="0" w:firstColumn="0" w:lastColumn="0" w:oddVBand="0" w:evenVBand="0" w:oddHBand="1"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1725" w:type="pct"/>
            <w:tcBorders>
              <w:top w:val="single" w:sz="4" w:space="0" w:color="FFFFFF" w:themeColor="background1"/>
            </w:tcBorders>
            <w:shd w:val="clear" w:color="auto" w:fill="auto"/>
            <w:noWrap/>
            <w:hideMark/>
          </w:tcPr>
          <w:p w14:paraId="582FB18D"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ЕУР</w:t>
            </w:r>
          </w:p>
        </w:tc>
        <w:tc>
          <w:tcPr>
            <w:tcW w:w="818" w:type="pct"/>
            <w:tcBorders>
              <w:top w:val="single" w:sz="4" w:space="0" w:color="002060"/>
            </w:tcBorders>
            <w:shd w:val="clear" w:color="auto" w:fill="auto"/>
            <w:noWrap/>
            <w:hideMark/>
          </w:tcPr>
          <w:p w14:paraId="38BB443E" w14:textId="77777777" w:rsidR="003A4FB0" w:rsidRPr="00A37BCE" w:rsidRDefault="003A4FB0" w:rsidP="004E661B">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9.885,4</w:t>
            </w:r>
          </w:p>
        </w:tc>
        <w:tc>
          <w:tcPr>
            <w:tcW w:w="819" w:type="pct"/>
            <w:tcBorders>
              <w:top w:val="single" w:sz="4" w:space="0" w:color="002060"/>
            </w:tcBorders>
            <w:shd w:val="clear" w:color="auto" w:fill="auto"/>
            <w:noWrap/>
            <w:hideMark/>
          </w:tcPr>
          <w:p w14:paraId="0335C616" w14:textId="77777777" w:rsidR="003A4FB0" w:rsidRPr="00A37BCE" w:rsidRDefault="003A4FB0" w:rsidP="004E661B">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9.862,6</w:t>
            </w:r>
          </w:p>
        </w:tc>
        <w:tc>
          <w:tcPr>
            <w:tcW w:w="818" w:type="pct"/>
            <w:tcBorders>
              <w:top w:val="single" w:sz="4" w:space="0" w:color="002060"/>
            </w:tcBorders>
            <w:shd w:val="clear" w:color="auto" w:fill="auto"/>
            <w:noWrap/>
            <w:hideMark/>
          </w:tcPr>
          <w:p w14:paraId="40FCD903" w14:textId="77777777" w:rsidR="003A4FB0" w:rsidRPr="00A37BCE" w:rsidRDefault="003A4FB0" w:rsidP="004E661B">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9.656,4</w:t>
            </w:r>
          </w:p>
        </w:tc>
        <w:tc>
          <w:tcPr>
            <w:tcW w:w="819" w:type="pct"/>
            <w:tcBorders>
              <w:top w:val="single" w:sz="4" w:space="0" w:color="002060"/>
            </w:tcBorders>
            <w:shd w:val="clear" w:color="auto" w:fill="auto"/>
            <w:noWrap/>
            <w:hideMark/>
          </w:tcPr>
          <w:p w14:paraId="3F1E2993" w14:textId="77777777" w:rsidR="003A4FB0" w:rsidRPr="00A37BCE" w:rsidRDefault="003A4FB0" w:rsidP="004E661B">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9.414,2</w:t>
            </w:r>
          </w:p>
        </w:tc>
      </w:tr>
      <w:tr w:rsidR="003A4FB0" w:rsidRPr="00A37BCE" w14:paraId="5F86EBC0" w14:textId="77777777" w:rsidTr="009D147F">
        <w:trPr>
          <w:trHeight w:val="258"/>
        </w:trPr>
        <w:tc>
          <w:tcPr>
            <w:cnfStyle w:val="001000000000" w:firstRow="0" w:lastRow="0" w:firstColumn="1" w:lastColumn="0" w:oddVBand="0" w:evenVBand="0" w:oddHBand="0" w:evenHBand="0" w:firstRowFirstColumn="0" w:firstRowLastColumn="0" w:lastRowFirstColumn="0" w:lastRowLastColumn="0"/>
            <w:tcW w:w="1725" w:type="pct"/>
            <w:shd w:val="clear" w:color="auto" w:fill="auto"/>
            <w:noWrap/>
            <w:hideMark/>
          </w:tcPr>
          <w:p w14:paraId="0D9C8FE4"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УСД</w:t>
            </w:r>
          </w:p>
        </w:tc>
        <w:tc>
          <w:tcPr>
            <w:tcW w:w="818" w:type="pct"/>
            <w:shd w:val="clear" w:color="auto" w:fill="auto"/>
            <w:noWrap/>
            <w:hideMark/>
          </w:tcPr>
          <w:p w14:paraId="4A48C65E" w14:textId="77777777" w:rsidR="003A4FB0" w:rsidRPr="00A37BCE" w:rsidRDefault="003A4FB0" w:rsidP="004E661B">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8.934,6</w:t>
            </w:r>
          </w:p>
        </w:tc>
        <w:tc>
          <w:tcPr>
            <w:tcW w:w="819" w:type="pct"/>
            <w:shd w:val="clear" w:color="auto" w:fill="auto"/>
            <w:noWrap/>
            <w:hideMark/>
          </w:tcPr>
          <w:p w14:paraId="64EED8E4" w14:textId="77777777" w:rsidR="003A4FB0" w:rsidRPr="00A37BCE" w:rsidRDefault="003A4FB0" w:rsidP="004E661B">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8.861,4</w:t>
            </w:r>
          </w:p>
        </w:tc>
        <w:tc>
          <w:tcPr>
            <w:tcW w:w="818" w:type="pct"/>
            <w:shd w:val="clear" w:color="auto" w:fill="auto"/>
            <w:noWrap/>
            <w:hideMark/>
          </w:tcPr>
          <w:p w14:paraId="3A038D60" w14:textId="77777777" w:rsidR="003A4FB0" w:rsidRPr="00A37BCE" w:rsidRDefault="003A4FB0" w:rsidP="004E661B">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8.181,3</w:t>
            </w:r>
          </w:p>
        </w:tc>
        <w:tc>
          <w:tcPr>
            <w:tcW w:w="819" w:type="pct"/>
            <w:shd w:val="clear" w:color="auto" w:fill="auto"/>
            <w:noWrap/>
            <w:hideMark/>
          </w:tcPr>
          <w:p w14:paraId="355380F4" w14:textId="77777777" w:rsidR="003A4FB0" w:rsidRPr="00A37BCE" w:rsidRDefault="003A4FB0" w:rsidP="004E661B">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7.956,9</w:t>
            </w:r>
          </w:p>
        </w:tc>
      </w:tr>
      <w:tr w:rsidR="003A4FB0" w:rsidRPr="00A37BCE" w14:paraId="20CBA0F6" w14:textId="77777777" w:rsidTr="009D147F">
        <w:trPr>
          <w:cnfStyle w:val="000000100000" w:firstRow="0" w:lastRow="0" w:firstColumn="0" w:lastColumn="0" w:oddVBand="0" w:evenVBand="0" w:oddHBand="1"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1725" w:type="pct"/>
            <w:shd w:val="clear" w:color="auto" w:fill="auto"/>
            <w:noWrap/>
            <w:hideMark/>
          </w:tcPr>
          <w:p w14:paraId="560F2028"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РСД</w:t>
            </w:r>
          </w:p>
        </w:tc>
        <w:tc>
          <w:tcPr>
            <w:tcW w:w="818" w:type="pct"/>
            <w:shd w:val="clear" w:color="auto" w:fill="auto"/>
            <w:noWrap/>
            <w:hideMark/>
          </w:tcPr>
          <w:p w14:paraId="1D517E97" w14:textId="77777777" w:rsidR="003A4FB0" w:rsidRPr="00A37BCE" w:rsidRDefault="003A4FB0" w:rsidP="004E661B">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668.939,4</w:t>
            </w:r>
          </w:p>
        </w:tc>
        <w:tc>
          <w:tcPr>
            <w:tcW w:w="819" w:type="pct"/>
            <w:shd w:val="clear" w:color="auto" w:fill="auto"/>
            <w:noWrap/>
            <w:hideMark/>
          </w:tcPr>
          <w:p w14:paraId="5A723B73" w14:textId="77777777" w:rsidR="003A4FB0" w:rsidRPr="00A37BCE" w:rsidRDefault="003A4FB0" w:rsidP="004E661B">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639.844,1</w:t>
            </w:r>
          </w:p>
        </w:tc>
        <w:tc>
          <w:tcPr>
            <w:tcW w:w="818" w:type="pct"/>
            <w:shd w:val="clear" w:color="auto" w:fill="auto"/>
            <w:noWrap/>
            <w:hideMark/>
          </w:tcPr>
          <w:p w14:paraId="6B5F8763" w14:textId="77777777" w:rsidR="003A4FB0" w:rsidRPr="00A37BCE" w:rsidRDefault="003A4FB0" w:rsidP="004E661B">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632.485,6</w:t>
            </w:r>
          </w:p>
        </w:tc>
        <w:tc>
          <w:tcPr>
            <w:tcW w:w="819" w:type="pct"/>
            <w:shd w:val="clear" w:color="auto" w:fill="auto"/>
            <w:noWrap/>
            <w:hideMark/>
          </w:tcPr>
          <w:p w14:paraId="4AD9CE49" w14:textId="77777777" w:rsidR="003A4FB0" w:rsidRPr="00A37BCE" w:rsidRDefault="003A4FB0" w:rsidP="004E661B">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733.316,2</w:t>
            </w:r>
          </w:p>
        </w:tc>
      </w:tr>
      <w:tr w:rsidR="003A4FB0" w:rsidRPr="00A37BCE" w14:paraId="4A727277" w14:textId="77777777" w:rsidTr="009D147F">
        <w:trPr>
          <w:trHeight w:val="258"/>
        </w:trPr>
        <w:tc>
          <w:tcPr>
            <w:cnfStyle w:val="001000000000" w:firstRow="0" w:lastRow="0" w:firstColumn="1" w:lastColumn="0" w:oddVBand="0" w:evenVBand="0" w:oddHBand="0" w:evenHBand="0" w:firstRowFirstColumn="0" w:firstRowLastColumn="0" w:lastRowFirstColumn="0" w:lastRowLastColumn="0"/>
            <w:tcW w:w="1725" w:type="pct"/>
            <w:shd w:val="clear" w:color="auto" w:fill="auto"/>
            <w:noWrap/>
          </w:tcPr>
          <w:p w14:paraId="3EEABA0F"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ЦХФ</w:t>
            </w:r>
          </w:p>
        </w:tc>
        <w:tc>
          <w:tcPr>
            <w:tcW w:w="818" w:type="pct"/>
            <w:shd w:val="clear" w:color="auto" w:fill="auto"/>
            <w:noWrap/>
          </w:tcPr>
          <w:p w14:paraId="4DF0B03C" w14:textId="77777777" w:rsidR="003A4FB0" w:rsidRPr="00A37BCE" w:rsidRDefault="003A4FB0" w:rsidP="004E661B">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173,2</w:t>
            </w:r>
          </w:p>
        </w:tc>
        <w:tc>
          <w:tcPr>
            <w:tcW w:w="819" w:type="pct"/>
            <w:shd w:val="clear" w:color="auto" w:fill="auto"/>
            <w:noWrap/>
          </w:tcPr>
          <w:p w14:paraId="25A5BF05" w14:textId="77777777" w:rsidR="003A4FB0" w:rsidRPr="00A37BCE" w:rsidRDefault="003A4FB0" w:rsidP="004E661B">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146,4</w:t>
            </w:r>
          </w:p>
        </w:tc>
        <w:tc>
          <w:tcPr>
            <w:tcW w:w="818" w:type="pct"/>
            <w:shd w:val="clear" w:color="auto" w:fill="auto"/>
            <w:noWrap/>
          </w:tcPr>
          <w:p w14:paraId="629DF8C2" w14:textId="77777777" w:rsidR="003A4FB0" w:rsidRPr="00A37BCE" w:rsidRDefault="003A4FB0" w:rsidP="004E661B">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129,6</w:t>
            </w:r>
          </w:p>
        </w:tc>
        <w:tc>
          <w:tcPr>
            <w:tcW w:w="819" w:type="pct"/>
            <w:shd w:val="clear" w:color="auto" w:fill="auto"/>
            <w:noWrap/>
          </w:tcPr>
          <w:p w14:paraId="615D116D" w14:textId="77777777" w:rsidR="003A4FB0" w:rsidRPr="00A37BCE" w:rsidRDefault="003A4FB0" w:rsidP="004E661B">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120,7</w:t>
            </w:r>
          </w:p>
        </w:tc>
      </w:tr>
      <w:tr w:rsidR="003A4FB0" w:rsidRPr="00A37BCE" w14:paraId="7C1DBC97" w14:textId="77777777" w:rsidTr="009D147F">
        <w:trPr>
          <w:cnfStyle w:val="000000100000" w:firstRow="0" w:lastRow="0" w:firstColumn="0" w:lastColumn="0" w:oddVBand="0" w:evenVBand="0" w:oddHBand="1"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1725" w:type="pct"/>
            <w:shd w:val="clear" w:color="auto" w:fill="auto"/>
            <w:noWrap/>
          </w:tcPr>
          <w:p w14:paraId="239E2057"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Специјална права вучења</w:t>
            </w:r>
          </w:p>
        </w:tc>
        <w:tc>
          <w:tcPr>
            <w:tcW w:w="818" w:type="pct"/>
            <w:shd w:val="clear" w:color="auto" w:fill="auto"/>
            <w:noWrap/>
          </w:tcPr>
          <w:p w14:paraId="044B6CAC" w14:textId="77777777" w:rsidR="003A4FB0" w:rsidRPr="00A37BCE" w:rsidRDefault="003A4FB0" w:rsidP="004E661B">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760,2</w:t>
            </w:r>
          </w:p>
        </w:tc>
        <w:tc>
          <w:tcPr>
            <w:tcW w:w="819" w:type="pct"/>
            <w:shd w:val="clear" w:color="auto" w:fill="auto"/>
            <w:noWrap/>
          </w:tcPr>
          <w:p w14:paraId="5C94A566" w14:textId="77777777" w:rsidR="003A4FB0" w:rsidRPr="00A37BCE" w:rsidRDefault="003A4FB0" w:rsidP="004E661B">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713,1</w:t>
            </w:r>
          </w:p>
        </w:tc>
        <w:tc>
          <w:tcPr>
            <w:tcW w:w="818" w:type="pct"/>
            <w:shd w:val="clear" w:color="auto" w:fill="auto"/>
            <w:noWrap/>
          </w:tcPr>
          <w:p w14:paraId="4D9A2C9F" w14:textId="77777777" w:rsidR="003A4FB0" w:rsidRPr="00A37BCE" w:rsidRDefault="003A4FB0" w:rsidP="004E661B">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665,8</w:t>
            </w:r>
          </w:p>
        </w:tc>
        <w:tc>
          <w:tcPr>
            <w:tcW w:w="819" w:type="pct"/>
            <w:shd w:val="clear" w:color="auto" w:fill="auto"/>
            <w:noWrap/>
          </w:tcPr>
          <w:p w14:paraId="2EAE9F30" w14:textId="77777777" w:rsidR="003A4FB0" w:rsidRPr="00A37BCE" w:rsidRDefault="003A4FB0" w:rsidP="004E661B">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626,1</w:t>
            </w:r>
          </w:p>
        </w:tc>
      </w:tr>
      <w:tr w:rsidR="003A4FB0" w:rsidRPr="00A37BCE" w14:paraId="33E63B3F" w14:textId="77777777" w:rsidTr="009D147F">
        <w:trPr>
          <w:trHeight w:val="288"/>
        </w:trPr>
        <w:tc>
          <w:tcPr>
            <w:cnfStyle w:val="001000000000" w:firstRow="0" w:lastRow="0" w:firstColumn="1" w:lastColumn="0" w:oddVBand="0" w:evenVBand="0" w:oddHBand="0" w:evenHBand="0" w:firstRowFirstColumn="0" w:firstRowLastColumn="0" w:lastRowFirstColumn="0" w:lastRowLastColumn="0"/>
            <w:tcW w:w="1725" w:type="pct"/>
            <w:tcBorders>
              <w:bottom w:val="single" w:sz="4" w:space="0" w:color="002060"/>
            </w:tcBorders>
            <w:shd w:val="clear" w:color="auto" w:fill="auto"/>
            <w:noWrap/>
            <w:hideMark/>
          </w:tcPr>
          <w:p w14:paraId="1BD8E9FD"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Друге валуте (у РСД)</w:t>
            </w:r>
          </w:p>
        </w:tc>
        <w:tc>
          <w:tcPr>
            <w:tcW w:w="818" w:type="pct"/>
            <w:tcBorders>
              <w:bottom w:val="single" w:sz="4" w:space="0" w:color="002060"/>
            </w:tcBorders>
            <w:shd w:val="clear" w:color="auto" w:fill="auto"/>
            <w:noWrap/>
            <w:hideMark/>
          </w:tcPr>
          <w:p w14:paraId="6B954F92" w14:textId="77777777" w:rsidR="003A4FB0" w:rsidRPr="00A37BCE" w:rsidRDefault="003A4FB0" w:rsidP="004E661B">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16.613,5</w:t>
            </w:r>
          </w:p>
        </w:tc>
        <w:tc>
          <w:tcPr>
            <w:tcW w:w="819" w:type="pct"/>
            <w:tcBorders>
              <w:bottom w:val="single" w:sz="4" w:space="0" w:color="002060"/>
            </w:tcBorders>
            <w:shd w:val="clear" w:color="auto" w:fill="auto"/>
            <w:noWrap/>
            <w:hideMark/>
          </w:tcPr>
          <w:p w14:paraId="5A1A8AE0" w14:textId="77777777" w:rsidR="003A4FB0" w:rsidRPr="00A37BCE" w:rsidRDefault="003A4FB0" w:rsidP="004E661B">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40.270,4</w:t>
            </w:r>
          </w:p>
        </w:tc>
        <w:tc>
          <w:tcPr>
            <w:tcW w:w="818" w:type="pct"/>
            <w:tcBorders>
              <w:bottom w:val="single" w:sz="4" w:space="0" w:color="002060"/>
            </w:tcBorders>
            <w:shd w:val="clear" w:color="auto" w:fill="auto"/>
            <w:noWrap/>
            <w:hideMark/>
          </w:tcPr>
          <w:p w14:paraId="474E9083" w14:textId="77777777" w:rsidR="003A4FB0" w:rsidRPr="00A37BCE" w:rsidRDefault="003A4FB0" w:rsidP="004E661B">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56.843,9</w:t>
            </w:r>
          </w:p>
        </w:tc>
        <w:tc>
          <w:tcPr>
            <w:tcW w:w="819" w:type="pct"/>
            <w:tcBorders>
              <w:bottom w:val="single" w:sz="4" w:space="0" w:color="002060"/>
            </w:tcBorders>
            <w:shd w:val="clear" w:color="auto" w:fill="auto"/>
            <w:noWrap/>
            <w:hideMark/>
          </w:tcPr>
          <w:p w14:paraId="2C0AC2F7" w14:textId="77777777" w:rsidR="003A4FB0" w:rsidRPr="00A37BCE" w:rsidRDefault="003A4FB0" w:rsidP="004E661B">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78.054,6</w:t>
            </w:r>
          </w:p>
        </w:tc>
      </w:tr>
    </w:tbl>
    <w:p w14:paraId="227BBE99" w14:textId="77777777" w:rsidR="003A4FB0" w:rsidRPr="00A37BCE" w:rsidRDefault="003A4FB0" w:rsidP="003A4FB0">
      <w:pPr>
        <w:jc w:val="both"/>
        <w:rPr>
          <w:rFonts w:cstheme="minorHAnsi"/>
          <w:color w:val="262626" w:themeColor="text1" w:themeTint="D9"/>
          <w:sz w:val="14"/>
          <w:lang w:val="sr-Cyrl-RS"/>
        </w:rPr>
        <w:sectPr w:rsidR="003A4FB0" w:rsidRPr="00A37BCE" w:rsidSect="004E661B">
          <w:type w:val="continuous"/>
          <w:pgSz w:w="12240" w:h="15840"/>
          <w:pgMar w:top="1440" w:right="1440" w:bottom="1440" w:left="1440" w:header="720" w:footer="720" w:gutter="0"/>
          <w:cols w:space="720"/>
          <w:docGrid w:linePitch="360"/>
        </w:sectPr>
      </w:pPr>
    </w:p>
    <w:p w14:paraId="004BBDD7"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lastRenderedPageBreak/>
        <w:t>У складу са тежњом да се смањи изложеност валутном ризику, продужи рочност и настави са развојем нових инструмената задуживања на домаћем финансијском тржишту, основни извор финансирања у периоду 2015–2018. године су емисије динарских хартија од вредности, што је утицало на повећање учешћа јавног дуга централног нивоа власти у динарима са 22,2% на крају 2015. године на 25,8% јавног дуга Републике Србије на крају септембра 2018. године, односно са 668,9 млрд динара колико је износио јавни дуг у динарима на крају 2015. године на 733,3 млрд динара на крају септембра 2018. године.</w:t>
      </w:r>
    </w:p>
    <w:p w14:paraId="74BE94CE" w14:textId="33FAA226"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Према подацима од 30. септембра 2018. године, највећи део јавног дуга општег нивоа државе Републике Србије је и даље деноминован у еврима и износи 39,9%. Затим су највише заступљени амерички долар са 28,2% и динар са 25,7%. Остатак дуга је деноминован у специјалним правима вучења 3,1% и осталим валутама 3,2%. Захваљујући оствареном буџетск</w:t>
      </w:r>
      <w:r w:rsidR="00BC1484" w:rsidRPr="00A37BCE">
        <w:rPr>
          <w:rFonts w:cstheme="minorHAnsi"/>
          <w:bCs/>
          <w:color w:val="44546A" w:themeColor="text2"/>
          <w:sz w:val="20"/>
          <w:szCs w:val="72"/>
          <w:lang w:val="sr-Cyrl-RS"/>
        </w:rPr>
        <w:t xml:space="preserve">ом суфициту током 2018. године </w:t>
      </w:r>
      <w:r w:rsidRPr="00A37BCE">
        <w:rPr>
          <w:rFonts w:cstheme="minorHAnsi"/>
          <w:bCs/>
          <w:color w:val="44546A" w:themeColor="text2"/>
          <w:sz w:val="20"/>
          <w:szCs w:val="72"/>
          <w:lang w:val="sr-Cyrl-RS"/>
        </w:rPr>
        <w:t>доспеће еврообвезнице Србија 2018 у децембру 2018. године биће финансирано из текуће ликвидности и емисија државних обвезница на домаћем тржишту хартија од вредности, чиме ће доћи до смањења учешћа долара у структури јавног дуга и повећања учешћа пре свега динара, али и евра.</w:t>
      </w:r>
    </w:p>
    <w:p w14:paraId="4E5F896A" w14:textId="77777777" w:rsidR="003A4FB0" w:rsidRPr="00A37BCE" w:rsidRDefault="003A4FB0" w:rsidP="003A4FB0">
      <w:pPr>
        <w:jc w:val="both"/>
        <w:rPr>
          <w:b/>
          <w:color w:val="002060"/>
          <w:sz w:val="20"/>
          <w:highlight w:val="yellow"/>
          <w:lang w:val="sr-Cyrl-RS"/>
        </w:rPr>
      </w:pPr>
    </w:p>
    <w:p w14:paraId="422782FF" w14:textId="77777777" w:rsidR="003A4FB0" w:rsidRPr="00A37BCE" w:rsidRDefault="003A4FB0" w:rsidP="003A4FB0">
      <w:pPr>
        <w:jc w:val="both"/>
        <w:rPr>
          <w:b/>
          <w:color w:val="002060"/>
          <w:sz w:val="20"/>
          <w:highlight w:val="yellow"/>
          <w:lang w:val="sr-Cyrl-RS"/>
        </w:rPr>
      </w:pPr>
    </w:p>
    <w:p w14:paraId="00D9422A" w14:textId="77777777" w:rsidR="003A4FB0" w:rsidRPr="00A37BCE" w:rsidRDefault="003A4FB0" w:rsidP="003A4FB0">
      <w:pPr>
        <w:jc w:val="both"/>
        <w:rPr>
          <w:b/>
          <w:color w:val="002060"/>
          <w:sz w:val="20"/>
          <w:highlight w:val="yellow"/>
          <w:lang w:val="sr-Cyrl-RS"/>
        </w:rPr>
      </w:pPr>
    </w:p>
    <w:p w14:paraId="29CBEA59" w14:textId="77777777" w:rsidR="003A4FB0" w:rsidRPr="00A37BCE" w:rsidRDefault="003A4FB0" w:rsidP="003A4FB0">
      <w:pPr>
        <w:jc w:val="both"/>
        <w:rPr>
          <w:b/>
          <w:color w:val="002060"/>
          <w:sz w:val="20"/>
          <w:highlight w:val="yellow"/>
          <w:lang w:val="sr-Cyrl-RS"/>
        </w:rPr>
      </w:pPr>
    </w:p>
    <w:p w14:paraId="0EEA2ECE" w14:textId="77777777" w:rsidR="003A4FB0" w:rsidRPr="00A37BCE" w:rsidRDefault="003A4FB0" w:rsidP="003A4FB0">
      <w:pPr>
        <w:jc w:val="both"/>
        <w:rPr>
          <w:b/>
          <w:color w:val="002060"/>
          <w:sz w:val="20"/>
          <w:highlight w:val="yellow"/>
          <w:lang w:val="sr-Cyrl-RS"/>
        </w:rPr>
      </w:pPr>
    </w:p>
    <w:p w14:paraId="491244FA" w14:textId="77777777" w:rsidR="003A4FB0" w:rsidRPr="00A37BCE" w:rsidRDefault="003A4FB0" w:rsidP="003A4FB0">
      <w:pPr>
        <w:jc w:val="both"/>
        <w:rPr>
          <w:b/>
          <w:color w:val="002060"/>
          <w:sz w:val="20"/>
          <w:highlight w:val="yellow"/>
          <w:lang w:val="sr-Cyrl-RS"/>
        </w:rPr>
      </w:pPr>
    </w:p>
    <w:p w14:paraId="5CED0C7D" w14:textId="77777777" w:rsidR="003A4FB0" w:rsidRPr="00A37BCE" w:rsidRDefault="003A4FB0" w:rsidP="003A4FB0">
      <w:pPr>
        <w:jc w:val="both"/>
        <w:rPr>
          <w:b/>
          <w:color w:val="002060"/>
          <w:sz w:val="20"/>
          <w:highlight w:val="yellow"/>
          <w:lang w:val="sr-Cyrl-RS"/>
        </w:rPr>
      </w:pPr>
    </w:p>
    <w:p w14:paraId="0D04FB85" w14:textId="77777777" w:rsidR="003A4FB0" w:rsidRPr="00A37BCE" w:rsidRDefault="003A4FB0" w:rsidP="003A4FB0">
      <w:pPr>
        <w:jc w:val="both"/>
        <w:rPr>
          <w:b/>
          <w:color w:val="002060"/>
          <w:sz w:val="20"/>
          <w:highlight w:val="yellow"/>
          <w:lang w:val="sr-Cyrl-RS"/>
        </w:rPr>
      </w:pPr>
    </w:p>
    <w:p w14:paraId="1331C435" w14:textId="77777777" w:rsidR="003A4FB0" w:rsidRPr="00A37BCE" w:rsidRDefault="003A4FB0" w:rsidP="003A4FB0">
      <w:pPr>
        <w:jc w:val="both"/>
        <w:rPr>
          <w:b/>
          <w:color w:val="002060"/>
          <w:sz w:val="20"/>
          <w:highlight w:val="yellow"/>
          <w:lang w:val="sr-Cyrl-RS"/>
        </w:rPr>
      </w:pPr>
    </w:p>
    <w:p w14:paraId="7740E324" w14:textId="77777777" w:rsidR="003A4FB0" w:rsidRPr="00A37BCE" w:rsidRDefault="003A4FB0" w:rsidP="003A4FB0">
      <w:pPr>
        <w:jc w:val="both"/>
        <w:rPr>
          <w:b/>
          <w:color w:val="002060"/>
          <w:sz w:val="20"/>
          <w:highlight w:val="yellow"/>
          <w:lang w:val="sr-Cyrl-RS"/>
        </w:rPr>
      </w:pPr>
    </w:p>
    <w:p w14:paraId="0F56DDA2" w14:textId="77777777" w:rsidR="003A4FB0" w:rsidRPr="00A37BCE" w:rsidRDefault="003A4FB0" w:rsidP="003A4FB0">
      <w:pPr>
        <w:jc w:val="both"/>
        <w:rPr>
          <w:b/>
          <w:color w:val="002060"/>
          <w:sz w:val="20"/>
          <w:highlight w:val="yellow"/>
          <w:lang w:val="sr-Cyrl-RS"/>
        </w:rPr>
      </w:pPr>
    </w:p>
    <w:p w14:paraId="12814594" w14:textId="77777777" w:rsidR="003A4FB0" w:rsidRPr="00A37BCE" w:rsidRDefault="003A4FB0" w:rsidP="00D558B2">
      <w:pPr>
        <w:jc w:val="center"/>
        <w:rPr>
          <w:b/>
          <w:color w:val="002060"/>
          <w:sz w:val="20"/>
          <w:lang w:val="sr-Cyrl-RS"/>
        </w:rPr>
      </w:pPr>
      <w:r w:rsidRPr="00A37BCE">
        <w:rPr>
          <w:b/>
          <w:color w:val="002060"/>
          <w:sz w:val="20"/>
          <w:lang w:val="sr-Cyrl-RS"/>
        </w:rPr>
        <w:lastRenderedPageBreak/>
        <w:t>Валутна структура дуга општег нивоа државе у периоду од 2015. до 30. септембар 2018. године, %</w:t>
      </w:r>
    </w:p>
    <w:p w14:paraId="0456FB50" w14:textId="77777777" w:rsidR="003A4FB0" w:rsidRPr="00A37BCE" w:rsidRDefault="003A4FB0" w:rsidP="003A4FB0">
      <w:pPr>
        <w:jc w:val="both"/>
        <w:rPr>
          <w:b/>
          <w:color w:val="002060"/>
          <w:sz w:val="20"/>
          <w:highlight w:val="yellow"/>
          <w:lang w:val="sr-Cyrl-RS"/>
        </w:rPr>
      </w:pPr>
      <w:r w:rsidRPr="00A37BCE">
        <w:rPr>
          <w:b/>
          <w:noProof/>
          <w:color w:val="002060"/>
          <w:sz w:val="20"/>
        </w:rPr>
        <w:drawing>
          <wp:inline distT="0" distB="0" distL="0" distR="0" wp14:anchorId="6EBBD229" wp14:editId="1CE2078D">
            <wp:extent cx="2743200" cy="2453640"/>
            <wp:effectExtent l="0" t="0" r="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Valute-01.png"/>
                    <pic:cNvPicPr/>
                  </pic:nvPicPr>
                  <pic:blipFill>
                    <a:blip r:embed="rId80" cstate="print">
                      <a:extLst>
                        <a:ext uri="{28A0092B-C50C-407E-A947-70E740481C1C}">
                          <a14:useLocalDpi xmlns:a14="http://schemas.microsoft.com/office/drawing/2010/main" val="0"/>
                        </a:ext>
                      </a:extLst>
                    </a:blip>
                    <a:stretch>
                      <a:fillRect/>
                    </a:stretch>
                  </pic:blipFill>
                  <pic:spPr>
                    <a:xfrm>
                      <a:off x="0" y="0"/>
                      <a:ext cx="2743200" cy="2453640"/>
                    </a:xfrm>
                    <a:prstGeom prst="rect">
                      <a:avLst/>
                    </a:prstGeom>
                  </pic:spPr>
                </pic:pic>
              </a:graphicData>
            </a:graphic>
          </wp:inline>
        </w:drawing>
      </w:r>
    </w:p>
    <w:p w14:paraId="7A0E2611" w14:textId="77777777" w:rsidR="00DD5C06"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На дан 30. септембар 2018. године, највећи део јавног дуга општег нивоа државе Републике Србије је са фиксном каматном стопом – 80,8%, док се на јавни дуг са варијабилном каматном стопом односи 19,2% укупног јавног дуга. Међу варијабилним каматним стопама највише су заступљени EURIBOR и LIBOR на евро који чине 78,1%, затим варијабилна каматна стопа за специјална права вучења 10% и LIBOR на амерички долар 5,9%, док је учешће обавеза са осталим каматним стопама 6,1%.</w:t>
      </w:r>
    </w:p>
    <w:p w14:paraId="6E77A8F8" w14:textId="6837BF3F" w:rsidR="003A4FB0" w:rsidRPr="00A37BCE" w:rsidRDefault="003A4FB0" w:rsidP="00D558B2">
      <w:pPr>
        <w:jc w:val="center"/>
        <w:rPr>
          <w:rFonts w:cstheme="minorHAnsi"/>
          <w:bCs/>
          <w:color w:val="44546A" w:themeColor="text2"/>
          <w:sz w:val="20"/>
          <w:szCs w:val="72"/>
          <w:lang w:val="sr-Cyrl-RS"/>
        </w:rPr>
      </w:pPr>
      <w:r w:rsidRPr="00A37BCE">
        <w:rPr>
          <w:b/>
          <w:color w:val="002060"/>
          <w:sz w:val="20"/>
          <w:lang w:val="sr-Cyrl-RS"/>
        </w:rPr>
        <w:t>Структура каматних стопа дуга општег нивоа државе у периоду од 2015. до 30. септембар 2018. године, %</w:t>
      </w:r>
    </w:p>
    <w:p w14:paraId="7F9A1A64"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noProof/>
          <w:color w:val="44546A" w:themeColor="text2"/>
          <w:sz w:val="20"/>
          <w:szCs w:val="72"/>
        </w:rPr>
        <w:drawing>
          <wp:inline distT="0" distB="0" distL="0" distR="0" wp14:anchorId="0D4D9A26" wp14:editId="4A1773A1">
            <wp:extent cx="2743200" cy="202184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Kamatne stope fiksna varijabilna-01.png"/>
                    <pic:cNvPicPr/>
                  </pic:nvPicPr>
                  <pic:blipFill>
                    <a:blip r:embed="rId81" cstate="print">
                      <a:extLst>
                        <a:ext uri="{28A0092B-C50C-407E-A947-70E740481C1C}">
                          <a14:useLocalDpi xmlns:a14="http://schemas.microsoft.com/office/drawing/2010/main" val="0"/>
                        </a:ext>
                      </a:extLst>
                    </a:blip>
                    <a:stretch>
                      <a:fillRect/>
                    </a:stretch>
                  </pic:blipFill>
                  <pic:spPr>
                    <a:xfrm>
                      <a:off x="0" y="0"/>
                      <a:ext cx="2743200" cy="2021840"/>
                    </a:xfrm>
                    <a:prstGeom prst="rect">
                      <a:avLst/>
                    </a:prstGeom>
                  </pic:spPr>
                </pic:pic>
              </a:graphicData>
            </a:graphic>
          </wp:inline>
        </w:drawing>
      </w:r>
    </w:p>
    <w:p w14:paraId="4002535A" w14:textId="77777777" w:rsidR="00D558B2" w:rsidRDefault="00D558B2" w:rsidP="003A4FB0">
      <w:pPr>
        <w:jc w:val="both"/>
        <w:rPr>
          <w:rFonts w:cstheme="minorHAnsi"/>
          <w:bCs/>
          <w:color w:val="44546A" w:themeColor="text2"/>
          <w:sz w:val="20"/>
          <w:szCs w:val="72"/>
          <w:lang w:val="sr-Cyrl-RS"/>
        </w:rPr>
      </w:pPr>
    </w:p>
    <w:p w14:paraId="6F5FE438" w14:textId="3DB0BAFD" w:rsidR="00DD5C06"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lastRenderedPageBreak/>
        <w:t>Током 2018. године дошло је до даљег пада трошкова задуживања Републике Србије по основу динарских и евро деноминованих хартија од вредности захваљујући расту кредитног ризика земље односно смањењу премије ризика, ниској стопи инфлације и паду референтне каматне стопе НБС, која тренутно износи 3,00%, чиме је настављен тренд започет у последњем кварталу 2012. године.</w:t>
      </w:r>
    </w:p>
    <w:p w14:paraId="774D6D06" w14:textId="52852E7B" w:rsidR="003A4FB0" w:rsidRPr="00A37BCE" w:rsidRDefault="003A4FB0" w:rsidP="003A4FB0">
      <w:pPr>
        <w:jc w:val="both"/>
        <w:rPr>
          <w:rFonts w:cstheme="minorHAnsi"/>
          <w:bCs/>
          <w:color w:val="44546A" w:themeColor="text2"/>
          <w:sz w:val="20"/>
          <w:szCs w:val="72"/>
          <w:lang w:val="sr-Cyrl-RS"/>
        </w:rPr>
      </w:pPr>
      <w:r w:rsidRPr="00A37BCE">
        <w:rPr>
          <w:b/>
          <w:color w:val="002060"/>
          <w:sz w:val="20"/>
          <w:lang w:val="sr-Cyrl-RS"/>
        </w:rPr>
        <w:t xml:space="preserve">Преглед кретања просечних извршних каматних стопа на динарске државне хартије од вредности у </w:t>
      </w:r>
      <w:r w:rsidR="004877B6" w:rsidRPr="004877B6">
        <w:rPr>
          <w:b/>
          <w:color w:val="002060"/>
          <w:sz w:val="20"/>
          <w:lang w:val="sr-Cyrl-RS"/>
        </w:rPr>
        <w:t>периоду</w:t>
      </w:r>
      <w:r w:rsidR="004877B6">
        <w:rPr>
          <w:b/>
          <w:color w:val="002060"/>
          <w:sz w:val="20"/>
          <w:lang w:val="sr-Cyrl-RS"/>
        </w:rPr>
        <w:t xml:space="preserve"> </w:t>
      </w:r>
      <w:r w:rsidRPr="00A37BCE">
        <w:rPr>
          <w:b/>
          <w:color w:val="002060"/>
          <w:sz w:val="20"/>
          <w:lang w:val="sr-Cyrl-RS"/>
        </w:rPr>
        <w:t xml:space="preserve">2014–30. септембар 2018. </w:t>
      </w:r>
      <w:r w:rsidR="00543BEB" w:rsidRPr="00A37BCE">
        <w:rPr>
          <w:b/>
          <w:color w:val="002060"/>
          <w:sz w:val="20"/>
          <w:lang w:val="sr-Cyrl-RS"/>
        </w:rPr>
        <w:t>године</w:t>
      </w:r>
      <w:r w:rsidRPr="00A37BCE">
        <w:rPr>
          <w:b/>
          <w:color w:val="002060"/>
          <w:sz w:val="20"/>
          <w:lang w:val="sr-Cyrl-RS"/>
        </w:rPr>
        <w:t>, %</w:t>
      </w:r>
    </w:p>
    <w:p w14:paraId="705C7856" w14:textId="77777777" w:rsidR="003A4FB0" w:rsidRPr="00A37BCE" w:rsidRDefault="003A4FB0" w:rsidP="003A4FB0">
      <w:pPr>
        <w:jc w:val="both"/>
        <w:rPr>
          <w:b/>
          <w:color w:val="002060"/>
          <w:sz w:val="20"/>
          <w:highlight w:val="yellow"/>
          <w:lang w:val="sr-Cyrl-RS"/>
        </w:rPr>
      </w:pPr>
      <w:r w:rsidRPr="00A37BCE">
        <w:rPr>
          <w:b/>
          <w:noProof/>
          <w:color w:val="002060"/>
          <w:sz w:val="20"/>
        </w:rPr>
        <w:drawing>
          <wp:inline distT="0" distB="0" distL="0" distR="0" wp14:anchorId="500AC3D1" wp14:editId="65FD447C">
            <wp:extent cx="2741930" cy="2021840"/>
            <wp:effectExtent l="0" t="0" r="127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Denominovane dinari.PNG"/>
                    <pic:cNvPicPr/>
                  </pic:nvPicPr>
                  <pic:blipFill>
                    <a:blip r:embed="rId82" cstate="print">
                      <a:extLst>
                        <a:ext uri="{28A0092B-C50C-407E-A947-70E740481C1C}">
                          <a14:useLocalDpi xmlns:a14="http://schemas.microsoft.com/office/drawing/2010/main" val="0"/>
                        </a:ext>
                      </a:extLst>
                    </a:blip>
                    <a:stretch>
                      <a:fillRect/>
                    </a:stretch>
                  </pic:blipFill>
                  <pic:spPr>
                    <a:xfrm>
                      <a:off x="0" y="0"/>
                      <a:ext cx="2741930" cy="2021840"/>
                    </a:xfrm>
                    <a:prstGeom prst="rect">
                      <a:avLst/>
                    </a:prstGeom>
                  </pic:spPr>
                </pic:pic>
              </a:graphicData>
            </a:graphic>
          </wp:inline>
        </w:drawing>
      </w:r>
    </w:p>
    <w:p w14:paraId="1DCC5D80" w14:textId="77777777" w:rsidR="00DD5C06" w:rsidRPr="00A37BCE" w:rsidRDefault="00DD5C06" w:rsidP="003A4FB0">
      <w:pPr>
        <w:jc w:val="both"/>
        <w:rPr>
          <w:b/>
          <w:color w:val="002060"/>
          <w:sz w:val="20"/>
          <w:lang w:val="sr-Cyrl-RS"/>
        </w:rPr>
      </w:pPr>
    </w:p>
    <w:p w14:paraId="442BC9C5" w14:textId="77777777" w:rsidR="00DD5C06" w:rsidRPr="00A37BCE" w:rsidRDefault="00DD5C06" w:rsidP="003A4FB0">
      <w:pPr>
        <w:jc w:val="both"/>
        <w:rPr>
          <w:b/>
          <w:color w:val="002060"/>
          <w:sz w:val="20"/>
          <w:lang w:val="sr-Cyrl-RS"/>
        </w:rPr>
      </w:pPr>
    </w:p>
    <w:p w14:paraId="5EE87556" w14:textId="77777777" w:rsidR="00DD5C06" w:rsidRPr="00A37BCE" w:rsidRDefault="00DD5C06" w:rsidP="003A4FB0">
      <w:pPr>
        <w:jc w:val="both"/>
        <w:rPr>
          <w:b/>
          <w:color w:val="002060"/>
          <w:sz w:val="20"/>
          <w:lang w:val="sr-Cyrl-RS"/>
        </w:rPr>
      </w:pPr>
    </w:p>
    <w:p w14:paraId="16EA5E3A" w14:textId="77777777" w:rsidR="00DD5C06" w:rsidRPr="00A37BCE" w:rsidRDefault="00DD5C06" w:rsidP="003A4FB0">
      <w:pPr>
        <w:jc w:val="both"/>
        <w:rPr>
          <w:b/>
          <w:color w:val="002060"/>
          <w:sz w:val="20"/>
          <w:lang w:val="sr-Cyrl-RS"/>
        </w:rPr>
      </w:pPr>
    </w:p>
    <w:p w14:paraId="0AEAAB46" w14:textId="77777777" w:rsidR="00DD5C06" w:rsidRPr="00A37BCE" w:rsidRDefault="00DD5C06" w:rsidP="003A4FB0">
      <w:pPr>
        <w:jc w:val="both"/>
        <w:rPr>
          <w:b/>
          <w:color w:val="002060"/>
          <w:sz w:val="20"/>
          <w:lang w:val="sr-Cyrl-RS"/>
        </w:rPr>
      </w:pPr>
    </w:p>
    <w:p w14:paraId="67B957B2" w14:textId="77777777" w:rsidR="00DD5C06" w:rsidRPr="00A37BCE" w:rsidRDefault="00DD5C06" w:rsidP="003A4FB0">
      <w:pPr>
        <w:jc w:val="both"/>
        <w:rPr>
          <w:b/>
          <w:color w:val="002060"/>
          <w:sz w:val="20"/>
          <w:lang w:val="sr-Cyrl-RS"/>
        </w:rPr>
      </w:pPr>
    </w:p>
    <w:p w14:paraId="26817082" w14:textId="16C0617B" w:rsidR="003A4FB0" w:rsidRPr="00A37BCE" w:rsidRDefault="003A4FB0" w:rsidP="003A4FB0">
      <w:pPr>
        <w:jc w:val="both"/>
        <w:rPr>
          <w:b/>
          <w:color w:val="002060"/>
          <w:sz w:val="20"/>
          <w:lang w:val="sr-Cyrl-RS"/>
        </w:rPr>
      </w:pPr>
      <w:r w:rsidRPr="00A37BCE">
        <w:rPr>
          <w:b/>
          <w:color w:val="002060"/>
          <w:sz w:val="20"/>
          <w:lang w:val="sr-Cyrl-RS"/>
        </w:rPr>
        <w:lastRenderedPageBreak/>
        <w:t>Преглед кретања просечних извршних каматних стопа на евро деноминоване државне харти</w:t>
      </w:r>
      <w:r w:rsidR="004877B6">
        <w:rPr>
          <w:b/>
          <w:color w:val="002060"/>
          <w:sz w:val="20"/>
          <w:lang w:val="sr-Cyrl-RS"/>
        </w:rPr>
        <w:t>је од вредности у периоду 2014–</w:t>
      </w:r>
      <w:r w:rsidRPr="00A37BCE">
        <w:rPr>
          <w:b/>
          <w:color w:val="002060"/>
          <w:sz w:val="20"/>
          <w:lang w:val="sr-Cyrl-RS"/>
        </w:rPr>
        <w:t xml:space="preserve">30. септембар 2018. </w:t>
      </w:r>
      <w:r w:rsidR="00543BEB" w:rsidRPr="00A37BCE">
        <w:rPr>
          <w:b/>
          <w:color w:val="002060"/>
          <w:sz w:val="20"/>
          <w:lang w:val="sr-Cyrl-RS"/>
        </w:rPr>
        <w:t>године</w:t>
      </w:r>
      <w:r w:rsidRPr="00A37BCE">
        <w:rPr>
          <w:b/>
          <w:color w:val="002060"/>
          <w:sz w:val="20"/>
          <w:lang w:val="sr-Cyrl-RS"/>
        </w:rPr>
        <w:t xml:space="preserve">, % </w:t>
      </w:r>
    </w:p>
    <w:p w14:paraId="4EC5E90B" w14:textId="77777777" w:rsidR="003A4FB0" w:rsidRPr="00A37BCE" w:rsidRDefault="003A4FB0" w:rsidP="003A4FB0">
      <w:pPr>
        <w:jc w:val="both"/>
        <w:rPr>
          <w:b/>
          <w:color w:val="002060"/>
          <w:sz w:val="20"/>
          <w:highlight w:val="yellow"/>
          <w:lang w:val="sr-Cyrl-RS"/>
        </w:rPr>
      </w:pPr>
      <w:r w:rsidRPr="00A37BCE">
        <w:rPr>
          <w:b/>
          <w:noProof/>
          <w:color w:val="002060"/>
          <w:sz w:val="20"/>
        </w:rPr>
        <w:drawing>
          <wp:inline distT="0" distB="0" distL="0" distR="0" wp14:anchorId="51271DAF" wp14:editId="74A9E1F0">
            <wp:extent cx="2742697" cy="2052320"/>
            <wp:effectExtent l="0" t="0" r="635" b="508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Denominovane evri.PNG"/>
                    <pic:cNvPicPr/>
                  </pic:nvPicPr>
                  <pic:blipFill>
                    <a:blip r:embed="rId83" cstate="print">
                      <a:extLst>
                        <a:ext uri="{28A0092B-C50C-407E-A947-70E740481C1C}">
                          <a14:useLocalDpi xmlns:a14="http://schemas.microsoft.com/office/drawing/2010/main" val="0"/>
                        </a:ext>
                      </a:extLst>
                    </a:blip>
                    <a:stretch>
                      <a:fillRect/>
                    </a:stretch>
                  </pic:blipFill>
                  <pic:spPr>
                    <a:xfrm>
                      <a:off x="0" y="0"/>
                      <a:ext cx="2744388" cy="2053585"/>
                    </a:xfrm>
                    <a:prstGeom prst="rect">
                      <a:avLst/>
                    </a:prstGeom>
                  </pic:spPr>
                </pic:pic>
              </a:graphicData>
            </a:graphic>
          </wp:inline>
        </w:drawing>
      </w:r>
    </w:p>
    <w:p w14:paraId="198A1F38" w14:textId="77777777" w:rsidR="003A4FB0" w:rsidRPr="00A37BCE" w:rsidRDefault="003A4FB0" w:rsidP="003A4FB0">
      <w:pPr>
        <w:jc w:val="both"/>
        <w:rPr>
          <w:b/>
          <w:bCs/>
          <w:color w:val="002060"/>
          <w:sz w:val="20"/>
          <w:lang w:val="sr-Cyrl-RS"/>
        </w:rPr>
      </w:pPr>
      <w:r w:rsidRPr="00A37BCE">
        <w:rPr>
          <w:b/>
          <w:bCs/>
          <w:color w:val="002060"/>
          <w:sz w:val="20"/>
          <w:lang w:val="sr-Cyrl-RS"/>
        </w:rPr>
        <w:t xml:space="preserve">Преглед кретања стопе приноса на еврообвезницу Србија 2021, % </w:t>
      </w:r>
    </w:p>
    <w:p w14:paraId="62DC611D" w14:textId="77777777" w:rsidR="003A4FB0" w:rsidRPr="00A37BCE" w:rsidRDefault="003A4FB0" w:rsidP="003A4FB0">
      <w:pPr>
        <w:jc w:val="both"/>
        <w:rPr>
          <w:b/>
          <w:color w:val="002060"/>
          <w:sz w:val="20"/>
          <w:highlight w:val="yellow"/>
          <w:lang w:val="sr-Cyrl-RS"/>
        </w:rPr>
        <w:sectPr w:rsidR="003A4FB0" w:rsidRPr="00A37BCE" w:rsidSect="004E661B">
          <w:type w:val="continuous"/>
          <w:pgSz w:w="12240" w:h="15840"/>
          <w:pgMar w:top="1440" w:right="1440" w:bottom="1440" w:left="1440" w:header="720" w:footer="720" w:gutter="0"/>
          <w:cols w:num="2" w:space="720"/>
          <w:docGrid w:linePitch="360"/>
        </w:sectPr>
      </w:pPr>
      <w:r w:rsidRPr="00A37BCE">
        <w:rPr>
          <w:b/>
          <w:noProof/>
          <w:color w:val="002060"/>
          <w:sz w:val="20"/>
        </w:rPr>
        <w:drawing>
          <wp:inline distT="0" distB="0" distL="0" distR="0" wp14:anchorId="006D5E1D" wp14:editId="0AA8DB1D">
            <wp:extent cx="2743200" cy="223012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tope prinosa.PNG"/>
                    <pic:cNvPicPr/>
                  </pic:nvPicPr>
                  <pic:blipFill>
                    <a:blip r:embed="rId84">
                      <a:extLst>
                        <a:ext uri="{28A0092B-C50C-407E-A947-70E740481C1C}">
                          <a14:useLocalDpi xmlns:a14="http://schemas.microsoft.com/office/drawing/2010/main" val="0"/>
                        </a:ext>
                      </a:extLst>
                    </a:blip>
                    <a:stretch>
                      <a:fillRect/>
                    </a:stretch>
                  </pic:blipFill>
                  <pic:spPr>
                    <a:xfrm>
                      <a:off x="0" y="0"/>
                      <a:ext cx="2743200" cy="2230120"/>
                    </a:xfrm>
                    <a:prstGeom prst="rect">
                      <a:avLst/>
                    </a:prstGeom>
                  </pic:spPr>
                </pic:pic>
              </a:graphicData>
            </a:graphic>
          </wp:inline>
        </w:drawing>
      </w:r>
      <w:r w:rsidRPr="00A37BCE">
        <w:rPr>
          <w:rFonts w:cstheme="minorHAnsi"/>
          <w:bCs/>
          <w:color w:val="44546A" w:themeColor="text2"/>
          <w:sz w:val="20"/>
          <w:szCs w:val="72"/>
          <w:lang w:val="sr-Cyrl-RS"/>
        </w:rPr>
        <w:br w:type="page"/>
      </w:r>
    </w:p>
    <w:p w14:paraId="3B867119" w14:textId="1E8924AA" w:rsidR="003A4FB0" w:rsidRPr="00A37BCE" w:rsidRDefault="003A4FB0" w:rsidP="003A4FB0">
      <w:pPr>
        <w:jc w:val="center"/>
        <w:rPr>
          <w:b/>
          <w:color w:val="002060"/>
          <w:sz w:val="20"/>
          <w:lang w:val="sr-Cyrl-RS"/>
        </w:rPr>
      </w:pPr>
      <w:r w:rsidRPr="00A37BCE">
        <w:rPr>
          <w:b/>
          <w:color w:val="002060"/>
          <w:sz w:val="20"/>
          <w:lang w:val="sr-Cyrl-RS"/>
        </w:rPr>
        <w:lastRenderedPageBreak/>
        <w:t>Табела</w:t>
      </w:r>
      <w:r w:rsidR="005B01D9" w:rsidRPr="00A37BCE">
        <w:rPr>
          <w:b/>
          <w:color w:val="002060"/>
          <w:sz w:val="20"/>
          <w:lang w:val="sr-Cyrl-RS"/>
        </w:rPr>
        <w:t xml:space="preserve"> 24</w:t>
      </w:r>
      <w:r w:rsidR="006B7258" w:rsidRPr="00A37BCE">
        <w:rPr>
          <w:b/>
          <w:color w:val="002060"/>
          <w:sz w:val="20"/>
          <w:lang w:val="sr-Cyrl-RS"/>
        </w:rPr>
        <w:t>.</w:t>
      </w:r>
      <w:r w:rsidRPr="00A37BCE">
        <w:rPr>
          <w:b/>
          <w:color w:val="002060"/>
          <w:sz w:val="20"/>
          <w:lang w:val="sr-Cyrl-RS"/>
        </w:rPr>
        <w:t xml:space="preserve"> Пројекције отплате камата и главница до 2021. године</w:t>
      </w:r>
      <w:r w:rsidRPr="00A37BCE">
        <w:rPr>
          <w:lang w:val="sr-Cyrl-RS"/>
        </w:rPr>
        <w:t xml:space="preserve"> </w:t>
      </w:r>
      <w:r w:rsidRPr="00A37BCE">
        <w:rPr>
          <w:b/>
          <w:color w:val="002060"/>
          <w:sz w:val="20"/>
          <w:lang w:val="sr-Cyrl-RS"/>
        </w:rPr>
        <w:t>(млрд динара)</w:t>
      </w:r>
    </w:p>
    <w:tbl>
      <w:tblPr>
        <w:tblStyle w:val="LightShading-Accent12"/>
        <w:tblW w:w="5000" w:type="pct"/>
        <w:tblLook w:val="0420" w:firstRow="1" w:lastRow="0" w:firstColumn="0" w:lastColumn="0" w:noHBand="0" w:noVBand="1"/>
      </w:tblPr>
      <w:tblGrid>
        <w:gridCol w:w="4936"/>
        <w:gridCol w:w="824"/>
        <w:gridCol w:w="1262"/>
        <w:gridCol w:w="1168"/>
        <w:gridCol w:w="1170"/>
      </w:tblGrid>
      <w:tr w:rsidR="003A4FB0" w:rsidRPr="00A37BCE" w14:paraId="222F2C2D" w14:textId="77777777" w:rsidTr="00E41734">
        <w:trPr>
          <w:cnfStyle w:val="100000000000" w:firstRow="1" w:lastRow="0" w:firstColumn="0" w:lastColumn="0" w:oddVBand="0" w:evenVBand="0" w:oddHBand="0" w:evenHBand="0" w:firstRowFirstColumn="0" w:firstRowLastColumn="0" w:lastRowFirstColumn="0" w:lastRowLastColumn="0"/>
          <w:trHeight w:val="93"/>
        </w:trPr>
        <w:tc>
          <w:tcPr>
            <w:tcW w:w="2637" w:type="pct"/>
            <w:tcBorders>
              <w:top w:val="single" w:sz="4" w:space="0" w:color="002060"/>
              <w:bottom w:val="single" w:sz="4" w:space="0" w:color="FFFFFF" w:themeColor="background1"/>
            </w:tcBorders>
            <w:shd w:val="clear" w:color="auto" w:fill="auto"/>
            <w:noWrap/>
            <w:hideMark/>
          </w:tcPr>
          <w:p w14:paraId="2FADA493" w14:textId="77777777" w:rsidR="003A4FB0" w:rsidRPr="00A37BCE" w:rsidRDefault="003A4FB0" w:rsidP="004E661B">
            <w:pPr>
              <w:jc w:val="both"/>
              <w:rPr>
                <w:rFonts w:asciiTheme="minorHAnsi" w:eastAsiaTheme="minorEastAsia" w:hAnsiTheme="minorHAnsi" w:cstheme="minorHAnsi"/>
                <w:b w:val="0"/>
                <w:bCs w:val="0"/>
                <w:color w:val="auto"/>
                <w:sz w:val="18"/>
                <w:szCs w:val="18"/>
                <w:lang w:val="sr-Cyrl-RS" w:eastAsia="ja-JP"/>
              </w:rPr>
            </w:pPr>
            <w:r w:rsidRPr="00A37BCE">
              <w:rPr>
                <w:rFonts w:asciiTheme="minorHAnsi" w:eastAsiaTheme="minorEastAsia" w:hAnsiTheme="minorHAnsi" w:cstheme="minorHAnsi"/>
                <w:b w:val="0"/>
                <w:bCs w:val="0"/>
                <w:color w:val="auto"/>
                <w:sz w:val="18"/>
                <w:szCs w:val="18"/>
                <w:lang w:val="sr-Cyrl-RS" w:eastAsia="ja-JP"/>
              </w:rPr>
              <w:t> </w:t>
            </w:r>
          </w:p>
        </w:tc>
        <w:tc>
          <w:tcPr>
            <w:tcW w:w="440" w:type="pct"/>
            <w:tcBorders>
              <w:top w:val="single" w:sz="4" w:space="0" w:color="002060"/>
              <w:bottom w:val="single" w:sz="4" w:space="0" w:color="002060"/>
            </w:tcBorders>
            <w:shd w:val="clear" w:color="auto" w:fill="auto"/>
            <w:noWrap/>
            <w:hideMark/>
          </w:tcPr>
          <w:p w14:paraId="338F62BC" w14:textId="77777777" w:rsidR="003A4FB0" w:rsidRPr="00A37BCE" w:rsidRDefault="003A4FB0" w:rsidP="004E661B">
            <w:pPr>
              <w:jc w:val="right"/>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2018 п</w:t>
            </w:r>
          </w:p>
        </w:tc>
        <w:tc>
          <w:tcPr>
            <w:tcW w:w="674" w:type="pct"/>
            <w:tcBorders>
              <w:top w:val="single" w:sz="4" w:space="0" w:color="002060"/>
              <w:bottom w:val="single" w:sz="4" w:space="0" w:color="002060"/>
            </w:tcBorders>
            <w:shd w:val="clear" w:color="auto" w:fill="auto"/>
            <w:noWrap/>
            <w:hideMark/>
          </w:tcPr>
          <w:p w14:paraId="1ECB9D24" w14:textId="77777777" w:rsidR="003A4FB0" w:rsidRPr="00A37BCE" w:rsidRDefault="003A4FB0" w:rsidP="004E661B">
            <w:pPr>
              <w:jc w:val="right"/>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2019 п</w:t>
            </w:r>
          </w:p>
        </w:tc>
        <w:tc>
          <w:tcPr>
            <w:tcW w:w="624" w:type="pct"/>
            <w:tcBorders>
              <w:top w:val="single" w:sz="4" w:space="0" w:color="002060"/>
              <w:bottom w:val="single" w:sz="4" w:space="0" w:color="002060"/>
            </w:tcBorders>
            <w:shd w:val="clear" w:color="auto" w:fill="auto"/>
            <w:noWrap/>
            <w:hideMark/>
          </w:tcPr>
          <w:p w14:paraId="04583590" w14:textId="77777777" w:rsidR="003A4FB0" w:rsidRPr="00A37BCE" w:rsidRDefault="003A4FB0" w:rsidP="004E661B">
            <w:pPr>
              <w:jc w:val="right"/>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2020 п</w:t>
            </w:r>
          </w:p>
        </w:tc>
        <w:tc>
          <w:tcPr>
            <w:tcW w:w="625" w:type="pct"/>
            <w:tcBorders>
              <w:top w:val="single" w:sz="4" w:space="0" w:color="002060"/>
              <w:bottom w:val="single" w:sz="4" w:space="0" w:color="002060"/>
            </w:tcBorders>
            <w:shd w:val="clear" w:color="auto" w:fill="auto"/>
            <w:noWrap/>
            <w:hideMark/>
          </w:tcPr>
          <w:p w14:paraId="470B93BA" w14:textId="77777777" w:rsidR="003A4FB0" w:rsidRPr="00A37BCE" w:rsidRDefault="003A4FB0" w:rsidP="004E661B">
            <w:pPr>
              <w:jc w:val="right"/>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2021 п</w:t>
            </w:r>
          </w:p>
        </w:tc>
      </w:tr>
      <w:tr w:rsidR="003A4FB0" w:rsidRPr="00A37BCE" w14:paraId="4B095AC0" w14:textId="77777777" w:rsidTr="00E41734">
        <w:trPr>
          <w:cnfStyle w:val="000000100000" w:firstRow="0" w:lastRow="0" w:firstColumn="0" w:lastColumn="0" w:oddVBand="0" w:evenVBand="0" w:oddHBand="1" w:evenHBand="0" w:firstRowFirstColumn="0" w:firstRowLastColumn="0" w:lastRowFirstColumn="0" w:lastRowLastColumn="0"/>
          <w:trHeight w:val="253"/>
        </w:trPr>
        <w:tc>
          <w:tcPr>
            <w:tcW w:w="2637" w:type="pct"/>
            <w:tcBorders>
              <w:top w:val="single" w:sz="4" w:space="0" w:color="FFFFFF" w:themeColor="background1"/>
            </w:tcBorders>
            <w:shd w:val="clear" w:color="auto" w:fill="auto"/>
            <w:noWrap/>
            <w:hideMark/>
          </w:tcPr>
          <w:p w14:paraId="06BE7984" w14:textId="77777777" w:rsidR="003A4FB0" w:rsidRPr="00A37BCE" w:rsidRDefault="003A4FB0" w:rsidP="004E661B">
            <w:pPr>
              <w:spacing w:line="240" w:lineRule="auto"/>
              <w:rPr>
                <w:rFonts w:asciiTheme="minorHAnsi" w:hAnsiTheme="minorHAnsi" w:cstheme="minorHAnsi"/>
                <w:color w:val="002060"/>
                <w:sz w:val="18"/>
                <w:szCs w:val="18"/>
                <w:lang w:val="sr-Cyrl-RS"/>
              </w:rPr>
            </w:pPr>
            <w:r w:rsidRPr="00A37BCE">
              <w:rPr>
                <w:rFonts w:asciiTheme="minorHAnsi" w:hAnsiTheme="minorHAnsi" w:cstheme="minorHAnsi"/>
                <w:bCs/>
                <w:color w:val="002060"/>
                <w:sz w:val="18"/>
                <w:szCs w:val="18"/>
                <w:lang w:val="sr-Cyrl-RS"/>
              </w:rPr>
              <w:t>Главница</w:t>
            </w:r>
          </w:p>
        </w:tc>
        <w:tc>
          <w:tcPr>
            <w:tcW w:w="440" w:type="pct"/>
            <w:tcBorders>
              <w:top w:val="single" w:sz="4" w:space="0" w:color="002060"/>
            </w:tcBorders>
            <w:shd w:val="clear" w:color="auto" w:fill="auto"/>
            <w:noWrap/>
          </w:tcPr>
          <w:p w14:paraId="54487526" w14:textId="77777777" w:rsidR="003A4FB0" w:rsidRPr="00A37BCE" w:rsidRDefault="003A4FB0" w:rsidP="004E661B">
            <w:pPr>
              <w:spacing w:line="240" w:lineRule="auto"/>
              <w:jc w:val="right"/>
              <w:rPr>
                <w:rFonts w:asciiTheme="minorHAnsi" w:hAnsiTheme="minorHAnsi" w:cstheme="minorHAnsi"/>
                <w:color w:val="002060"/>
                <w:sz w:val="18"/>
                <w:szCs w:val="18"/>
                <w:lang w:val="sr-Cyrl-RS"/>
              </w:rPr>
            </w:pPr>
            <w:r w:rsidRPr="00A37BCE">
              <w:rPr>
                <w:rFonts w:asciiTheme="minorHAnsi" w:hAnsiTheme="minorHAnsi" w:cstheme="minorHAnsi"/>
                <w:bCs/>
                <w:color w:val="002060"/>
                <w:sz w:val="18"/>
                <w:szCs w:val="18"/>
                <w:lang w:val="sr-Cyrl-RS"/>
              </w:rPr>
              <w:t>478,5</w:t>
            </w:r>
          </w:p>
        </w:tc>
        <w:tc>
          <w:tcPr>
            <w:tcW w:w="674" w:type="pct"/>
            <w:tcBorders>
              <w:top w:val="single" w:sz="4" w:space="0" w:color="002060"/>
            </w:tcBorders>
            <w:shd w:val="clear" w:color="auto" w:fill="auto"/>
            <w:noWrap/>
          </w:tcPr>
          <w:p w14:paraId="7AC3157B" w14:textId="49A6CEC3" w:rsidR="003A4FB0" w:rsidRPr="00A37BCE" w:rsidRDefault="003A4FB0" w:rsidP="004E661B">
            <w:pPr>
              <w:spacing w:line="240" w:lineRule="auto"/>
              <w:jc w:val="right"/>
              <w:rPr>
                <w:rFonts w:asciiTheme="minorHAnsi" w:hAnsiTheme="minorHAnsi" w:cstheme="minorHAnsi"/>
                <w:color w:val="002060"/>
                <w:sz w:val="18"/>
                <w:szCs w:val="18"/>
                <w:lang w:val="sr-Cyrl-RS"/>
              </w:rPr>
            </w:pPr>
            <w:r w:rsidRPr="00A37BCE">
              <w:rPr>
                <w:rFonts w:asciiTheme="minorHAnsi" w:hAnsiTheme="minorHAnsi" w:cstheme="minorHAnsi"/>
                <w:bCs/>
                <w:color w:val="002060"/>
                <w:sz w:val="18"/>
                <w:szCs w:val="18"/>
                <w:lang w:val="sr-Cyrl-RS"/>
              </w:rPr>
              <w:t>396,0*</w:t>
            </w:r>
          </w:p>
        </w:tc>
        <w:tc>
          <w:tcPr>
            <w:tcW w:w="624" w:type="pct"/>
            <w:tcBorders>
              <w:top w:val="single" w:sz="4" w:space="0" w:color="002060"/>
            </w:tcBorders>
            <w:shd w:val="clear" w:color="auto" w:fill="auto"/>
            <w:noWrap/>
          </w:tcPr>
          <w:p w14:paraId="291C185B" w14:textId="77777777" w:rsidR="003A4FB0" w:rsidRPr="00A37BCE" w:rsidRDefault="003A4FB0" w:rsidP="004E661B">
            <w:pPr>
              <w:spacing w:line="240" w:lineRule="auto"/>
              <w:jc w:val="right"/>
              <w:rPr>
                <w:rFonts w:asciiTheme="minorHAnsi" w:hAnsiTheme="minorHAnsi" w:cstheme="minorHAnsi"/>
                <w:color w:val="002060"/>
                <w:sz w:val="18"/>
                <w:szCs w:val="18"/>
                <w:lang w:val="sr-Cyrl-RS"/>
              </w:rPr>
            </w:pPr>
            <w:r w:rsidRPr="00A37BCE">
              <w:rPr>
                <w:rFonts w:asciiTheme="minorHAnsi" w:hAnsiTheme="minorHAnsi" w:cstheme="minorHAnsi"/>
                <w:bCs/>
                <w:color w:val="002060"/>
                <w:sz w:val="18"/>
                <w:szCs w:val="18"/>
                <w:lang w:val="sr-Cyrl-RS"/>
              </w:rPr>
              <w:t>458,2</w:t>
            </w:r>
          </w:p>
        </w:tc>
        <w:tc>
          <w:tcPr>
            <w:tcW w:w="625" w:type="pct"/>
            <w:tcBorders>
              <w:top w:val="single" w:sz="4" w:space="0" w:color="002060"/>
            </w:tcBorders>
            <w:shd w:val="clear" w:color="auto" w:fill="auto"/>
            <w:noWrap/>
          </w:tcPr>
          <w:p w14:paraId="35DF1A86" w14:textId="77777777" w:rsidR="003A4FB0" w:rsidRPr="00A37BCE" w:rsidRDefault="003A4FB0" w:rsidP="004E661B">
            <w:pPr>
              <w:spacing w:line="240" w:lineRule="auto"/>
              <w:jc w:val="right"/>
              <w:rPr>
                <w:rFonts w:asciiTheme="minorHAnsi" w:hAnsiTheme="minorHAnsi" w:cstheme="minorHAnsi"/>
                <w:color w:val="002060"/>
                <w:sz w:val="18"/>
                <w:szCs w:val="18"/>
                <w:lang w:val="sr-Cyrl-RS"/>
              </w:rPr>
            </w:pPr>
            <w:r w:rsidRPr="00A37BCE">
              <w:rPr>
                <w:rFonts w:asciiTheme="minorHAnsi" w:hAnsiTheme="minorHAnsi" w:cstheme="minorHAnsi"/>
                <w:bCs/>
                <w:color w:val="002060"/>
                <w:sz w:val="18"/>
                <w:szCs w:val="18"/>
                <w:lang w:val="sr-Cyrl-RS"/>
              </w:rPr>
              <w:t>426,8</w:t>
            </w:r>
          </w:p>
        </w:tc>
      </w:tr>
      <w:tr w:rsidR="003A4FB0" w:rsidRPr="00A37BCE" w14:paraId="3A0A7928" w14:textId="77777777" w:rsidTr="00E41734">
        <w:trPr>
          <w:trHeight w:val="93"/>
        </w:trPr>
        <w:tc>
          <w:tcPr>
            <w:tcW w:w="2637" w:type="pct"/>
            <w:shd w:val="clear" w:color="auto" w:fill="auto"/>
            <w:noWrap/>
            <w:hideMark/>
          </w:tcPr>
          <w:p w14:paraId="40EB49F2" w14:textId="77777777" w:rsidR="003A4FB0" w:rsidRPr="00A37BCE" w:rsidRDefault="003A4FB0" w:rsidP="004E661B">
            <w:pPr>
              <w:spacing w:line="240" w:lineRule="auto"/>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Камата</w:t>
            </w:r>
          </w:p>
        </w:tc>
        <w:tc>
          <w:tcPr>
            <w:tcW w:w="440" w:type="pct"/>
            <w:shd w:val="clear" w:color="auto" w:fill="auto"/>
            <w:noWrap/>
          </w:tcPr>
          <w:p w14:paraId="1D80ACB9"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106,9</w:t>
            </w:r>
          </w:p>
        </w:tc>
        <w:tc>
          <w:tcPr>
            <w:tcW w:w="674" w:type="pct"/>
            <w:shd w:val="clear" w:color="auto" w:fill="auto"/>
            <w:noWrap/>
          </w:tcPr>
          <w:p w14:paraId="6C6EE695"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102,9</w:t>
            </w:r>
          </w:p>
        </w:tc>
        <w:tc>
          <w:tcPr>
            <w:tcW w:w="624" w:type="pct"/>
            <w:shd w:val="clear" w:color="auto" w:fill="auto"/>
            <w:noWrap/>
          </w:tcPr>
          <w:p w14:paraId="7590D6DD"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102,0</w:t>
            </w:r>
          </w:p>
        </w:tc>
        <w:tc>
          <w:tcPr>
            <w:tcW w:w="625" w:type="pct"/>
            <w:shd w:val="clear" w:color="auto" w:fill="auto"/>
            <w:noWrap/>
          </w:tcPr>
          <w:p w14:paraId="508FDC7D"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106,5</w:t>
            </w:r>
          </w:p>
        </w:tc>
      </w:tr>
      <w:tr w:rsidR="003A4FB0" w:rsidRPr="00A37BCE" w14:paraId="195C96D1" w14:textId="77777777" w:rsidTr="00E41734">
        <w:trPr>
          <w:cnfStyle w:val="000000100000" w:firstRow="0" w:lastRow="0" w:firstColumn="0" w:lastColumn="0" w:oddVBand="0" w:evenVBand="0" w:oddHBand="1" w:evenHBand="0" w:firstRowFirstColumn="0" w:firstRowLastColumn="0" w:lastRowFirstColumn="0" w:lastRowLastColumn="0"/>
          <w:trHeight w:val="93"/>
        </w:trPr>
        <w:tc>
          <w:tcPr>
            <w:tcW w:w="2637" w:type="pct"/>
            <w:shd w:val="clear" w:color="auto" w:fill="auto"/>
            <w:noWrap/>
            <w:hideMark/>
          </w:tcPr>
          <w:p w14:paraId="3ED6D3E4" w14:textId="77777777" w:rsidR="003A4FB0" w:rsidRPr="00A37BCE" w:rsidRDefault="003A4FB0" w:rsidP="004E661B">
            <w:pPr>
              <w:spacing w:line="240" w:lineRule="auto"/>
              <w:rPr>
                <w:rFonts w:asciiTheme="minorHAnsi" w:hAnsiTheme="minorHAnsi" w:cstheme="minorHAnsi"/>
                <w:color w:val="002060"/>
                <w:sz w:val="18"/>
                <w:szCs w:val="18"/>
                <w:lang w:val="sr-Cyrl-RS"/>
              </w:rPr>
            </w:pPr>
            <w:r w:rsidRPr="00A37BCE">
              <w:rPr>
                <w:rFonts w:asciiTheme="minorHAnsi" w:hAnsiTheme="minorHAnsi" w:cstheme="minorHAnsi"/>
                <w:bCs/>
                <w:color w:val="002060"/>
                <w:sz w:val="18"/>
                <w:szCs w:val="18"/>
                <w:lang w:val="sr-Cyrl-RS"/>
              </w:rPr>
              <w:t>Укупно</w:t>
            </w:r>
          </w:p>
        </w:tc>
        <w:tc>
          <w:tcPr>
            <w:tcW w:w="440" w:type="pct"/>
            <w:shd w:val="clear" w:color="auto" w:fill="auto"/>
            <w:noWrap/>
          </w:tcPr>
          <w:p w14:paraId="528B9BEE" w14:textId="77777777" w:rsidR="003A4FB0" w:rsidRPr="00A37BCE" w:rsidRDefault="003A4FB0" w:rsidP="004E661B">
            <w:pPr>
              <w:spacing w:line="240" w:lineRule="auto"/>
              <w:jc w:val="right"/>
              <w:rPr>
                <w:rFonts w:asciiTheme="minorHAnsi" w:hAnsiTheme="minorHAnsi" w:cstheme="minorHAnsi"/>
                <w:color w:val="002060"/>
                <w:sz w:val="18"/>
                <w:szCs w:val="18"/>
                <w:lang w:val="sr-Cyrl-RS"/>
              </w:rPr>
            </w:pPr>
            <w:r w:rsidRPr="00A37BCE">
              <w:rPr>
                <w:rFonts w:asciiTheme="minorHAnsi" w:hAnsiTheme="minorHAnsi" w:cstheme="minorHAnsi"/>
                <w:bCs/>
                <w:color w:val="002060"/>
                <w:sz w:val="18"/>
                <w:szCs w:val="18"/>
                <w:lang w:val="sr-Cyrl-RS"/>
              </w:rPr>
              <w:t>585,4</w:t>
            </w:r>
          </w:p>
        </w:tc>
        <w:tc>
          <w:tcPr>
            <w:tcW w:w="674" w:type="pct"/>
            <w:shd w:val="clear" w:color="auto" w:fill="auto"/>
            <w:noWrap/>
          </w:tcPr>
          <w:p w14:paraId="50E9EBF3" w14:textId="77777777" w:rsidR="003A4FB0" w:rsidRPr="00A37BCE" w:rsidRDefault="003A4FB0" w:rsidP="004E661B">
            <w:pPr>
              <w:spacing w:line="240" w:lineRule="auto"/>
              <w:jc w:val="right"/>
              <w:rPr>
                <w:rFonts w:asciiTheme="minorHAnsi" w:hAnsiTheme="minorHAnsi" w:cstheme="minorHAnsi"/>
                <w:color w:val="002060"/>
                <w:sz w:val="18"/>
                <w:szCs w:val="18"/>
                <w:lang w:val="sr-Cyrl-RS"/>
              </w:rPr>
            </w:pPr>
            <w:r w:rsidRPr="00A37BCE">
              <w:rPr>
                <w:rFonts w:asciiTheme="minorHAnsi" w:hAnsiTheme="minorHAnsi" w:cstheme="minorHAnsi"/>
                <w:bCs/>
                <w:color w:val="002060"/>
                <w:sz w:val="18"/>
                <w:szCs w:val="18"/>
                <w:lang w:val="sr-Cyrl-RS"/>
              </w:rPr>
              <w:t>498,9</w:t>
            </w:r>
          </w:p>
        </w:tc>
        <w:tc>
          <w:tcPr>
            <w:tcW w:w="624" w:type="pct"/>
            <w:shd w:val="clear" w:color="auto" w:fill="auto"/>
            <w:noWrap/>
          </w:tcPr>
          <w:p w14:paraId="390DB819" w14:textId="77777777" w:rsidR="003A4FB0" w:rsidRPr="00A37BCE" w:rsidRDefault="003A4FB0" w:rsidP="004E661B">
            <w:pPr>
              <w:spacing w:line="240" w:lineRule="auto"/>
              <w:jc w:val="right"/>
              <w:rPr>
                <w:rFonts w:asciiTheme="minorHAnsi" w:hAnsiTheme="minorHAnsi" w:cstheme="minorHAnsi"/>
                <w:color w:val="002060"/>
                <w:sz w:val="18"/>
                <w:szCs w:val="18"/>
                <w:lang w:val="sr-Cyrl-RS"/>
              </w:rPr>
            </w:pPr>
            <w:r w:rsidRPr="00A37BCE">
              <w:rPr>
                <w:rFonts w:asciiTheme="minorHAnsi" w:hAnsiTheme="minorHAnsi" w:cstheme="minorHAnsi"/>
                <w:bCs/>
                <w:color w:val="002060"/>
                <w:sz w:val="18"/>
                <w:szCs w:val="18"/>
                <w:lang w:val="sr-Cyrl-RS"/>
              </w:rPr>
              <w:t>560,2</w:t>
            </w:r>
          </w:p>
        </w:tc>
        <w:tc>
          <w:tcPr>
            <w:tcW w:w="625" w:type="pct"/>
            <w:shd w:val="clear" w:color="auto" w:fill="auto"/>
            <w:noWrap/>
          </w:tcPr>
          <w:p w14:paraId="5E5C635C" w14:textId="77777777" w:rsidR="003A4FB0" w:rsidRPr="00A37BCE" w:rsidRDefault="003A4FB0" w:rsidP="004E661B">
            <w:pPr>
              <w:spacing w:line="240" w:lineRule="auto"/>
              <w:jc w:val="right"/>
              <w:rPr>
                <w:rFonts w:asciiTheme="minorHAnsi" w:hAnsiTheme="minorHAnsi" w:cstheme="minorHAnsi"/>
                <w:color w:val="002060"/>
                <w:sz w:val="18"/>
                <w:szCs w:val="18"/>
                <w:lang w:val="sr-Cyrl-RS"/>
              </w:rPr>
            </w:pPr>
            <w:r w:rsidRPr="00A37BCE">
              <w:rPr>
                <w:rFonts w:asciiTheme="minorHAnsi" w:hAnsiTheme="minorHAnsi" w:cstheme="minorHAnsi"/>
                <w:bCs/>
                <w:color w:val="002060"/>
                <w:sz w:val="18"/>
                <w:szCs w:val="18"/>
                <w:lang w:val="sr-Cyrl-RS"/>
              </w:rPr>
              <w:t>533,3</w:t>
            </w:r>
          </w:p>
        </w:tc>
      </w:tr>
      <w:tr w:rsidR="003A4FB0" w:rsidRPr="00A37BCE" w14:paraId="4E4901AF" w14:textId="77777777" w:rsidTr="00E41734">
        <w:trPr>
          <w:trHeight w:val="93"/>
        </w:trPr>
        <w:tc>
          <w:tcPr>
            <w:tcW w:w="2637" w:type="pct"/>
            <w:tcBorders>
              <w:bottom w:val="single" w:sz="4" w:space="0" w:color="002060"/>
            </w:tcBorders>
            <w:shd w:val="clear" w:color="auto" w:fill="auto"/>
            <w:noWrap/>
            <w:hideMark/>
          </w:tcPr>
          <w:p w14:paraId="101293F7" w14:textId="77777777" w:rsidR="003A4FB0" w:rsidRPr="00A37BCE" w:rsidRDefault="003A4FB0" w:rsidP="004E661B">
            <w:pPr>
              <w:spacing w:line="240" w:lineRule="auto"/>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 xml:space="preserve"> У односу на јавни дуг на дан 30.09.2018. године</w:t>
            </w:r>
          </w:p>
        </w:tc>
        <w:tc>
          <w:tcPr>
            <w:tcW w:w="440" w:type="pct"/>
            <w:tcBorders>
              <w:bottom w:val="single" w:sz="4" w:space="0" w:color="002060"/>
            </w:tcBorders>
            <w:shd w:val="clear" w:color="auto" w:fill="auto"/>
            <w:noWrap/>
          </w:tcPr>
          <w:p w14:paraId="33C31B83"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20,6%</w:t>
            </w:r>
          </w:p>
        </w:tc>
        <w:tc>
          <w:tcPr>
            <w:tcW w:w="674" w:type="pct"/>
            <w:tcBorders>
              <w:bottom w:val="single" w:sz="4" w:space="0" w:color="002060"/>
            </w:tcBorders>
            <w:shd w:val="clear" w:color="auto" w:fill="auto"/>
            <w:noWrap/>
          </w:tcPr>
          <w:p w14:paraId="5F032D94" w14:textId="4EDE5A85"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17,6%</w:t>
            </w:r>
          </w:p>
        </w:tc>
        <w:tc>
          <w:tcPr>
            <w:tcW w:w="624" w:type="pct"/>
            <w:tcBorders>
              <w:bottom w:val="single" w:sz="4" w:space="0" w:color="002060"/>
            </w:tcBorders>
            <w:shd w:val="clear" w:color="auto" w:fill="auto"/>
            <w:noWrap/>
          </w:tcPr>
          <w:p w14:paraId="17F8816D"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19,7%</w:t>
            </w:r>
          </w:p>
        </w:tc>
        <w:tc>
          <w:tcPr>
            <w:tcW w:w="625" w:type="pct"/>
            <w:tcBorders>
              <w:bottom w:val="single" w:sz="4" w:space="0" w:color="002060"/>
            </w:tcBorders>
            <w:shd w:val="clear" w:color="auto" w:fill="auto"/>
            <w:noWrap/>
          </w:tcPr>
          <w:p w14:paraId="3389F356"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18,8%</w:t>
            </w:r>
          </w:p>
        </w:tc>
      </w:tr>
    </w:tbl>
    <w:p w14:paraId="61D26F70" w14:textId="77777777" w:rsidR="003A4FB0" w:rsidRPr="00315856" w:rsidRDefault="003A4FB0" w:rsidP="003A4FB0">
      <w:pPr>
        <w:spacing w:line="240" w:lineRule="auto"/>
        <w:rPr>
          <w:rFonts w:cstheme="minorHAnsi"/>
          <w:bCs/>
          <w:color w:val="44546A" w:themeColor="text2"/>
          <w:sz w:val="18"/>
          <w:szCs w:val="18"/>
          <w:lang w:val="sr-Cyrl-RS"/>
        </w:rPr>
      </w:pPr>
      <w:r w:rsidRPr="00315856">
        <w:rPr>
          <w:rFonts w:eastAsia="Calibri" w:cstheme="minorHAnsi"/>
          <w:bCs/>
          <w:color w:val="44546A" w:themeColor="text2"/>
          <w:sz w:val="18"/>
          <w:szCs w:val="18"/>
          <w:lang w:val="sr-Cyrl-RS" w:eastAsia="sr-Cyrl-CS"/>
        </w:rPr>
        <w:t xml:space="preserve">* без планираних </w:t>
      </w:r>
      <w:r w:rsidRPr="00FF289A">
        <w:rPr>
          <w:rFonts w:eastAsia="Calibri" w:cstheme="minorHAnsi"/>
          <w:bCs/>
          <w:i/>
          <w:color w:val="44546A" w:themeColor="text2"/>
          <w:sz w:val="18"/>
          <w:szCs w:val="18"/>
          <w:lang w:val="sr-Cyrl-RS" w:eastAsia="sr-Cyrl-CS"/>
        </w:rPr>
        <w:t>buy-back</w:t>
      </w:r>
      <w:r w:rsidRPr="00315856">
        <w:rPr>
          <w:rFonts w:eastAsia="Calibri" w:cstheme="minorHAnsi"/>
          <w:bCs/>
          <w:color w:val="44546A" w:themeColor="text2"/>
          <w:sz w:val="18"/>
          <w:szCs w:val="18"/>
          <w:lang w:val="sr-Cyrl-RS" w:eastAsia="sr-Cyrl-CS"/>
        </w:rPr>
        <w:t xml:space="preserve"> операција</w:t>
      </w:r>
    </w:p>
    <w:p w14:paraId="610A05DC" w14:textId="3AC34B5D" w:rsidR="003A4FB0" w:rsidRPr="00A37BCE" w:rsidRDefault="003A4FB0" w:rsidP="003A4FB0">
      <w:pPr>
        <w:jc w:val="center"/>
        <w:rPr>
          <w:b/>
          <w:color w:val="002060"/>
          <w:sz w:val="20"/>
          <w:lang w:val="sr-Cyrl-RS"/>
        </w:rPr>
      </w:pPr>
      <w:r w:rsidRPr="00A37BCE">
        <w:rPr>
          <w:b/>
          <w:color w:val="002060"/>
          <w:sz w:val="20"/>
          <w:lang w:val="sr-Cyrl-RS"/>
        </w:rPr>
        <w:t>Табела</w:t>
      </w:r>
      <w:r w:rsidR="005B01D9" w:rsidRPr="00A37BCE">
        <w:rPr>
          <w:b/>
          <w:color w:val="002060"/>
          <w:sz w:val="20"/>
          <w:lang w:val="sr-Cyrl-RS"/>
        </w:rPr>
        <w:t xml:space="preserve"> 25</w:t>
      </w:r>
      <w:r w:rsidR="006B7258" w:rsidRPr="00A37BCE">
        <w:rPr>
          <w:b/>
          <w:color w:val="002060"/>
          <w:sz w:val="20"/>
          <w:lang w:val="sr-Cyrl-RS"/>
        </w:rPr>
        <w:t>. П</w:t>
      </w:r>
      <w:r w:rsidRPr="00A37BCE">
        <w:rPr>
          <w:b/>
          <w:color w:val="002060"/>
          <w:sz w:val="20"/>
          <w:lang w:val="sr-Cyrl-RS"/>
        </w:rPr>
        <w:t>ројекције отплате камата и главница до 2021. године (% учешћа у БДП)</w:t>
      </w:r>
    </w:p>
    <w:tbl>
      <w:tblPr>
        <w:tblStyle w:val="LightShading-Accent12"/>
        <w:tblW w:w="5000" w:type="pct"/>
        <w:tblLook w:val="0420" w:firstRow="1" w:lastRow="0" w:firstColumn="0" w:lastColumn="0" w:noHBand="0" w:noVBand="1"/>
      </w:tblPr>
      <w:tblGrid>
        <w:gridCol w:w="4949"/>
        <w:gridCol w:w="811"/>
        <w:gridCol w:w="1170"/>
        <w:gridCol w:w="1260"/>
        <w:gridCol w:w="1170"/>
      </w:tblGrid>
      <w:tr w:rsidR="003A4FB0" w:rsidRPr="00A37BCE" w14:paraId="3018541A" w14:textId="77777777" w:rsidTr="004E661B">
        <w:trPr>
          <w:cnfStyle w:val="100000000000" w:firstRow="1" w:lastRow="0" w:firstColumn="0" w:lastColumn="0" w:oddVBand="0" w:evenVBand="0" w:oddHBand="0" w:evenHBand="0" w:firstRowFirstColumn="0" w:firstRowLastColumn="0" w:lastRowFirstColumn="0" w:lastRowLastColumn="0"/>
          <w:trHeight w:val="22"/>
        </w:trPr>
        <w:tc>
          <w:tcPr>
            <w:tcW w:w="2644" w:type="pct"/>
            <w:tcBorders>
              <w:top w:val="single" w:sz="4" w:space="0" w:color="002060"/>
              <w:bottom w:val="single" w:sz="4" w:space="0" w:color="FFFFFF" w:themeColor="background1"/>
            </w:tcBorders>
            <w:shd w:val="clear" w:color="auto" w:fill="auto"/>
            <w:noWrap/>
            <w:hideMark/>
          </w:tcPr>
          <w:p w14:paraId="588FB185" w14:textId="77777777" w:rsidR="003A4FB0" w:rsidRPr="00A37BCE" w:rsidRDefault="003A4FB0" w:rsidP="004E661B">
            <w:pPr>
              <w:jc w:val="right"/>
              <w:rPr>
                <w:rFonts w:asciiTheme="minorHAnsi" w:hAnsiTheme="minorHAnsi" w:cstheme="minorHAnsi"/>
                <w:b w:val="0"/>
                <w:color w:val="002060"/>
                <w:sz w:val="18"/>
                <w:szCs w:val="18"/>
                <w:lang w:val="sr-Cyrl-RS"/>
              </w:rPr>
            </w:pPr>
            <w:bookmarkStart w:id="21" w:name="_Hlk529257961"/>
            <w:r w:rsidRPr="00A37BCE">
              <w:rPr>
                <w:rFonts w:asciiTheme="minorHAnsi" w:hAnsiTheme="minorHAnsi" w:cstheme="minorHAnsi"/>
                <w:b w:val="0"/>
                <w:color w:val="002060"/>
                <w:sz w:val="18"/>
                <w:szCs w:val="18"/>
                <w:lang w:val="sr-Cyrl-RS"/>
              </w:rPr>
              <w:t> </w:t>
            </w:r>
          </w:p>
        </w:tc>
        <w:tc>
          <w:tcPr>
            <w:tcW w:w="433" w:type="pct"/>
            <w:tcBorders>
              <w:top w:val="single" w:sz="4" w:space="0" w:color="002060"/>
              <w:bottom w:val="single" w:sz="4" w:space="0" w:color="002060"/>
            </w:tcBorders>
            <w:shd w:val="clear" w:color="auto" w:fill="auto"/>
            <w:noWrap/>
            <w:hideMark/>
          </w:tcPr>
          <w:p w14:paraId="1B9A2B09" w14:textId="77777777" w:rsidR="003A4FB0" w:rsidRPr="00A37BCE" w:rsidRDefault="003A4FB0" w:rsidP="004E661B">
            <w:pPr>
              <w:jc w:val="right"/>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2018 п</w:t>
            </w:r>
          </w:p>
        </w:tc>
        <w:tc>
          <w:tcPr>
            <w:tcW w:w="625" w:type="pct"/>
            <w:tcBorders>
              <w:top w:val="single" w:sz="4" w:space="0" w:color="002060"/>
              <w:bottom w:val="single" w:sz="4" w:space="0" w:color="002060"/>
            </w:tcBorders>
            <w:shd w:val="clear" w:color="auto" w:fill="auto"/>
            <w:noWrap/>
            <w:hideMark/>
          </w:tcPr>
          <w:p w14:paraId="0471CB72" w14:textId="77777777" w:rsidR="003A4FB0" w:rsidRPr="00A37BCE" w:rsidRDefault="003A4FB0" w:rsidP="004E661B">
            <w:pPr>
              <w:jc w:val="right"/>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2019 п</w:t>
            </w:r>
          </w:p>
        </w:tc>
        <w:tc>
          <w:tcPr>
            <w:tcW w:w="673" w:type="pct"/>
            <w:tcBorders>
              <w:top w:val="single" w:sz="4" w:space="0" w:color="002060"/>
              <w:bottom w:val="single" w:sz="4" w:space="0" w:color="002060"/>
            </w:tcBorders>
            <w:shd w:val="clear" w:color="auto" w:fill="auto"/>
            <w:noWrap/>
            <w:hideMark/>
          </w:tcPr>
          <w:p w14:paraId="1C96795B" w14:textId="77777777" w:rsidR="003A4FB0" w:rsidRPr="00A37BCE" w:rsidRDefault="003A4FB0" w:rsidP="004E661B">
            <w:pPr>
              <w:jc w:val="right"/>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2020 п</w:t>
            </w:r>
          </w:p>
        </w:tc>
        <w:tc>
          <w:tcPr>
            <w:tcW w:w="625" w:type="pct"/>
            <w:tcBorders>
              <w:top w:val="single" w:sz="4" w:space="0" w:color="002060"/>
              <w:bottom w:val="single" w:sz="4" w:space="0" w:color="002060"/>
            </w:tcBorders>
            <w:shd w:val="clear" w:color="auto" w:fill="auto"/>
            <w:noWrap/>
            <w:hideMark/>
          </w:tcPr>
          <w:p w14:paraId="53BA6097" w14:textId="77777777" w:rsidR="003A4FB0" w:rsidRPr="00A37BCE" w:rsidRDefault="003A4FB0" w:rsidP="004E661B">
            <w:pPr>
              <w:jc w:val="right"/>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2021 п</w:t>
            </w:r>
          </w:p>
        </w:tc>
      </w:tr>
      <w:tr w:rsidR="003A4FB0" w:rsidRPr="00A37BCE" w14:paraId="4F3C7609" w14:textId="77777777" w:rsidTr="004E661B">
        <w:trPr>
          <w:cnfStyle w:val="000000100000" w:firstRow="0" w:lastRow="0" w:firstColumn="0" w:lastColumn="0" w:oddVBand="0" w:evenVBand="0" w:oddHBand="1" w:evenHBand="0" w:firstRowFirstColumn="0" w:firstRowLastColumn="0" w:lastRowFirstColumn="0" w:lastRowLastColumn="0"/>
          <w:trHeight w:val="22"/>
        </w:trPr>
        <w:tc>
          <w:tcPr>
            <w:tcW w:w="2644" w:type="pct"/>
            <w:shd w:val="clear" w:color="auto" w:fill="auto"/>
            <w:noWrap/>
            <w:hideMark/>
          </w:tcPr>
          <w:p w14:paraId="305F3BB8" w14:textId="77777777" w:rsidR="003A4FB0" w:rsidRPr="00A37BCE" w:rsidRDefault="003A4FB0" w:rsidP="004E661B">
            <w:pPr>
              <w:spacing w:line="240" w:lineRule="auto"/>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Главница</w:t>
            </w:r>
          </w:p>
        </w:tc>
        <w:tc>
          <w:tcPr>
            <w:tcW w:w="433" w:type="pct"/>
            <w:shd w:val="clear" w:color="auto" w:fill="auto"/>
            <w:noWrap/>
          </w:tcPr>
          <w:p w14:paraId="5082C641"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9,4%</w:t>
            </w:r>
          </w:p>
        </w:tc>
        <w:tc>
          <w:tcPr>
            <w:tcW w:w="625" w:type="pct"/>
            <w:shd w:val="clear" w:color="auto" w:fill="auto"/>
            <w:noWrap/>
          </w:tcPr>
          <w:p w14:paraId="43FC7F3C"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 xml:space="preserve">  7,3%</w:t>
            </w:r>
          </w:p>
        </w:tc>
        <w:tc>
          <w:tcPr>
            <w:tcW w:w="673" w:type="pct"/>
            <w:shd w:val="clear" w:color="auto" w:fill="auto"/>
            <w:noWrap/>
          </w:tcPr>
          <w:p w14:paraId="48A9EF8C"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7,9%</w:t>
            </w:r>
          </w:p>
        </w:tc>
        <w:tc>
          <w:tcPr>
            <w:tcW w:w="625" w:type="pct"/>
            <w:shd w:val="clear" w:color="auto" w:fill="auto"/>
            <w:noWrap/>
          </w:tcPr>
          <w:p w14:paraId="3A57A407"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6,8%</w:t>
            </w:r>
          </w:p>
        </w:tc>
      </w:tr>
      <w:tr w:rsidR="003A4FB0" w:rsidRPr="00A37BCE" w14:paraId="32EDE6A4" w14:textId="77777777" w:rsidTr="004E661B">
        <w:trPr>
          <w:trHeight w:val="90"/>
        </w:trPr>
        <w:tc>
          <w:tcPr>
            <w:tcW w:w="2644" w:type="pct"/>
            <w:shd w:val="clear" w:color="auto" w:fill="auto"/>
            <w:noWrap/>
            <w:hideMark/>
          </w:tcPr>
          <w:p w14:paraId="5D891AC6" w14:textId="77777777" w:rsidR="003A4FB0" w:rsidRPr="00A37BCE" w:rsidRDefault="003A4FB0" w:rsidP="004E661B">
            <w:pPr>
              <w:spacing w:line="240" w:lineRule="auto"/>
              <w:rPr>
                <w:rFonts w:asciiTheme="minorHAnsi" w:hAnsiTheme="minorHAnsi" w:cstheme="minorHAnsi"/>
                <w:color w:val="002060"/>
                <w:sz w:val="18"/>
                <w:szCs w:val="18"/>
                <w:lang w:val="sr-Cyrl-RS"/>
              </w:rPr>
            </w:pPr>
            <w:r w:rsidRPr="00A37BCE">
              <w:rPr>
                <w:rFonts w:asciiTheme="minorHAnsi" w:hAnsiTheme="minorHAnsi" w:cstheme="minorHAnsi"/>
                <w:bCs/>
                <w:color w:val="002060"/>
                <w:sz w:val="18"/>
                <w:szCs w:val="18"/>
                <w:lang w:val="sr-Cyrl-RS"/>
              </w:rPr>
              <w:t>Камата</w:t>
            </w:r>
          </w:p>
        </w:tc>
        <w:tc>
          <w:tcPr>
            <w:tcW w:w="433" w:type="pct"/>
            <w:shd w:val="clear" w:color="auto" w:fill="auto"/>
            <w:noWrap/>
          </w:tcPr>
          <w:p w14:paraId="6FD50028" w14:textId="77777777" w:rsidR="003A4FB0" w:rsidRPr="00A37BCE" w:rsidRDefault="003A4FB0" w:rsidP="004E661B">
            <w:pPr>
              <w:spacing w:line="240" w:lineRule="auto"/>
              <w:jc w:val="right"/>
              <w:rPr>
                <w:rFonts w:asciiTheme="minorHAnsi" w:hAnsiTheme="minorHAnsi" w:cstheme="minorHAnsi"/>
                <w:color w:val="002060"/>
                <w:sz w:val="18"/>
                <w:szCs w:val="18"/>
                <w:lang w:val="sr-Cyrl-RS"/>
              </w:rPr>
            </w:pPr>
            <w:r w:rsidRPr="00A37BCE">
              <w:rPr>
                <w:rFonts w:asciiTheme="minorHAnsi" w:hAnsiTheme="minorHAnsi" w:cstheme="minorHAnsi"/>
                <w:bCs/>
                <w:color w:val="002060"/>
                <w:sz w:val="18"/>
                <w:szCs w:val="18"/>
                <w:lang w:val="sr-Cyrl-RS"/>
              </w:rPr>
              <w:t>2,1%</w:t>
            </w:r>
          </w:p>
        </w:tc>
        <w:tc>
          <w:tcPr>
            <w:tcW w:w="625" w:type="pct"/>
            <w:shd w:val="clear" w:color="auto" w:fill="auto"/>
            <w:noWrap/>
          </w:tcPr>
          <w:p w14:paraId="597403C1" w14:textId="77777777" w:rsidR="003A4FB0" w:rsidRPr="00A37BCE" w:rsidRDefault="003A4FB0" w:rsidP="004E661B">
            <w:pPr>
              <w:spacing w:line="240" w:lineRule="auto"/>
              <w:jc w:val="right"/>
              <w:rPr>
                <w:rFonts w:asciiTheme="minorHAnsi" w:hAnsiTheme="minorHAnsi" w:cstheme="minorHAnsi"/>
                <w:color w:val="002060"/>
                <w:sz w:val="18"/>
                <w:szCs w:val="18"/>
                <w:lang w:val="sr-Cyrl-RS"/>
              </w:rPr>
            </w:pPr>
            <w:r w:rsidRPr="00A37BCE">
              <w:rPr>
                <w:rFonts w:asciiTheme="minorHAnsi" w:hAnsiTheme="minorHAnsi" w:cstheme="minorHAnsi"/>
                <w:bCs/>
                <w:color w:val="002060"/>
                <w:sz w:val="18"/>
                <w:szCs w:val="18"/>
                <w:lang w:val="sr-Cyrl-RS"/>
              </w:rPr>
              <w:t xml:space="preserve">  1,9%</w:t>
            </w:r>
          </w:p>
        </w:tc>
        <w:tc>
          <w:tcPr>
            <w:tcW w:w="673" w:type="pct"/>
            <w:shd w:val="clear" w:color="auto" w:fill="auto"/>
            <w:noWrap/>
          </w:tcPr>
          <w:p w14:paraId="52C0DB74" w14:textId="77777777" w:rsidR="003A4FB0" w:rsidRPr="00A37BCE" w:rsidRDefault="003A4FB0" w:rsidP="004E661B">
            <w:pPr>
              <w:spacing w:line="240" w:lineRule="auto"/>
              <w:jc w:val="right"/>
              <w:rPr>
                <w:rFonts w:asciiTheme="minorHAnsi" w:hAnsiTheme="minorHAnsi" w:cstheme="minorHAnsi"/>
                <w:color w:val="002060"/>
                <w:sz w:val="18"/>
                <w:szCs w:val="18"/>
                <w:lang w:val="sr-Cyrl-RS"/>
              </w:rPr>
            </w:pPr>
            <w:r w:rsidRPr="00A37BCE">
              <w:rPr>
                <w:rFonts w:asciiTheme="minorHAnsi" w:hAnsiTheme="minorHAnsi" w:cstheme="minorHAnsi"/>
                <w:bCs/>
                <w:color w:val="002060"/>
                <w:sz w:val="18"/>
                <w:szCs w:val="18"/>
                <w:lang w:val="sr-Cyrl-RS"/>
              </w:rPr>
              <w:t>1,7%</w:t>
            </w:r>
          </w:p>
        </w:tc>
        <w:tc>
          <w:tcPr>
            <w:tcW w:w="625" w:type="pct"/>
            <w:shd w:val="clear" w:color="auto" w:fill="auto"/>
            <w:noWrap/>
          </w:tcPr>
          <w:p w14:paraId="4BAFD0E6" w14:textId="77777777" w:rsidR="003A4FB0" w:rsidRPr="00A37BCE" w:rsidRDefault="003A4FB0" w:rsidP="004E661B">
            <w:pPr>
              <w:spacing w:line="240" w:lineRule="auto"/>
              <w:jc w:val="right"/>
              <w:rPr>
                <w:rFonts w:asciiTheme="minorHAnsi" w:hAnsiTheme="minorHAnsi" w:cstheme="minorHAnsi"/>
                <w:color w:val="002060"/>
                <w:sz w:val="18"/>
                <w:szCs w:val="18"/>
                <w:lang w:val="sr-Cyrl-RS"/>
              </w:rPr>
            </w:pPr>
            <w:r w:rsidRPr="00A37BCE">
              <w:rPr>
                <w:rFonts w:asciiTheme="minorHAnsi" w:hAnsiTheme="minorHAnsi" w:cstheme="minorHAnsi"/>
                <w:bCs/>
                <w:color w:val="002060"/>
                <w:sz w:val="18"/>
                <w:szCs w:val="18"/>
                <w:lang w:val="sr-Cyrl-RS"/>
              </w:rPr>
              <w:t>1,7%</w:t>
            </w:r>
          </w:p>
        </w:tc>
      </w:tr>
      <w:tr w:rsidR="003A4FB0" w:rsidRPr="00A37BCE" w14:paraId="2CA1F620" w14:textId="77777777" w:rsidTr="004E661B">
        <w:trPr>
          <w:cnfStyle w:val="000000100000" w:firstRow="0" w:lastRow="0" w:firstColumn="0" w:lastColumn="0" w:oddVBand="0" w:evenVBand="0" w:oddHBand="1" w:evenHBand="0" w:firstRowFirstColumn="0" w:firstRowLastColumn="0" w:lastRowFirstColumn="0" w:lastRowLastColumn="0"/>
          <w:trHeight w:val="22"/>
        </w:trPr>
        <w:tc>
          <w:tcPr>
            <w:tcW w:w="2644" w:type="pct"/>
            <w:tcBorders>
              <w:bottom w:val="single" w:sz="4" w:space="0" w:color="002060"/>
            </w:tcBorders>
            <w:shd w:val="clear" w:color="auto" w:fill="auto"/>
            <w:noWrap/>
            <w:hideMark/>
          </w:tcPr>
          <w:p w14:paraId="6BB5E84F" w14:textId="77777777" w:rsidR="003A4FB0" w:rsidRPr="00A37BCE" w:rsidRDefault="003A4FB0" w:rsidP="004E661B">
            <w:pPr>
              <w:spacing w:line="240" w:lineRule="auto"/>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Укупно</w:t>
            </w:r>
          </w:p>
        </w:tc>
        <w:tc>
          <w:tcPr>
            <w:tcW w:w="433" w:type="pct"/>
            <w:tcBorders>
              <w:bottom w:val="single" w:sz="4" w:space="0" w:color="002060"/>
            </w:tcBorders>
            <w:shd w:val="clear" w:color="auto" w:fill="auto"/>
            <w:noWrap/>
          </w:tcPr>
          <w:p w14:paraId="3C9E0A86"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11,5%</w:t>
            </w:r>
          </w:p>
        </w:tc>
        <w:tc>
          <w:tcPr>
            <w:tcW w:w="625" w:type="pct"/>
            <w:tcBorders>
              <w:bottom w:val="single" w:sz="4" w:space="0" w:color="002060"/>
            </w:tcBorders>
            <w:shd w:val="clear" w:color="auto" w:fill="auto"/>
            <w:noWrap/>
          </w:tcPr>
          <w:p w14:paraId="160678D8"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 xml:space="preserve">  9,2%</w:t>
            </w:r>
          </w:p>
        </w:tc>
        <w:tc>
          <w:tcPr>
            <w:tcW w:w="673" w:type="pct"/>
            <w:tcBorders>
              <w:bottom w:val="single" w:sz="4" w:space="0" w:color="002060"/>
            </w:tcBorders>
            <w:shd w:val="clear" w:color="auto" w:fill="auto"/>
            <w:noWrap/>
          </w:tcPr>
          <w:p w14:paraId="1156B8DC"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9,6%</w:t>
            </w:r>
          </w:p>
        </w:tc>
        <w:tc>
          <w:tcPr>
            <w:tcW w:w="625" w:type="pct"/>
            <w:tcBorders>
              <w:bottom w:val="single" w:sz="4" w:space="0" w:color="002060"/>
            </w:tcBorders>
            <w:shd w:val="clear" w:color="auto" w:fill="auto"/>
            <w:noWrap/>
          </w:tcPr>
          <w:p w14:paraId="46FE80DA"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8,5%</w:t>
            </w:r>
          </w:p>
        </w:tc>
      </w:tr>
      <w:bookmarkEnd w:id="21"/>
    </w:tbl>
    <w:p w14:paraId="5C6BF5AD" w14:textId="77777777" w:rsidR="003A4FB0" w:rsidRPr="00A37BCE" w:rsidRDefault="003A4FB0" w:rsidP="003A4FB0">
      <w:pPr>
        <w:jc w:val="both"/>
        <w:rPr>
          <w:rFonts w:cstheme="minorHAnsi"/>
          <w:bCs/>
          <w:color w:val="44546A" w:themeColor="text2"/>
          <w:sz w:val="20"/>
          <w:szCs w:val="72"/>
          <w:lang w:val="sr-Cyrl-RS"/>
        </w:rPr>
      </w:pPr>
    </w:p>
    <w:p w14:paraId="34BCD5B3" w14:textId="77777777" w:rsidR="003A4FB0" w:rsidRPr="00A37BCE" w:rsidRDefault="003A4FB0" w:rsidP="003A4FB0">
      <w:pPr>
        <w:jc w:val="both"/>
        <w:rPr>
          <w:rFonts w:cstheme="minorHAnsi"/>
          <w:bCs/>
          <w:color w:val="44546A" w:themeColor="text2"/>
          <w:sz w:val="20"/>
          <w:szCs w:val="72"/>
          <w:lang w:val="sr-Cyrl-RS"/>
        </w:rPr>
        <w:sectPr w:rsidR="003A4FB0" w:rsidRPr="00A37BCE" w:rsidSect="004E661B">
          <w:type w:val="continuous"/>
          <w:pgSz w:w="12240" w:h="15840"/>
          <w:pgMar w:top="1440" w:right="1440" w:bottom="1440" w:left="1440" w:header="720" w:footer="720" w:gutter="0"/>
          <w:cols w:space="720"/>
          <w:docGrid w:linePitch="360"/>
        </w:sectPr>
      </w:pPr>
    </w:p>
    <w:p w14:paraId="4B5F046D" w14:textId="0387718D" w:rsidR="003A4FB0" w:rsidRPr="00A37BCE" w:rsidRDefault="003A4FB0" w:rsidP="003A4FB0">
      <w:pPr>
        <w:jc w:val="both"/>
        <w:rPr>
          <w:b/>
          <w:color w:val="2F5496" w:themeColor="accent1" w:themeShade="BF"/>
          <w:lang w:val="sr-Cyrl-RS"/>
        </w:rPr>
      </w:pPr>
      <w:r w:rsidRPr="00A37BCE">
        <w:rPr>
          <w:b/>
          <w:color w:val="2F5496" w:themeColor="accent1" w:themeShade="BF"/>
          <w:lang w:val="sr-Cyrl-RS"/>
        </w:rPr>
        <w:lastRenderedPageBreak/>
        <w:t>Пројекција стања јавног дуга општег нивоа државе у периоду 2018–2021. годин</w:t>
      </w:r>
      <w:r w:rsidR="00DE1CB6">
        <w:rPr>
          <w:b/>
          <w:color w:val="2F5496" w:themeColor="accent1" w:themeShade="BF"/>
          <w:lang w:val="sr-Cyrl-RS"/>
        </w:rPr>
        <w:t>е</w:t>
      </w:r>
    </w:p>
    <w:p w14:paraId="17399F9E" w14:textId="765B6E0A" w:rsidR="003A4FB0" w:rsidRPr="00A37BCE" w:rsidRDefault="003A4FB0" w:rsidP="003A4FB0">
      <w:pPr>
        <w:jc w:val="both"/>
        <w:rPr>
          <w:rFonts w:cstheme="minorHAnsi"/>
          <w:bCs/>
          <w:color w:val="44546A" w:themeColor="text2"/>
          <w:sz w:val="20"/>
          <w:szCs w:val="72"/>
          <w:lang w:val="sr-Cyrl-RS"/>
        </w:rPr>
        <w:sectPr w:rsidR="003A4FB0" w:rsidRPr="00A37BCE" w:rsidSect="004E661B">
          <w:type w:val="continuous"/>
          <w:pgSz w:w="12240" w:h="15840"/>
          <w:pgMar w:top="1440" w:right="1440" w:bottom="1440" w:left="1440" w:header="720" w:footer="720" w:gutter="0"/>
          <w:cols w:num="2" w:space="720"/>
          <w:docGrid w:linePitch="360"/>
        </w:sectPr>
      </w:pPr>
      <w:r w:rsidRPr="00A37BCE">
        <w:rPr>
          <w:rFonts w:cstheme="minorHAnsi"/>
          <w:bCs/>
          <w:color w:val="44546A" w:themeColor="text2"/>
          <w:sz w:val="20"/>
          <w:szCs w:val="72"/>
          <w:lang w:val="sr-Cyrl-RS"/>
        </w:rPr>
        <w:t xml:space="preserve">Имајући у виду пројектовани примарни резултат буџета Републике Србије за период 2018–2021. године, укључујући и обим повлачења кредитних </w:t>
      </w:r>
      <w:r w:rsidRPr="00A37BCE">
        <w:rPr>
          <w:rFonts w:cstheme="minorHAnsi"/>
          <w:bCs/>
          <w:color w:val="44546A" w:themeColor="text2"/>
          <w:sz w:val="20"/>
          <w:szCs w:val="72"/>
          <w:lang w:val="sr-Cyrl-RS"/>
        </w:rPr>
        <w:lastRenderedPageBreak/>
        <w:t xml:space="preserve">средстава за пројектно финансирање од буџетских корисника, ефекте промене девизног курса динара према евру и америчком долару, у основном макроекономском сценарију, стање дуга централног нивоа државе требало би да буде на нивоу од </w:t>
      </w:r>
      <w:r w:rsidR="00E41734">
        <w:rPr>
          <w:rFonts w:cstheme="minorHAnsi"/>
          <w:bCs/>
          <w:color w:val="44546A" w:themeColor="text2"/>
          <w:sz w:val="20"/>
          <w:szCs w:val="72"/>
          <w:lang w:val="sr-Cyrl-RS"/>
        </w:rPr>
        <w:t>45,7% БДП на крају 2021. године</w:t>
      </w:r>
      <w:r w:rsidR="00B152F3">
        <w:rPr>
          <w:rFonts w:cstheme="minorHAnsi"/>
          <w:bCs/>
          <w:color w:val="44546A" w:themeColor="text2"/>
          <w:sz w:val="20"/>
          <w:szCs w:val="72"/>
          <w:lang w:val="sr-Cyrl-RS"/>
        </w:rPr>
        <w:t>.</w:t>
      </w:r>
    </w:p>
    <w:p w14:paraId="48487763" w14:textId="317995AE" w:rsidR="003A4FB0" w:rsidRPr="00A37BCE" w:rsidRDefault="003A4FB0" w:rsidP="003A4FB0">
      <w:pPr>
        <w:jc w:val="center"/>
        <w:rPr>
          <w:b/>
          <w:color w:val="002060"/>
          <w:sz w:val="20"/>
          <w:lang w:val="sr-Cyrl-RS"/>
        </w:rPr>
      </w:pPr>
      <w:r w:rsidRPr="00A37BCE">
        <w:rPr>
          <w:b/>
          <w:color w:val="002060"/>
          <w:sz w:val="20"/>
          <w:lang w:val="sr-Cyrl-RS"/>
        </w:rPr>
        <w:lastRenderedPageBreak/>
        <w:t xml:space="preserve">Табела </w:t>
      </w:r>
      <w:r w:rsidR="005B01D9" w:rsidRPr="00A37BCE">
        <w:rPr>
          <w:b/>
          <w:color w:val="002060"/>
          <w:sz w:val="20"/>
          <w:lang w:val="sr-Cyrl-RS"/>
        </w:rPr>
        <w:t>26</w:t>
      </w:r>
      <w:r w:rsidRPr="00A37BCE">
        <w:rPr>
          <w:b/>
          <w:color w:val="002060"/>
          <w:sz w:val="20"/>
          <w:lang w:val="sr-Cyrl-RS"/>
        </w:rPr>
        <w:t>. Основна пројекција стања јавног дуга општег нивоа државе до 2021. године</w:t>
      </w:r>
    </w:p>
    <w:tbl>
      <w:tblPr>
        <w:tblStyle w:val="LightShading-Accent12"/>
        <w:tblW w:w="5000" w:type="pct"/>
        <w:tblLook w:val="0420" w:firstRow="1" w:lastRow="0" w:firstColumn="0" w:lastColumn="0" w:noHBand="0" w:noVBand="1"/>
      </w:tblPr>
      <w:tblGrid>
        <w:gridCol w:w="5100"/>
        <w:gridCol w:w="1065"/>
        <w:gridCol w:w="1065"/>
        <w:gridCol w:w="1065"/>
        <w:gridCol w:w="1065"/>
      </w:tblGrid>
      <w:tr w:rsidR="003A4FB0" w:rsidRPr="00A37BCE" w14:paraId="329F462C" w14:textId="77777777" w:rsidTr="00EA01D7">
        <w:trPr>
          <w:cnfStyle w:val="100000000000" w:firstRow="1" w:lastRow="0" w:firstColumn="0" w:lastColumn="0" w:oddVBand="0" w:evenVBand="0" w:oddHBand="0" w:evenHBand="0" w:firstRowFirstColumn="0" w:firstRowLastColumn="0" w:lastRowFirstColumn="0" w:lastRowLastColumn="0"/>
          <w:trHeight w:val="20"/>
        </w:trPr>
        <w:tc>
          <w:tcPr>
            <w:tcW w:w="2724" w:type="pct"/>
            <w:tcBorders>
              <w:top w:val="single" w:sz="4" w:space="0" w:color="002060"/>
              <w:bottom w:val="single" w:sz="8" w:space="0" w:color="FFFFFF" w:themeColor="background1"/>
            </w:tcBorders>
            <w:shd w:val="clear" w:color="auto" w:fill="auto"/>
            <w:noWrap/>
            <w:hideMark/>
          </w:tcPr>
          <w:p w14:paraId="1F18F273" w14:textId="5094729F" w:rsidR="003A4FB0" w:rsidRPr="00A37BCE" w:rsidRDefault="003A4FB0" w:rsidP="004E661B">
            <w:pPr>
              <w:rPr>
                <w:rFonts w:asciiTheme="minorHAnsi" w:hAnsiTheme="minorHAnsi" w:cstheme="minorHAnsi"/>
                <w:b w:val="0"/>
                <w:color w:val="002060"/>
                <w:sz w:val="18"/>
                <w:szCs w:val="18"/>
                <w:lang w:val="sr-Cyrl-RS"/>
              </w:rPr>
            </w:pPr>
          </w:p>
        </w:tc>
        <w:tc>
          <w:tcPr>
            <w:tcW w:w="569" w:type="pct"/>
            <w:tcBorders>
              <w:top w:val="single" w:sz="4" w:space="0" w:color="002060"/>
              <w:bottom w:val="single" w:sz="4" w:space="0" w:color="002060"/>
            </w:tcBorders>
            <w:shd w:val="clear" w:color="auto" w:fill="auto"/>
            <w:noWrap/>
            <w:hideMark/>
          </w:tcPr>
          <w:p w14:paraId="1B19E552" w14:textId="77777777" w:rsidR="003A4FB0" w:rsidRPr="00A37BCE" w:rsidRDefault="003A4FB0" w:rsidP="004E661B">
            <w:pPr>
              <w:jc w:val="right"/>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2018 п</w:t>
            </w:r>
          </w:p>
        </w:tc>
        <w:tc>
          <w:tcPr>
            <w:tcW w:w="569" w:type="pct"/>
            <w:tcBorders>
              <w:top w:val="single" w:sz="4" w:space="0" w:color="002060"/>
              <w:bottom w:val="single" w:sz="4" w:space="0" w:color="002060"/>
            </w:tcBorders>
            <w:shd w:val="clear" w:color="auto" w:fill="auto"/>
            <w:noWrap/>
            <w:hideMark/>
          </w:tcPr>
          <w:p w14:paraId="4B7F2F77" w14:textId="77777777" w:rsidR="003A4FB0" w:rsidRPr="00A37BCE" w:rsidRDefault="003A4FB0" w:rsidP="004E661B">
            <w:pPr>
              <w:jc w:val="right"/>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2019 п</w:t>
            </w:r>
          </w:p>
        </w:tc>
        <w:tc>
          <w:tcPr>
            <w:tcW w:w="569" w:type="pct"/>
            <w:tcBorders>
              <w:top w:val="single" w:sz="4" w:space="0" w:color="002060"/>
              <w:bottom w:val="single" w:sz="4" w:space="0" w:color="002060"/>
            </w:tcBorders>
            <w:shd w:val="clear" w:color="auto" w:fill="auto"/>
            <w:noWrap/>
            <w:hideMark/>
          </w:tcPr>
          <w:p w14:paraId="694CB64E" w14:textId="77777777" w:rsidR="003A4FB0" w:rsidRPr="00A37BCE" w:rsidRDefault="003A4FB0" w:rsidP="004E661B">
            <w:pPr>
              <w:jc w:val="right"/>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2020 п</w:t>
            </w:r>
          </w:p>
        </w:tc>
        <w:tc>
          <w:tcPr>
            <w:tcW w:w="569" w:type="pct"/>
            <w:tcBorders>
              <w:top w:val="single" w:sz="4" w:space="0" w:color="002060"/>
              <w:bottom w:val="single" w:sz="4" w:space="0" w:color="002060"/>
            </w:tcBorders>
            <w:shd w:val="clear" w:color="auto" w:fill="auto"/>
            <w:noWrap/>
            <w:hideMark/>
          </w:tcPr>
          <w:p w14:paraId="3EFAB284" w14:textId="77777777" w:rsidR="003A4FB0" w:rsidRPr="00A37BCE" w:rsidRDefault="003A4FB0" w:rsidP="004E661B">
            <w:pPr>
              <w:jc w:val="right"/>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2021 п</w:t>
            </w:r>
          </w:p>
        </w:tc>
      </w:tr>
      <w:tr w:rsidR="003A4FB0" w:rsidRPr="00A37BCE" w14:paraId="2059137D" w14:textId="77777777" w:rsidTr="00EA01D7">
        <w:trPr>
          <w:cnfStyle w:val="000000100000" w:firstRow="0" w:lastRow="0" w:firstColumn="0" w:lastColumn="0" w:oddVBand="0" w:evenVBand="0" w:oddHBand="1" w:evenHBand="0" w:firstRowFirstColumn="0" w:firstRowLastColumn="0" w:lastRowFirstColumn="0" w:lastRowLastColumn="0"/>
          <w:trHeight w:val="20"/>
        </w:trPr>
        <w:tc>
          <w:tcPr>
            <w:tcW w:w="2724" w:type="pct"/>
            <w:shd w:val="clear" w:color="auto" w:fill="auto"/>
            <w:noWrap/>
            <w:hideMark/>
          </w:tcPr>
          <w:p w14:paraId="2353E61F" w14:textId="77777777" w:rsidR="003A4FB0" w:rsidRPr="00A37BCE" w:rsidRDefault="003A4FB0" w:rsidP="004E661B">
            <w:pPr>
              <w:spacing w:line="240" w:lineRule="auto"/>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Јавни дуг (централни ниво власти)</w:t>
            </w:r>
          </w:p>
        </w:tc>
        <w:tc>
          <w:tcPr>
            <w:tcW w:w="569" w:type="pct"/>
            <w:tcBorders>
              <w:top w:val="single" w:sz="4" w:space="0" w:color="002060"/>
            </w:tcBorders>
            <w:shd w:val="clear" w:color="auto" w:fill="auto"/>
            <w:noWrap/>
            <w:hideMark/>
          </w:tcPr>
          <w:p w14:paraId="64AFE875"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2.721,2</w:t>
            </w:r>
          </w:p>
        </w:tc>
        <w:tc>
          <w:tcPr>
            <w:tcW w:w="569" w:type="pct"/>
            <w:tcBorders>
              <w:top w:val="single" w:sz="4" w:space="0" w:color="002060"/>
            </w:tcBorders>
            <w:shd w:val="clear" w:color="auto" w:fill="auto"/>
            <w:noWrap/>
            <w:hideMark/>
          </w:tcPr>
          <w:p w14:paraId="4B75CF5B"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2.749,1</w:t>
            </w:r>
          </w:p>
        </w:tc>
        <w:tc>
          <w:tcPr>
            <w:tcW w:w="569" w:type="pct"/>
            <w:tcBorders>
              <w:top w:val="single" w:sz="4" w:space="0" w:color="002060"/>
            </w:tcBorders>
            <w:shd w:val="clear" w:color="auto" w:fill="auto"/>
            <w:noWrap/>
            <w:hideMark/>
          </w:tcPr>
          <w:p w14:paraId="01A0C3C2"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2.803,0</w:t>
            </w:r>
          </w:p>
        </w:tc>
        <w:tc>
          <w:tcPr>
            <w:tcW w:w="569" w:type="pct"/>
            <w:tcBorders>
              <w:top w:val="single" w:sz="4" w:space="0" w:color="002060"/>
            </w:tcBorders>
            <w:shd w:val="clear" w:color="auto" w:fill="auto"/>
            <w:noWrap/>
            <w:hideMark/>
          </w:tcPr>
          <w:p w14:paraId="0F8299F5"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2.866,1</w:t>
            </w:r>
          </w:p>
        </w:tc>
      </w:tr>
      <w:tr w:rsidR="003A4FB0" w:rsidRPr="00A37BCE" w14:paraId="505E1179" w14:textId="77777777" w:rsidTr="004E661B">
        <w:trPr>
          <w:trHeight w:val="20"/>
        </w:trPr>
        <w:tc>
          <w:tcPr>
            <w:tcW w:w="2724" w:type="pct"/>
            <w:shd w:val="clear" w:color="auto" w:fill="auto"/>
            <w:hideMark/>
          </w:tcPr>
          <w:p w14:paraId="144D6C54" w14:textId="77777777" w:rsidR="003A4FB0" w:rsidRPr="00A37BCE" w:rsidRDefault="003A4FB0" w:rsidP="004E661B">
            <w:pPr>
              <w:spacing w:line="240" w:lineRule="auto"/>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Дуг централне државе, у % БДП</w:t>
            </w:r>
          </w:p>
        </w:tc>
        <w:tc>
          <w:tcPr>
            <w:tcW w:w="569" w:type="pct"/>
            <w:shd w:val="clear" w:color="auto" w:fill="auto"/>
            <w:noWrap/>
            <w:hideMark/>
          </w:tcPr>
          <w:p w14:paraId="7941A067"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53,6%</w:t>
            </w:r>
          </w:p>
        </w:tc>
        <w:tc>
          <w:tcPr>
            <w:tcW w:w="569" w:type="pct"/>
            <w:shd w:val="clear" w:color="auto" w:fill="auto"/>
            <w:noWrap/>
            <w:hideMark/>
          </w:tcPr>
          <w:p w14:paraId="65B3755B"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50,7%</w:t>
            </w:r>
          </w:p>
        </w:tc>
        <w:tc>
          <w:tcPr>
            <w:tcW w:w="569" w:type="pct"/>
            <w:shd w:val="clear" w:color="auto" w:fill="auto"/>
            <w:noWrap/>
            <w:hideMark/>
          </w:tcPr>
          <w:p w14:paraId="30AA15E0"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48,1%</w:t>
            </w:r>
          </w:p>
        </w:tc>
        <w:tc>
          <w:tcPr>
            <w:tcW w:w="569" w:type="pct"/>
            <w:shd w:val="clear" w:color="auto" w:fill="auto"/>
            <w:noWrap/>
            <w:hideMark/>
          </w:tcPr>
          <w:p w14:paraId="081608D9"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45,7%</w:t>
            </w:r>
          </w:p>
        </w:tc>
      </w:tr>
      <w:tr w:rsidR="003A4FB0" w:rsidRPr="00A37BCE" w14:paraId="0A42C162" w14:textId="77777777" w:rsidTr="00EA01D7">
        <w:trPr>
          <w:cnfStyle w:val="000000100000" w:firstRow="0" w:lastRow="0" w:firstColumn="0" w:lastColumn="0" w:oddVBand="0" w:evenVBand="0" w:oddHBand="1" w:evenHBand="0" w:firstRowFirstColumn="0" w:firstRowLastColumn="0" w:lastRowFirstColumn="0" w:lastRowLastColumn="0"/>
          <w:trHeight w:val="20"/>
        </w:trPr>
        <w:tc>
          <w:tcPr>
            <w:tcW w:w="2724" w:type="pct"/>
            <w:tcBorders>
              <w:bottom w:val="nil"/>
            </w:tcBorders>
            <w:shd w:val="clear" w:color="auto" w:fill="auto"/>
          </w:tcPr>
          <w:p w14:paraId="43D121FA" w14:textId="77777777" w:rsidR="003A4FB0" w:rsidRPr="00A37BCE" w:rsidRDefault="003A4FB0" w:rsidP="004E661B">
            <w:pPr>
              <w:spacing w:line="240" w:lineRule="auto"/>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Негарантовани дуг локалне власти, у % БДП</w:t>
            </w:r>
          </w:p>
        </w:tc>
        <w:tc>
          <w:tcPr>
            <w:tcW w:w="569" w:type="pct"/>
            <w:tcBorders>
              <w:bottom w:val="nil"/>
            </w:tcBorders>
            <w:shd w:val="clear" w:color="auto" w:fill="auto"/>
            <w:noWrap/>
          </w:tcPr>
          <w:p w14:paraId="4911578D"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0,8%</w:t>
            </w:r>
          </w:p>
        </w:tc>
        <w:tc>
          <w:tcPr>
            <w:tcW w:w="569" w:type="pct"/>
            <w:tcBorders>
              <w:bottom w:val="nil"/>
            </w:tcBorders>
            <w:shd w:val="clear" w:color="auto" w:fill="auto"/>
            <w:noWrap/>
          </w:tcPr>
          <w:p w14:paraId="39588CFF"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1,0%</w:t>
            </w:r>
          </w:p>
        </w:tc>
        <w:tc>
          <w:tcPr>
            <w:tcW w:w="569" w:type="pct"/>
            <w:tcBorders>
              <w:bottom w:val="nil"/>
            </w:tcBorders>
            <w:shd w:val="clear" w:color="auto" w:fill="auto"/>
            <w:noWrap/>
          </w:tcPr>
          <w:p w14:paraId="1525E523"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1,2%</w:t>
            </w:r>
          </w:p>
        </w:tc>
        <w:tc>
          <w:tcPr>
            <w:tcW w:w="569" w:type="pct"/>
            <w:tcBorders>
              <w:bottom w:val="nil"/>
            </w:tcBorders>
            <w:shd w:val="clear" w:color="auto" w:fill="auto"/>
            <w:noWrap/>
          </w:tcPr>
          <w:p w14:paraId="69D422AA"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1,2%</w:t>
            </w:r>
          </w:p>
        </w:tc>
      </w:tr>
      <w:tr w:rsidR="003A4FB0" w:rsidRPr="00A37BCE" w14:paraId="634574F7" w14:textId="77777777" w:rsidTr="00EA01D7">
        <w:trPr>
          <w:trHeight w:val="20"/>
        </w:trPr>
        <w:tc>
          <w:tcPr>
            <w:tcW w:w="2724" w:type="pct"/>
            <w:tcBorders>
              <w:top w:val="nil"/>
              <w:bottom w:val="single" w:sz="4" w:space="0" w:color="002060"/>
            </w:tcBorders>
            <w:shd w:val="clear" w:color="auto" w:fill="auto"/>
          </w:tcPr>
          <w:p w14:paraId="3E01761D" w14:textId="77777777" w:rsidR="003A4FB0" w:rsidRPr="00A37BCE" w:rsidRDefault="003A4FB0" w:rsidP="004E661B">
            <w:pPr>
              <w:spacing w:line="240" w:lineRule="auto"/>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Дуг опште државе, у % БДП</w:t>
            </w:r>
          </w:p>
        </w:tc>
        <w:tc>
          <w:tcPr>
            <w:tcW w:w="569" w:type="pct"/>
            <w:tcBorders>
              <w:top w:val="nil"/>
              <w:bottom w:val="single" w:sz="4" w:space="0" w:color="002060"/>
            </w:tcBorders>
            <w:shd w:val="clear" w:color="auto" w:fill="auto"/>
            <w:noWrap/>
          </w:tcPr>
          <w:p w14:paraId="591D0223"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54,4%</w:t>
            </w:r>
          </w:p>
        </w:tc>
        <w:tc>
          <w:tcPr>
            <w:tcW w:w="569" w:type="pct"/>
            <w:tcBorders>
              <w:top w:val="nil"/>
              <w:bottom w:val="single" w:sz="4" w:space="0" w:color="002060"/>
            </w:tcBorders>
            <w:shd w:val="clear" w:color="auto" w:fill="auto"/>
            <w:noWrap/>
          </w:tcPr>
          <w:p w14:paraId="48E7DD1E"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51,7%</w:t>
            </w:r>
          </w:p>
        </w:tc>
        <w:tc>
          <w:tcPr>
            <w:tcW w:w="569" w:type="pct"/>
            <w:tcBorders>
              <w:top w:val="nil"/>
              <w:bottom w:val="single" w:sz="4" w:space="0" w:color="002060"/>
            </w:tcBorders>
            <w:shd w:val="clear" w:color="auto" w:fill="auto"/>
            <w:noWrap/>
          </w:tcPr>
          <w:p w14:paraId="021AB107"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49,3%</w:t>
            </w:r>
          </w:p>
        </w:tc>
        <w:tc>
          <w:tcPr>
            <w:tcW w:w="569" w:type="pct"/>
            <w:tcBorders>
              <w:top w:val="nil"/>
              <w:bottom w:val="single" w:sz="4" w:space="0" w:color="002060"/>
            </w:tcBorders>
            <w:shd w:val="clear" w:color="auto" w:fill="auto"/>
            <w:noWrap/>
          </w:tcPr>
          <w:p w14:paraId="550606F3"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46,9%</w:t>
            </w:r>
          </w:p>
        </w:tc>
      </w:tr>
    </w:tbl>
    <w:p w14:paraId="7AA50CA8" w14:textId="77777777" w:rsidR="003A4FB0" w:rsidRPr="00A37BCE" w:rsidRDefault="003A4FB0" w:rsidP="003A4FB0">
      <w:pPr>
        <w:jc w:val="both"/>
        <w:rPr>
          <w:rFonts w:cstheme="minorHAnsi"/>
          <w:bCs/>
          <w:color w:val="44546A" w:themeColor="text2"/>
          <w:sz w:val="20"/>
          <w:szCs w:val="72"/>
          <w:lang w:val="sr-Cyrl-RS"/>
        </w:rPr>
      </w:pPr>
    </w:p>
    <w:p w14:paraId="28E37C93" w14:textId="77777777" w:rsidR="003A4FB0" w:rsidRPr="00A37BCE" w:rsidRDefault="003A4FB0" w:rsidP="003A4FB0">
      <w:pPr>
        <w:jc w:val="both"/>
        <w:rPr>
          <w:rFonts w:cstheme="minorHAnsi"/>
          <w:bCs/>
          <w:color w:val="44546A" w:themeColor="text2"/>
          <w:sz w:val="20"/>
          <w:szCs w:val="72"/>
          <w:lang w:val="sr-Cyrl-RS"/>
        </w:rPr>
        <w:sectPr w:rsidR="003A4FB0" w:rsidRPr="00A37BCE" w:rsidSect="004E661B">
          <w:type w:val="continuous"/>
          <w:pgSz w:w="12240" w:h="15840"/>
          <w:pgMar w:top="1440" w:right="1440" w:bottom="1440" w:left="1440" w:header="720" w:footer="720" w:gutter="0"/>
          <w:cols w:space="720"/>
          <w:docGrid w:linePitch="360"/>
        </w:sectPr>
      </w:pPr>
    </w:p>
    <w:p w14:paraId="3A2ECA7A" w14:textId="6F0CDB42"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lastRenderedPageBreak/>
        <w:t>У 2018. години се очекује пад рација који показује учешће јавног дуга општег нивоа државе у БДП на 54,4%, док се у 2019. години очекује даљи пад на 51,7%. У 2021. години након неколико година константног пада очекује се да овај рацио буде на нивоу од 46,9%, те би скоро био на нивоу дефинисаном фискалним правилима у Закону о буџетском систему (до 45,0%). Предвиђа се да ће негарантовани дуг локалног нивоа власти у наредном периоду бити на релативном нивоу од око 0,8% БДП у 2018. години до 1,2% БДП у 2020. и 2021. години.</w:t>
      </w:r>
    </w:p>
    <w:p w14:paraId="301A7134" w14:textId="77777777" w:rsidR="003A4FB0" w:rsidRPr="00A37BCE" w:rsidRDefault="003A4FB0" w:rsidP="003A4FB0">
      <w:pPr>
        <w:jc w:val="both"/>
        <w:rPr>
          <w:b/>
          <w:color w:val="2F5496" w:themeColor="accent1" w:themeShade="BF"/>
          <w:lang w:val="sr-Cyrl-RS"/>
        </w:rPr>
      </w:pPr>
      <w:r w:rsidRPr="00A37BCE">
        <w:rPr>
          <w:b/>
          <w:color w:val="2F5496" w:themeColor="accent1" w:themeShade="BF"/>
          <w:lang w:val="sr-Cyrl-RS"/>
        </w:rPr>
        <w:t xml:space="preserve">Стање јавног дуга према критеријумима из Мастрихта </w:t>
      </w:r>
    </w:p>
    <w:p w14:paraId="0175AB4A"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 xml:space="preserve">Важно је напоменути да, према националној методологији, у стање јавног дуга улазе директне обавезе централног нивоа власти, као и све индиректне обавезе, односно гарантовани дуг у корист јавних предузећа, локалних власти и других </w:t>
      </w:r>
      <w:r w:rsidRPr="00A37BCE">
        <w:rPr>
          <w:rFonts w:cstheme="minorHAnsi"/>
          <w:bCs/>
          <w:color w:val="44546A" w:themeColor="text2"/>
          <w:sz w:val="20"/>
          <w:szCs w:val="72"/>
          <w:lang w:val="sr-Cyrl-RS"/>
        </w:rPr>
        <w:lastRenderedPageBreak/>
        <w:t>правних лица чији је оснивач Република Србија. У такво стање улазе све гаранције, без обзира да ли ће бити плаћања по основу њих у наредном периоду.</w:t>
      </w:r>
    </w:p>
    <w:p w14:paraId="1A38EFBB"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 xml:space="preserve">С обзиром на то да је један од главних економских и политичких циљева Републике Србије прикључење ЕУ, као предуслов се намеће усклађивање домаће методологије у складу са европским стандардима. Из тог разлога, стање јавног дуга се анализира редовно и на основу критеријума постављених Уговором у Мастрихту, који представља систематизоване смернице у циљу одрживости јавног дуга и фискалног система, односно макроекономске стабилности. Према овим критеријумима, у стање јавног дуга треба укључити, поред директних обавеза централног нивоа власти и негарантовани дуг локалних власти, али искључити дуг по основу директних и индиректних обавеза за које се од </w:t>
      </w:r>
      <w:r w:rsidRPr="00A37BCE">
        <w:rPr>
          <w:rFonts w:cstheme="minorHAnsi"/>
          <w:bCs/>
          <w:color w:val="44546A" w:themeColor="text2"/>
          <w:sz w:val="20"/>
          <w:szCs w:val="72"/>
          <w:lang w:val="sr-Cyrl-RS"/>
        </w:rPr>
        <w:lastRenderedPageBreak/>
        <w:t>стране Републике (централног нивоа власти) не врше плаћања.</w:t>
      </w:r>
    </w:p>
    <w:p w14:paraId="1551951B"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 xml:space="preserve">Овај дуг се мери по номиналној вредности који је једнак уговореним износима дуга који Влада </w:t>
      </w:r>
      <w:r w:rsidRPr="00A37BCE">
        <w:rPr>
          <w:rFonts w:cstheme="minorHAnsi"/>
          <w:bCs/>
          <w:color w:val="44546A" w:themeColor="text2"/>
          <w:sz w:val="20"/>
          <w:szCs w:val="72"/>
          <w:lang w:val="sr-Cyrl-RS"/>
        </w:rPr>
        <w:lastRenderedPageBreak/>
        <w:t>треба да врати кредиторима о року доспећа, што значи да јавни дуг није под утицајем промене тржишних приноса и искључује неплаћену обрачунску камату.</w:t>
      </w:r>
    </w:p>
    <w:p w14:paraId="75D1E650" w14:textId="77777777" w:rsidR="003A4FB0" w:rsidRPr="00A37BCE" w:rsidRDefault="003A4FB0" w:rsidP="003A4FB0">
      <w:pPr>
        <w:jc w:val="both"/>
        <w:rPr>
          <w:rFonts w:cstheme="minorHAnsi"/>
          <w:bCs/>
          <w:color w:val="44546A" w:themeColor="text2"/>
          <w:sz w:val="20"/>
          <w:szCs w:val="72"/>
          <w:lang w:val="sr-Cyrl-RS"/>
        </w:rPr>
        <w:sectPr w:rsidR="003A4FB0" w:rsidRPr="00A37BCE" w:rsidSect="004E661B">
          <w:type w:val="continuous"/>
          <w:pgSz w:w="12240" w:h="15840"/>
          <w:pgMar w:top="1440" w:right="1440" w:bottom="1440" w:left="1440" w:header="720" w:footer="720" w:gutter="0"/>
          <w:cols w:num="2" w:space="720"/>
          <w:docGrid w:linePitch="360"/>
        </w:sectPr>
      </w:pPr>
    </w:p>
    <w:p w14:paraId="107D87C9" w14:textId="2A98EDCC" w:rsidR="003A4FB0" w:rsidRPr="00A37BCE" w:rsidRDefault="003A4FB0" w:rsidP="00FF289A">
      <w:pPr>
        <w:spacing w:before="120"/>
        <w:jc w:val="center"/>
        <w:rPr>
          <w:b/>
          <w:color w:val="002060"/>
          <w:sz w:val="20"/>
          <w:lang w:val="sr-Cyrl-RS"/>
        </w:rPr>
      </w:pPr>
      <w:r w:rsidRPr="00A37BCE">
        <w:rPr>
          <w:b/>
          <w:color w:val="002060"/>
          <w:sz w:val="20"/>
          <w:lang w:val="sr-Cyrl-RS"/>
        </w:rPr>
        <w:lastRenderedPageBreak/>
        <w:t xml:space="preserve">Табела </w:t>
      </w:r>
      <w:r w:rsidR="005B01D9" w:rsidRPr="00A37BCE">
        <w:rPr>
          <w:b/>
          <w:color w:val="002060"/>
          <w:sz w:val="20"/>
          <w:lang w:val="sr-Cyrl-RS"/>
        </w:rPr>
        <w:t>27</w:t>
      </w:r>
      <w:r w:rsidRPr="00A37BCE">
        <w:rPr>
          <w:b/>
          <w:color w:val="002060"/>
          <w:sz w:val="20"/>
          <w:lang w:val="sr-Cyrl-RS"/>
        </w:rPr>
        <w:t xml:space="preserve">. Структура и пројекција стања јавног дуга према Мастрихт критеријуму до 2021. године </w:t>
      </w:r>
      <w:r w:rsidR="00AE36BD">
        <w:rPr>
          <w:b/>
          <w:color w:val="002060"/>
          <w:sz w:val="20"/>
          <w:lang w:val="sr-Cyrl-RS"/>
        </w:rPr>
        <w:br w:type="textWrapping" w:clear="all"/>
      </w:r>
      <w:r w:rsidRPr="00A37BCE">
        <w:rPr>
          <w:b/>
          <w:color w:val="002060"/>
          <w:sz w:val="20"/>
          <w:lang w:val="sr-Cyrl-RS"/>
        </w:rPr>
        <w:t>(млрд динара)</w:t>
      </w:r>
    </w:p>
    <w:tbl>
      <w:tblPr>
        <w:tblStyle w:val="LightShading-Accent12"/>
        <w:tblW w:w="4909" w:type="pct"/>
        <w:tblLayout w:type="fixed"/>
        <w:tblLook w:val="0420" w:firstRow="1" w:lastRow="0" w:firstColumn="0" w:lastColumn="0" w:noHBand="0" w:noVBand="1"/>
      </w:tblPr>
      <w:tblGrid>
        <w:gridCol w:w="3391"/>
        <w:gridCol w:w="1000"/>
        <w:gridCol w:w="1292"/>
        <w:gridCol w:w="860"/>
        <w:gridCol w:w="864"/>
        <w:gridCol w:w="858"/>
        <w:gridCol w:w="925"/>
      </w:tblGrid>
      <w:tr w:rsidR="003A4FB0" w:rsidRPr="00A37BCE" w14:paraId="634D7C68" w14:textId="77777777" w:rsidTr="00EA01D7">
        <w:trPr>
          <w:cnfStyle w:val="100000000000" w:firstRow="1" w:lastRow="0" w:firstColumn="0" w:lastColumn="0" w:oddVBand="0" w:evenVBand="0" w:oddHBand="0" w:evenHBand="0" w:firstRowFirstColumn="0" w:firstRowLastColumn="0" w:lastRowFirstColumn="0" w:lastRowLastColumn="0"/>
          <w:trHeight w:val="20"/>
        </w:trPr>
        <w:tc>
          <w:tcPr>
            <w:tcW w:w="1845" w:type="pct"/>
            <w:tcBorders>
              <w:top w:val="single" w:sz="4" w:space="0" w:color="002060"/>
              <w:bottom w:val="single" w:sz="8" w:space="0" w:color="FFFFFF" w:themeColor="background1"/>
            </w:tcBorders>
            <w:shd w:val="clear" w:color="auto" w:fill="auto"/>
            <w:noWrap/>
            <w:hideMark/>
          </w:tcPr>
          <w:p w14:paraId="3ACED780" w14:textId="77777777" w:rsidR="003A4FB0" w:rsidRPr="00A37BCE" w:rsidRDefault="003A4FB0" w:rsidP="004E661B">
            <w:pPr>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 </w:t>
            </w:r>
          </w:p>
        </w:tc>
        <w:tc>
          <w:tcPr>
            <w:tcW w:w="544" w:type="pct"/>
            <w:tcBorders>
              <w:top w:val="single" w:sz="4" w:space="0" w:color="002060"/>
              <w:bottom w:val="single" w:sz="4" w:space="0" w:color="002060"/>
            </w:tcBorders>
            <w:shd w:val="clear" w:color="auto" w:fill="auto"/>
          </w:tcPr>
          <w:p w14:paraId="2C2E2D28" w14:textId="77777777" w:rsidR="003A4FB0" w:rsidRPr="00A37BCE" w:rsidRDefault="003A4FB0" w:rsidP="004E661B">
            <w:pPr>
              <w:jc w:val="right"/>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2017</w:t>
            </w:r>
          </w:p>
        </w:tc>
        <w:tc>
          <w:tcPr>
            <w:tcW w:w="703" w:type="pct"/>
            <w:tcBorders>
              <w:top w:val="single" w:sz="4" w:space="0" w:color="002060"/>
              <w:bottom w:val="single" w:sz="4" w:space="0" w:color="002060"/>
            </w:tcBorders>
            <w:shd w:val="clear" w:color="auto" w:fill="auto"/>
          </w:tcPr>
          <w:p w14:paraId="02872157" w14:textId="77777777" w:rsidR="003A4FB0" w:rsidRPr="00A37BCE" w:rsidRDefault="003A4FB0" w:rsidP="004E661B">
            <w:pPr>
              <w:jc w:val="right"/>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30.9.2018.</w:t>
            </w:r>
          </w:p>
        </w:tc>
        <w:tc>
          <w:tcPr>
            <w:tcW w:w="468" w:type="pct"/>
            <w:tcBorders>
              <w:top w:val="single" w:sz="4" w:space="0" w:color="002060"/>
              <w:bottom w:val="single" w:sz="4" w:space="0" w:color="002060"/>
            </w:tcBorders>
            <w:shd w:val="clear" w:color="auto" w:fill="auto"/>
            <w:noWrap/>
            <w:hideMark/>
          </w:tcPr>
          <w:p w14:paraId="1516B6DD" w14:textId="77777777" w:rsidR="003A4FB0" w:rsidRPr="00A37BCE" w:rsidRDefault="003A4FB0" w:rsidP="004E661B">
            <w:pPr>
              <w:jc w:val="right"/>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2018 п</w:t>
            </w:r>
          </w:p>
        </w:tc>
        <w:tc>
          <w:tcPr>
            <w:tcW w:w="470" w:type="pct"/>
            <w:tcBorders>
              <w:top w:val="single" w:sz="4" w:space="0" w:color="002060"/>
              <w:bottom w:val="single" w:sz="4" w:space="0" w:color="002060"/>
            </w:tcBorders>
            <w:shd w:val="clear" w:color="auto" w:fill="auto"/>
            <w:noWrap/>
            <w:hideMark/>
          </w:tcPr>
          <w:p w14:paraId="2371EEDE" w14:textId="77777777" w:rsidR="003A4FB0" w:rsidRPr="00A37BCE" w:rsidRDefault="003A4FB0" w:rsidP="004E661B">
            <w:pPr>
              <w:jc w:val="right"/>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2019 п</w:t>
            </w:r>
          </w:p>
        </w:tc>
        <w:tc>
          <w:tcPr>
            <w:tcW w:w="467" w:type="pct"/>
            <w:tcBorders>
              <w:top w:val="single" w:sz="4" w:space="0" w:color="002060"/>
              <w:bottom w:val="single" w:sz="4" w:space="0" w:color="002060"/>
            </w:tcBorders>
            <w:shd w:val="clear" w:color="auto" w:fill="auto"/>
            <w:noWrap/>
            <w:hideMark/>
          </w:tcPr>
          <w:p w14:paraId="64E57611" w14:textId="77777777" w:rsidR="003A4FB0" w:rsidRPr="00A37BCE" w:rsidRDefault="003A4FB0" w:rsidP="004E661B">
            <w:pPr>
              <w:jc w:val="right"/>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2020 п</w:t>
            </w:r>
          </w:p>
        </w:tc>
        <w:tc>
          <w:tcPr>
            <w:tcW w:w="503" w:type="pct"/>
            <w:tcBorders>
              <w:top w:val="single" w:sz="4" w:space="0" w:color="002060"/>
              <w:bottom w:val="single" w:sz="4" w:space="0" w:color="002060"/>
            </w:tcBorders>
            <w:shd w:val="clear" w:color="auto" w:fill="auto"/>
            <w:noWrap/>
            <w:hideMark/>
          </w:tcPr>
          <w:p w14:paraId="51EF4596" w14:textId="77777777" w:rsidR="003A4FB0" w:rsidRPr="00A37BCE" w:rsidRDefault="003A4FB0" w:rsidP="004E661B">
            <w:pPr>
              <w:jc w:val="right"/>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2021 п</w:t>
            </w:r>
          </w:p>
        </w:tc>
      </w:tr>
      <w:tr w:rsidR="003A4FB0" w:rsidRPr="00A37BCE" w14:paraId="0488B09E" w14:textId="77777777" w:rsidTr="00EA01D7">
        <w:trPr>
          <w:cnfStyle w:val="000000100000" w:firstRow="0" w:lastRow="0" w:firstColumn="0" w:lastColumn="0" w:oddVBand="0" w:evenVBand="0" w:oddHBand="1" w:evenHBand="0" w:firstRowFirstColumn="0" w:firstRowLastColumn="0" w:lastRowFirstColumn="0" w:lastRowLastColumn="0"/>
          <w:trHeight w:val="284"/>
        </w:trPr>
        <w:tc>
          <w:tcPr>
            <w:tcW w:w="1845" w:type="pct"/>
            <w:tcBorders>
              <w:top w:val="single" w:sz="8" w:space="0" w:color="FFFFFF" w:themeColor="background1"/>
            </w:tcBorders>
            <w:shd w:val="clear" w:color="auto" w:fill="auto"/>
            <w:noWrap/>
            <w:hideMark/>
          </w:tcPr>
          <w:p w14:paraId="2EAA97B8" w14:textId="77777777" w:rsidR="003A4FB0" w:rsidRPr="00A37BCE" w:rsidRDefault="003A4FB0" w:rsidP="004E661B">
            <w:pPr>
              <w:spacing w:line="240" w:lineRule="auto"/>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Укупне директне обавезе</w:t>
            </w:r>
          </w:p>
        </w:tc>
        <w:tc>
          <w:tcPr>
            <w:tcW w:w="544" w:type="pct"/>
            <w:tcBorders>
              <w:top w:val="single" w:sz="4" w:space="0" w:color="002060"/>
            </w:tcBorders>
            <w:shd w:val="clear" w:color="auto" w:fill="auto"/>
          </w:tcPr>
          <w:p w14:paraId="618B43EF"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2.464,9</w:t>
            </w:r>
          </w:p>
        </w:tc>
        <w:tc>
          <w:tcPr>
            <w:tcW w:w="703" w:type="pct"/>
            <w:tcBorders>
              <w:top w:val="single" w:sz="4" w:space="0" w:color="002060"/>
            </w:tcBorders>
            <w:shd w:val="clear" w:color="auto" w:fill="auto"/>
          </w:tcPr>
          <w:p w14:paraId="36BA1CB7"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2.582,4</w:t>
            </w:r>
          </w:p>
        </w:tc>
        <w:tc>
          <w:tcPr>
            <w:tcW w:w="468" w:type="pct"/>
            <w:tcBorders>
              <w:top w:val="single" w:sz="4" w:space="0" w:color="002060"/>
            </w:tcBorders>
            <w:shd w:val="clear" w:color="auto" w:fill="auto"/>
            <w:noWrap/>
            <w:hideMark/>
          </w:tcPr>
          <w:p w14:paraId="1CEC59BF"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2.465,4</w:t>
            </w:r>
          </w:p>
        </w:tc>
        <w:tc>
          <w:tcPr>
            <w:tcW w:w="470" w:type="pct"/>
            <w:tcBorders>
              <w:top w:val="single" w:sz="4" w:space="0" w:color="002060"/>
            </w:tcBorders>
            <w:shd w:val="clear" w:color="auto" w:fill="auto"/>
            <w:noWrap/>
            <w:hideMark/>
          </w:tcPr>
          <w:p w14:paraId="323BAFE2"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2.474,2</w:t>
            </w:r>
          </w:p>
        </w:tc>
        <w:tc>
          <w:tcPr>
            <w:tcW w:w="467" w:type="pct"/>
            <w:tcBorders>
              <w:top w:val="single" w:sz="4" w:space="0" w:color="002060"/>
            </w:tcBorders>
            <w:shd w:val="clear" w:color="auto" w:fill="auto"/>
            <w:noWrap/>
            <w:hideMark/>
          </w:tcPr>
          <w:p w14:paraId="36D72D1F"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2.494,7</w:t>
            </w:r>
          </w:p>
        </w:tc>
        <w:tc>
          <w:tcPr>
            <w:tcW w:w="503" w:type="pct"/>
            <w:tcBorders>
              <w:top w:val="single" w:sz="4" w:space="0" w:color="002060"/>
            </w:tcBorders>
            <w:shd w:val="clear" w:color="auto" w:fill="auto"/>
            <w:noWrap/>
            <w:hideMark/>
          </w:tcPr>
          <w:p w14:paraId="77EAC4B1"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2.550,8</w:t>
            </w:r>
          </w:p>
        </w:tc>
      </w:tr>
      <w:tr w:rsidR="003A4FB0" w:rsidRPr="00A37BCE" w14:paraId="56671729" w14:textId="77777777" w:rsidTr="004E661B">
        <w:trPr>
          <w:trHeight w:val="284"/>
        </w:trPr>
        <w:tc>
          <w:tcPr>
            <w:tcW w:w="1845" w:type="pct"/>
            <w:shd w:val="clear" w:color="auto" w:fill="auto"/>
            <w:noWrap/>
            <w:hideMark/>
          </w:tcPr>
          <w:p w14:paraId="0AEC49AF" w14:textId="77777777" w:rsidR="003A4FB0" w:rsidRPr="00A37BCE" w:rsidRDefault="003A4FB0" w:rsidP="004E661B">
            <w:pPr>
              <w:spacing w:line="240" w:lineRule="auto"/>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Гарантовани дуг</w:t>
            </w:r>
          </w:p>
        </w:tc>
        <w:tc>
          <w:tcPr>
            <w:tcW w:w="544" w:type="pct"/>
            <w:shd w:val="clear" w:color="auto" w:fill="auto"/>
          </w:tcPr>
          <w:p w14:paraId="25D37F77"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105,3</w:t>
            </w:r>
          </w:p>
        </w:tc>
        <w:tc>
          <w:tcPr>
            <w:tcW w:w="703" w:type="pct"/>
            <w:shd w:val="clear" w:color="auto" w:fill="auto"/>
          </w:tcPr>
          <w:p w14:paraId="3DCDB73F"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86,9</w:t>
            </w:r>
          </w:p>
        </w:tc>
        <w:tc>
          <w:tcPr>
            <w:tcW w:w="468" w:type="pct"/>
            <w:shd w:val="clear" w:color="auto" w:fill="auto"/>
            <w:noWrap/>
          </w:tcPr>
          <w:p w14:paraId="17FBBC83"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97,7</w:t>
            </w:r>
          </w:p>
        </w:tc>
        <w:tc>
          <w:tcPr>
            <w:tcW w:w="470" w:type="pct"/>
            <w:shd w:val="clear" w:color="auto" w:fill="auto"/>
            <w:noWrap/>
          </w:tcPr>
          <w:p w14:paraId="2F7BB227"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85,9</w:t>
            </w:r>
          </w:p>
        </w:tc>
        <w:tc>
          <w:tcPr>
            <w:tcW w:w="467" w:type="pct"/>
            <w:shd w:val="clear" w:color="auto" w:fill="auto"/>
            <w:noWrap/>
          </w:tcPr>
          <w:p w14:paraId="376E3D5D"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85,6</w:t>
            </w:r>
          </w:p>
        </w:tc>
        <w:tc>
          <w:tcPr>
            <w:tcW w:w="503" w:type="pct"/>
            <w:shd w:val="clear" w:color="auto" w:fill="auto"/>
            <w:noWrap/>
          </w:tcPr>
          <w:p w14:paraId="1B34DF4C"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80,6</w:t>
            </w:r>
          </w:p>
        </w:tc>
      </w:tr>
      <w:tr w:rsidR="003A4FB0" w:rsidRPr="00A37BCE" w14:paraId="4A1B865C" w14:textId="77777777" w:rsidTr="004E661B">
        <w:trPr>
          <w:cnfStyle w:val="000000100000" w:firstRow="0" w:lastRow="0" w:firstColumn="0" w:lastColumn="0" w:oddVBand="0" w:evenVBand="0" w:oddHBand="1" w:evenHBand="0" w:firstRowFirstColumn="0" w:firstRowLastColumn="0" w:lastRowFirstColumn="0" w:lastRowLastColumn="0"/>
          <w:trHeight w:val="284"/>
        </w:trPr>
        <w:tc>
          <w:tcPr>
            <w:tcW w:w="1845" w:type="pct"/>
            <w:shd w:val="clear" w:color="auto" w:fill="auto"/>
            <w:noWrap/>
            <w:hideMark/>
          </w:tcPr>
          <w:p w14:paraId="4BF074B5" w14:textId="77777777" w:rsidR="003A4FB0" w:rsidRPr="00A37BCE" w:rsidRDefault="003A4FB0" w:rsidP="004E661B">
            <w:pPr>
              <w:spacing w:line="240" w:lineRule="auto"/>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Остали дуг сектора државе</w:t>
            </w:r>
          </w:p>
        </w:tc>
        <w:tc>
          <w:tcPr>
            <w:tcW w:w="544" w:type="pct"/>
            <w:shd w:val="clear" w:color="auto" w:fill="auto"/>
          </w:tcPr>
          <w:p w14:paraId="62BA2469"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0,4</w:t>
            </w:r>
          </w:p>
        </w:tc>
        <w:tc>
          <w:tcPr>
            <w:tcW w:w="703" w:type="pct"/>
            <w:shd w:val="clear" w:color="auto" w:fill="auto"/>
          </w:tcPr>
          <w:p w14:paraId="1A13B620"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0,3</w:t>
            </w:r>
          </w:p>
        </w:tc>
        <w:tc>
          <w:tcPr>
            <w:tcW w:w="468" w:type="pct"/>
            <w:shd w:val="clear" w:color="auto" w:fill="auto"/>
            <w:noWrap/>
          </w:tcPr>
          <w:p w14:paraId="013EA546"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0,3</w:t>
            </w:r>
          </w:p>
        </w:tc>
        <w:tc>
          <w:tcPr>
            <w:tcW w:w="470" w:type="pct"/>
            <w:shd w:val="clear" w:color="auto" w:fill="auto"/>
            <w:noWrap/>
          </w:tcPr>
          <w:p w14:paraId="5B571205"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0,3</w:t>
            </w:r>
          </w:p>
        </w:tc>
        <w:tc>
          <w:tcPr>
            <w:tcW w:w="467" w:type="pct"/>
            <w:shd w:val="clear" w:color="auto" w:fill="auto"/>
            <w:noWrap/>
          </w:tcPr>
          <w:p w14:paraId="365B2E5F"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0,0</w:t>
            </w:r>
          </w:p>
        </w:tc>
        <w:tc>
          <w:tcPr>
            <w:tcW w:w="503" w:type="pct"/>
            <w:shd w:val="clear" w:color="auto" w:fill="auto"/>
            <w:noWrap/>
          </w:tcPr>
          <w:p w14:paraId="630ECEAC"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0,0</w:t>
            </w:r>
          </w:p>
        </w:tc>
      </w:tr>
      <w:tr w:rsidR="003A4FB0" w:rsidRPr="00A37BCE" w14:paraId="42A94F5C" w14:textId="77777777" w:rsidTr="004E661B">
        <w:trPr>
          <w:trHeight w:val="284"/>
        </w:trPr>
        <w:tc>
          <w:tcPr>
            <w:tcW w:w="1845" w:type="pct"/>
            <w:shd w:val="clear" w:color="auto" w:fill="auto"/>
            <w:noWrap/>
            <w:hideMark/>
          </w:tcPr>
          <w:p w14:paraId="1CFE4427" w14:textId="77777777" w:rsidR="003A4FB0" w:rsidRPr="00A37BCE" w:rsidRDefault="003A4FB0" w:rsidP="004E661B">
            <w:pPr>
              <w:spacing w:line="240" w:lineRule="auto"/>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Дуг локалне власти</w:t>
            </w:r>
          </w:p>
        </w:tc>
        <w:tc>
          <w:tcPr>
            <w:tcW w:w="544" w:type="pct"/>
            <w:shd w:val="clear" w:color="auto" w:fill="auto"/>
          </w:tcPr>
          <w:p w14:paraId="61893FA4"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67,0</w:t>
            </w:r>
          </w:p>
        </w:tc>
        <w:tc>
          <w:tcPr>
            <w:tcW w:w="703" w:type="pct"/>
            <w:shd w:val="clear" w:color="auto" w:fill="auto"/>
          </w:tcPr>
          <w:p w14:paraId="695B6E9C"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65,0</w:t>
            </w:r>
          </w:p>
        </w:tc>
        <w:tc>
          <w:tcPr>
            <w:tcW w:w="468" w:type="pct"/>
            <w:shd w:val="clear" w:color="auto" w:fill="auto"/>
            <w:noWrap/>
          </w:tcPr>
          <w:p w14:paraId="73AF566C"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67,0</w:t>
            </w:r>
          </w:p>
        </w:tc>
        <w:tc>
          <w:tcPr>
            <w:tcW w:w="470" w:type="pct"/>
            <w:shd w:val="clear" w:color="auto" w:fill="auto"/>
            <w:noWrap/>
          </w:tcPr>
          <w:p w14:paraId="289361D3"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79,1</w:t>
            </w:r>
          </w:p>
        </w:tc>
        <w:tc>
          <w:tcPr>
            <w:tcW w:w="467" w:type="pct"/>
            <w:shd w:val="clear" w:color="auto" w:fill="auto"/>
            <w:noWrap/>
          </w:tcPr>
          <w:p w14:paraId="391CA768"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93,4</w:t>
            </w:r>
          </w:p>
        </w:tc>
        <w:tc>
          <w:tcPr>
            <w:tcW w:w="503" w:type="pct"/>
            <w:shd w:val="clear" w:color="auto" w:fill="auto"/>
            <w:noWrap/>
          </w:tcPr>
          <w:p w14:paraId="1B4F0CC3"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96,9</w:t>
            </w:r>
          </w:p>
        </w:tc>
      </w:tr>
      <w:tr w:rsidR="003A4FB0" w:rsidRPr="00A37BCE" w14:paraId="4546848A" w14:textId="77777777" w:rsidTr="004E661B">
        <w:trPr>
          <w:cnfStyle w:val="000000100000" w:firstRow="0" w:lastRow="0" w:firstColumn="0" w:lastColumn="0" w:oddVBand="0" w:evenVBand="0" w:oddHBand="1" w:evenHBand="0" w:firstRowFirstColumn="0" w:firstRowLastColumn="0" w:lastRowFirstColumn="0" w:lastRowLastColumn="0"/>
          <w:trHeight w:val="284"/>
        </w:trPr>
        <w:tc>
          <w:tcPr>
            <w:tcW w:w="1845" w:type="pct"/>
            <w:shd w:val="clear" w:color="auto" w:fill="auto"/>
            <w:hideMark/>
          </w:tcPr>
          <w:p w14:paraId="745650F0" w14:textId="77777777" w:rsidR="003A4FB0" w:rsidRPr="00A37BCE" w:rsidRDefault="003A4FB0" w:rsidP="004E661B">
            <w:pPr>
              <w:spacing w:line="240" w:lineRule="auto"/>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Дуг институција социјалног осигурања</w:t>
            </w:r>
          </w:p>
        </w:tc>
        <w:tc>
          <w:tcPr>
            <w:tcW w:w="544" w:type="pct"/>
            <w:shd w:val="clear" w:color="auto" w:fill="auto"/>
          </w:tcPr>
          <w:p w14:paraId="2E6C0332"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0,0</w:t>
            </w:r>
          </w:p>
        </w:tc>
        <w:tc>
          <w:tcPr>
            <w:tcW w:w="703" w:type="pct"/>
            <w:shd w:val="clear" w:color="auto" w:fill="auto"/>
          </w:tcPr>
          <w:p w14:paraId="00C36052"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0,0</w:t>
            </w:r>
          </w:p>
        </w:tc>
        <w:tc>
          <w:tcPr>
            <w:tcW w:w="468" w:type="pct"/>
            <w:shd w:val="clear" w:color="auto" w:fill="auto"/>
            <w:noWrap/>
          </w:tcPr>
          <w:p w14:paraId="6252E462"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0,0</w:t>
            </w:r>
          </w:p>
        </w:tc>
        <w:tc>
          <w:tcPr>
            <w:tcW w:w="470" w:type="pct"/>
            <w:shd w:val="clear" w:color="auto" w:fill="auto"/>
            <w:noWrap/>
          </w:tcPr>
          <w:p w14:paraId="21105F18"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0,0</w:t>
            </w:r>
          </w:p>
        </w:tc>
        <w:tc>
          <w:tcPr>
            <w:tcW w:w="467" w:type="pct"/>
            <w:shd w:val="clear" w:color="auto" w:fill="auto"/>
            <w:noWrap/>
          </w:tcPr>
          <w:p w14:paraId="0C1CD258"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0,0</w:t>
            </w:r>
          </w:p>
        </w:tc>
        <w:tc>
          <w:tcPr>
            <w:tcW w:w="503" w:type="pct"/>
            <w:shd w:val="clear" w:color="auto" w:fill="auto"/>
            <w:noWrap/>
          </w:tcPr>
          <w:p w14:paraId="48BE3D67"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0,0</w:t>
            </w:r>
          </w:p>
        </w:tc>
      </w:tr>
      <w:tr w:rsidR="003A4FB0" w:rsidRPr="00A37BCE" w14:paraId="3BCA2A89" w14:textId="77777777" w:rsidTr="00EA01D7">
        <w:trPr>
          <w:trHeight w:val="284"/>
        </w:trPr>
        <w:tc>
          <w:tcPr>
            <w:tcW w:w="1845" w:type="pct"/>
            <w:tcBorders>
              <w:bottom w:val="nil"/>
            </w:tcBorders>
            <w:shd w:val="clear" w:color="auto" w:fill="auto"/>
            <w:hideMark/>
          </w:tcPr>
          <w:p w14:paraId="3D578018" w14:textId="77777777" w:rsidR="003A4FB0" w:rsidRPr="00A37BCE" w:rsidRDefault="003A4FB0" w:rsidP="004E661B">
            <w:pPr>
              <w:spacing w:line="240" w:lineRule="auto"/>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Јавни дуг Републике Србије</w:t>
            </w:r>
          </w:p>
        </w:tc>
        <w:tc>
          <w:tcPr>
            <w:tcW w:w="544" w:type="pct"/>
            <w:tcBorders>
              <w:bottom w:val="nil"/>
            </w:tcBorders>
            <w:shd w:val="clear" w:color="auto" w:fill="auto"/>
          </w:tcPr>
          <w:p w14:paraId="60D9EA04"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2.637,6</w:t>
            </w:r>
          </w:p>
        </w:tc>
        <w:tc>
          <w:tcPr>
            <w:tcW w:w="703" w:type="pct"/>
            <w:tcBorders>
              <w:bottom w:val="nil"/>
            </w:tcBorders>
            <w:shd w:val="clear" w:color="auto" w:fill="auto"/>
          </w:tcPr>
          <w:p w14:paraId="22F3785E"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2.734,7</w:t>
            </w:r>
          </w:p>
        </w:tc>
        <w:tc>
          <w:tcPr>
            <w:tcW w:w="468" w:type="pct"/>
            <w:tcBorders>
              <w:bottom w:val="nil"/>
            </w:tcBorders>
            <w:shd w:val="clear" w:color="auto" w:fill="auto"/>
            <w:noWrap/>
          </w:tcPr>
          <w:p w14:paraId="715D6A9D"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2.630,4</w:t>
            </w:r>
          </w:p>
        </w:tc>
        <w:tc>
          <w:tcPr>
            <w:tcW w:w="470" w:type="pct"/>
            <w:tcBorders>
              <w:bottom w:val="nil"/>
            </w:tcBorders>
            <w:shd w:val="clear" w:color="auto" w:fill="auto"/>
            <w:noWrap/>
          </w:tcPr>
          <w:p w14:paraId="27CFF948"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2.639,6</w:t>
            </w:r>
          </w:p>
        </w:tc>
        <w:tc>
          <w:tcPr>
            <w:tcW w:w="467" w:type="pct"/>
            <w:tcBorders>
              <w:bottom w:val="nil"/>
            </w:tcBorders>
            <w:shd w:val="clear" w:color="auto" w:fill="auto"/>
            <w:noWrap/>
          </w:tcPr>
          <w:p w14:paraId="709AF687"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2.673,7</w:t>
            </w:r>
          </w:p>
        </w:tc>
        <w:tc>
          <w:tcPr>
            <w:tcW w:w="503" w:type="pct"/>
            <w:tcBorders>
              <w:bottom w:val="nil"/>
            </w:tcBorders>
            <w:shd w:val="clear" w:color="auto" w:fill="auto"/>
            <w:noWrap/>
          </w:tcPr>
          <w:p w14:paraId="03F07BCD"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2.728,3</w:t>
            </w:r>
          </w:p>
        </w:tc>
      </w:tr>
      <w:tr w:rsidR="003A4FB0" w:rsidRPr="00A37BCE" w14:paraId="25DB5512" w14:textId="77777777" w:rsidTr="00EA01D7">
        <w:trPr>
          <w:cnfStyle w:val="000000100000" w:firstRow="0" w:lastRow="0" w:firstColumn="0" w:lastColumn="0" w:oddVBand="0" w:evenVBand="0" w:oddHBand="1" w:evenHBand="0" w:firstRowFirstColumn="0" w:firstRowLastColumn="0" w:lastRowFirstColumn="0" w:lastRowLastColumn="0"/>
          <w:trHeight w:val="284"/>
        </w:trPr>
        <w:tc>
          <w:tcPr>
            <w:tcW w:w="1845" w:type="pct"/>
            <w:tcBorders>
              <w:top w:val="nil"/>
              <w:bottom w:val="single" w:sz="4" w:space="0" w:color="002060"/>
            </w:tcBorders>
            <w:shd w:val="clear" w:color="auto" w:fill="auto"/>
          </w:tcPr>
          <w:p w14:paraId="55CE930C" w14:textId="77777777" w:rsidR="003A4FB0" w:rsidRPr="00A37BCE" w:rsidRDefault="003A4FB0" w:rsidP="004E661B">
            <w:pPr>
              <w:spacing w:line="240" w:lineRule="auto"/>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Јавни дуг Републике Србије/БДП</w:t>
            </w:r>
          </w:p>
        </w:tc>
        <w:tc>
          <w:tcPr>
            <w:tcW w:w="544" w:type="pct"/>
            <w:tcBorders>
              <w:top w:val="nil"/>
              <w:bottom w:val="single" w:sz="4" w:space="0" w:color="002060"/>
            </w:tcBorders>
            <w:shd w:val="clear" w:color="auto" w:fill="auto"/>
          </w:tcPr>
          <w:p w14:paraId="70EC25EC"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55,5%</w:t>
            </w:r>
          </w:p>
        </w:tc>
        <w:tc>
          <w:tcPr>
            <w:tcW w:w="703" w:type="pct"/>
            <w:tcBorders>
              <w:top w:val="nil"/>
              <w:bottom w:val="single" w:sz="4" w:space="0" w:color="002060"/>
            </w:tcBorders>
            <w:shd w:val="clear" w:color="auto" w:fill="auto"/>
          </w:tcPr>
          <w:p w14:paraId="2E77C486"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53,9%</w:t>
            </w:r>
          </w:p>
        </w:tc>
        <w:tc>
          <w:tcPr>
            <w:tcW w:w="468" w:type="pct"/>
            <w:tcBorders>
              <w:top w:val="nil"/>
              <w:bottom w:val="single" w:sz="4" w:space="0" w:color="002060"/>
            </w:tcBorders>
            <w:shd w:val="clear" w:color="auto" w:fill="auto"/>
            <w:noWrap/>
          </w:tcPr>
          <w:p w14:paraId="43BB10D6"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51,8%</w:t>
            </w:r>
          </w:p>
        </w:tc>
        <w:tc>
          <w:tcPr>
            <w:tcW w:w="470" w:type="pct"/>
            <w:tcBorders>
              <w:top w:val="nil"/>
              <w:bottom w:val="single" w:sz="4" w:space="0" w:color="002060"/>
            </w:tcBorders>
            <w:shd w:val="clear" w:color="auto" w:fill="auto"/>
            <w:noWrap/>
          </w:tcPr>
          <w:p w14:paraId="7A81B882"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48,7%</w:t>
            </w:r>
          </w:p>
        </w:tc>
        <w:tc>
          <w:tcPr>
            <w:tcW w:w="467" w:type="pct"/>
            <w:tcBorders>
              <w:top w:val="nil"/>
              <w:bottom w:val="single" w:sz="4" w:space="0" w:color="002060"/>
            </w:tcBorders>
            <w:shd w:val="clear" w:color="auto" w:fill="auto"/>
            <w:noWrap/>
          </w:tcPr>
          <w:p w14:paraId="5D903A1A"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45,8%</w:t>
            </w:r>
          </w:p>
        </w:tc>
        <w:tc>
          <w:tcPr>
            <w:tcW w:w="503" w:type="pct"/>
            <w:tcBorders>
              <w:top w:val="nil"/>
              <w:bottom w:val="single" w:sz="4" w:space="0" w:color="002060"/>
            </w:tcBorders>
            <w:shd w:val="clear" w:color="auto" w:fill="auto"/>
            <w:noWrap/>
          </w:tcPr>
          <w:p w14:paraId="0111E06D" w14:textId="77777777" w:rsidR="003A4FB0" w:rsidRPr="00A37BCE" w:rsidRDefault="003A4FB0" w:rsidP="004E661B">
            <w:pPr>
              <w:spacing w:line="240" w:lineRule="auto"/>
              <w:jc w:val="right"/>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43,5%</w:t>
            </w:r>
          </w:p>
        </w:tc>
      </w:tr>
    </w:tbl>
    <w:p w14:paraId="6A5B521A" w14:textId="77777777" w:rsidR="003A4FB0" w:rsidRPr="00A37BCE" w:rsidRDefault="003A4FB0" w:rsidP="003A4FB0">
      <w:pPr>
        <w:rPr>
          <w:rFonts w:cstheme="minorHAnsi"/>
          <w:bCs/>
          <w:color w:val="44546A" w:themeColor="text2"/>
          <w:sz w:val="20"/>
          <w:szCs w:val="72"/>
          <w:lang w:val="sr-Cyrl-RS"/>
        </w:rPr>
        <w:sectPr w:rsidR="003A4FB0" w:rsidRPr="00A37BCE" w:rsidSect="004E661B">
          <w:type w:val="continuous"/>
          <w:pgSz w:w="12240" w:h="15840"/>
          <w:pgMar w:top="1440" w:right="1440" w:bottom="1440" w:left="1440" w:header="720" w:footer="720" w:gutter="0"/>
          <w:cols w:space="720"/>
          <w:docGrid w:linePitch="360"/>
        </w:sectPr>
      </w:pPr>
    </w:p>
    <w:p w14:paraId="4C69AE7C" w14:textId="77777777" w:rsidR="003A4FB0" w:rsidRPr="00A37BCE" w:rsidRDefault="003A4FB0" w:rsidP="003A4FB0">
      <w:pPr>
        <w:jc w:val="both"/>
        <w:rPr>
          <w:b/>
          <w:color w:val="2F5496" w:themeColor="accent1" w:themeShade="BF"/>
          <w:lang w:val="sr-Cyrl-RS"/>
        </w:rPr>
      </w:pPr>
      <w:r w:rsidRPr="00A37BCE">
        <w:rPr>
          <w:b/>
          <w:color w:val="2F5496" w:themeColor="accent1" w:themeShade="BF"/>
          <w:lang w:val="sr-Cyrl-RS"/>
        </w:rPr>
        <w:lastRenderedPageBreak/>
        <w:t>Принципи управљања јавним дугом</w:t>
      </w:r>
    </w:p>
    <w:p w14:paraId="0D57B6F2" w14:textId="0B450BE9"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Према Закону о јавном дугу, примарни циљ задуживања Републике Србије и управљања јавним дугом је да се осигурају средства потребна за финансирање буџетских издатака, са ми</w:t>
      </w:r>
      <w:r w:rsidR="0064006B">
        <w:rPr>
          <w:rFonts w:cstheme="minorHAnsi"/>
          <w:bCs/>
          <w:color w:val="44546A" w:themeColor="text2"/>
          <w:sz w:val="20"/>
          <w:szCs w:val="72"/>
          <w:lang w:val="sr-Cyrl-RS"/>
        </w:rPr>
        <w:t xml:space="preserve">нималним трошковима финансирања и прихватљивим нивоом ризика. </w:t>
      </w:r>
      <w:r w:rsidRPr="00A37BCE">
        <w:rPr>
          <w:rFonts w:cstheme="minorHAnsi"/>
          <w:bCs/>
          <w:color w:val="44546A" w:themeColor="text2"/>
          <w:sz w:val="20"/>
          <w:szCs w:val="72"/>
          <w:lang w:val="sr-Cyrl-RS"/>
        </w:rPr>
        <w:t>На основу тога, Стратегија управљања јавним дугом Републике Србије дефинише следеће опште циљеве и принципе:</w:t>
      </w:r>
    </w:p>
    <w:p w14:paraId="79122AF7"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1) Потребно је осигурати финансирање фискалног дефицита и редовно сервисирање обавеза по основу јавног дуга Републике Србије;</w:t>
      </w:r>
    </w:p>
    <w:p w14:paraId="490749C1"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2) Потребно је дефинисати прихватљив ниво ризика који треба да буде одређен у условима циљане структуре портфолија дуга у смислу валутне структуре дуга, структуре каматних стопа, структуре рочности и структуре дуга према инструментима;</w:t>
      </w:r>
    </w:p>
    <w:p w14:paraId="37A54D0D"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3) Потребно је развијати тржишта државних хартија од вредности које се емитују на домаћем и међународном тржишту, како би развијено тржиште помогло у смањењу трошкова задуживања у средњем и дугом року;</w:t>
      </w:r>
    </w:p>
    <w:p w14:paraId="5B89C0B1"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4) Потребно је омогућити транспарентност и предвидивост процеса задуживања.</w:t>
      </w:r>
    </w:p>
    <w:p w14:paraId="4EB21F64"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 xml:space="preserve">Стратегија управљања јавним дугом треба да буде подржана и конзистентна са општим Владиним </w:t>
      </w:r>
      <w:r w:rsidRPr="00A37BCE">
        <w:rPr>
          <w:rFonts w:cstheme="minorHAnsi"/>
          <w:bCs/>
          <w:color w:val="44546A" w:themeColor="text2"/>
          <w:sz w:val="20"/>
          <w:szCs w:val="72"/>
          <w:lang w:val="sr-Cyrl-RS"/>
        </w:rPr>
        <w:lastRenderedPageBreak/>
        <w:t>средњорочним макроекономским и фискалним оквиром.</w:t>
      </w:r>
    </w:p>
    <w:p w14:paraId="226B180C"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Стратегија управљања јавним дугом у наредном средњорочном периоду базираће се на финансирању издатака буџета Републике Србије углавном путем емисије државних хартија од вредности на домаћем и међународном тржишту капитала. Тржиште државних хартија од вредности је још увек у развоју и један од принципа управљања јавним дугом је нужност постојања флексибилности, како би финансирање издатака буџета Републике Србије било обезбеђено. Флексибилност ће се огледати у домену избора тржишта на коме ће се вршити задуживање, валуте задуживања и инструмента финансирања. Избор структуре финансирања узимаће у обзир тренутно стање и тренд развоја домаћег и међународног финансијског тржишта (ниво каматних стопа, премије ризика, криву приноса, девизне курсеве референтних валута) и прихватљив ниво изложености финансијским ризицима.</w:t>
      </w:r>
    </w:p>
    <w:p w14:paraId="01863A3D" w14:textId="1DBEA76D"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 xml:space="preserve">Циљ је да се у наредном дугорочном периоду финансирање обавља пре свега емитовањем динарских хартија од вредности на домаћем тржишту. Тренутна ситуација упућује на то да, упркос чврстој одлучности ка развоју домаћег тржишта државних хартија од вредности, један део финансирања може бити обезбеђен на </w:t>
      </w:r>
      <w:r w:rsidRPr="00A37BCE">
        <w:rPr>
          <w:rFonts w:cstheme="minorHAnsi"/>
          <w:bCs/>
          <w:color w:val="44546A" w:themeColor="text2"/>
          <w:sz w:val="20"/>
          <w:szCs w:val="72"/>
          <w:lang w:val="sr-Cyrl-RS"/>
        </w:rPr>
        <w:lastRenderedPageBreak/>
        <w:t xml:space="preserve">међународном финансијском </w:t>
      </w:r>
      <w:r w:rsidR="00C601A3">
        <w:rPr>
          <w:rFonts w:cstheme="minorHAnsi"/>
          <w:bCs/>
          <w:color w:val="44546A" w:themeColor="text2"/>
          <w:sz w:val="20"/>
          <w:szCs w:val="72"/>
          <w:lang w:val="sr-Cyrl-RS"/>
        </w:rPr>
        <w:t>тржишту у средњорочном периоду.</w:t>
      </w:r>
    </w:p>
    <w:p w14:paraId="1574DA47" w14:textId="3E2CE559"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Позајмљивање у страној валути, као нпр. у америчким доларима, за собом повлачи и девизни ризик услед промене курсева динар – евро и евро – амерички долар, те је из тог разлога неопходно размотрити и користити могућност хеџинга уколико се позајмљивање</w:t>
      </w:r>
      <w:r w:rsidR="00C601A3">
        <w:rPr>
          <w:rFonts w:cstheme="minorHAnsi"/>
          <w:bCs/>
          <w:color w:val="44546A" w:themeColor="text2"/>
          <w:sz w:val="20"/>
          <w:szCs w:val="72"/>
          <w:lang w:val="sr-Cyrl-RS"/>
        </w:rPr>
        <w:t xml:space="preserve"> не врши у динарима или еврима.</w:t>
      </w:r>
    </w:p>
    <w:p w14:paraId="3EE69E66"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Политика управљања јавним дугом мора да узме у обзир дугорочну перспективу, али се одлука о финансирању буџетских издатака мора доносити годишње. Одлука о годишњем задуживању се доноси у оквиру закона о буџету за одређену фискалну годину. У зависности од промене основних фискалних агрегата могућа је корекција плана задуживања током фискалне године.</w:t>
      </w:r>
    </w:p>
    <w:p w14:paraId="305794C5" w14:textId="77777777" w:rsidR="003A4FB0" w:rsidRPr="00A37BCE" w:rsidRDefault="003A4FB0" w:rsidP="003A4FB0">
      <w:pPr>
        <w:jc w:val="both"/>
        <w:rPr>
          <w:b/>
          <w:color w:val="2F5496" w:themeColor="accent1" w:themeShade="BF"/>
          <w:lang w:val="sr-Cyrl-RS"/>
        </w:rPr>
      </w:pPr>
      <w:r w:rsidRPr="00A37BCE">
        <w:rPr>
          <w:b/>
          <w:color w:val="2F5496" w:themeColor="accent1" w:themeShade="BF"/>
          <w:lang w:val="sr-Cyrl-RS"/>
        </w:rPr>
        <w:t>Финансијски ризици и мере за управљање финансијским ризицима</w:t>
      </w:r>
    </w:p>
    <w:p w14:paraId="2AF32654" w14:textId="4E4DB44B"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Финансијски и фискални ризици могу довести до раста јавног дуга већег него што га предвиђа основни сценарио. Ризици који су присутни и који могу да доведу до раста задужености и трошкова сервисирања јавног дуга су: ризик рефинансирања, девизни ризик, тржишни ризик (ризик каматних стопа, ризик инфлације), ризик ликвидности, кредитни и оперативни ризици и ризици везани за дистрибуцију трошкова сервисирања (структур</w:t>
      </w:r>
      <w:r w:rsidR="00D82D2A">
        <w:rPr>
          <w:rFonts w:cstheme="minorHAnsi"/>
          <w:bCs/>
          <w:color w:val="44546A" w:themeColor="text2"/>
          <w:sz w:val="20"/>
          <w:szCs w:val="72"/>
          <w:lang w:val="sr-Cyrl-RS"/>
        </w:rPr>
        <w:t>а дуга, концентрација обавеза).</w:t>
      </w:r>
    </w:p>
    <w:p w14:paraId="4D123969" w14:textId="7B10C022"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У циљу смањења изложености финансијским ризицима потре</w:t>
      </w:r>
      <w:r w:rsidR="00C601A3">
        <w:rPr>
          <w:rFonts w:cstheme="minorHAnsi"/>
          <w:bCs/>
          <w:color w:val="44546A" w:themeColor="text2"/>
          <w:sz w:val="20"/>
          <w:szCs w:val="72"/>
          <w:lang w:val="sr-Cyrl-RS"/>
        </w:rPr>
        <w:t>бно је спроводити следеће мере:</w:t>
      </w:r>
    </w:p>
    <w:p w14:paraId="4F314344"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1. ризик рефинансирања</w:t>
      </w:r>
    </w:p>
    <w:p w14:paraId="2FEE648A" w14:textId="62693EC4" w:rsidR="003A4FB0" w:rsidRPr="006C0D02" w:rsidRDefault="003A4FB0" w:rsidP="006C0D02">
      <w:pPr>
        <w:pStyle w:val="ListParagraph"/>
        <w:numPr>
          <w:ilvl w:val="0"/>
          <w:numId w:val="22"/>
        </w:numPr>
        <w:ind w:left="180" w:hanging="180"/>
        <w:jc w:val="both"/>
        <w:rPr>
          <w:rFonts w:cstheme="minorHAnsi"/>
          <w:bCs/>
          <w:color w:val="44546A" w:themeColor="text2"/>
          <w:sz w:val="20"/>
          <w:szCs w:val="72"/>
          <w:lang w:val="sr-Cyrl-RS"/>
        </w:rPr>
      </w:pPr>
      <w:r w:rsidRPr="006C0D02">
        <w:rPr>
          <w:rFonts w:cstheme="minorHAnsi"/>
          <w:bCs/>
          <w:color w:val="44546A" w:themeColor="text2"/>
          <w:sz w:val="20"/>
          <w:szCs w:val="72"/>
          <w:lang w:val="sr-Cyrl-RS"/>
        </w:rPr>
        <w:t>повећање учешћа средњорочних и дугорочних финансијских инструмената деноминованих у динарима на домаћем финансијском тржишту;</w:t>
      </w:r>
    </w:p>
    <w:p w14:paraId="6793DDFE" w14:textId="588B67C5" w:rsidR="003A4FB0" w:rsidRPr="006C0D02" w:rsidRDefault="003A4FB0" w:rsidP="006C0D02">
      <w:pPr>
        <w:pStyle w:val="ListParagraph"/>
        <w:numPr>
          <w:ilvl w:val="0"/>
          <w:numId w:val="22"/>
        </w:numPr>
        <w:ind w:left="180" w:hanging="180"/>
        <w:jc w:val="both"/>
        <w:rPr>
          <w:rFonts w:cstheme="minorHAnsi"/>
          <w:bCs/>
          <w:color w:val="44546A" w:themeColor="text2"/>
          <w:sz w:val="20"/>
          <w:szCs w:val="72"/>
          <w:lang w:val="sr-Cyrl-RS"/>
        </w:rPr>
      </w:pPr>
      <w:r w:rsidRPr="006C0D02">
        <w:rPr>
          <w:rFonts w:cstheme="minorHAnsi"/>
          <w:bCs/>
          <w:color w:val="44546A" w:themeColor="text2"/>
          <w:sz w:val="20"/>
          <w:szCs w:val="72"/>
          <w:lang w:val="sr-Cyrl-RS"/>
        </w:rPr>
        <w:t>равномерна расподела обавеза по основу јавног дуга на годишњем нивоу у наредном дугорочном периоду;</w:t>
      </w:r>
    </w:p>
    <w:p w14:paraId="2EB84DA3" w14:textId="1F1655DD" w:rsidR="003A4FB0" w:rsidRPr="006C0D02" w:rsidRDefault="003A4FB0" w:rsidP="006C0D02">
      <w:pPr>
        <w:pStyle w:val="ListParagraph"/>
        <w:numPr>
          <w:ilvl w:val="0"/>
          <w:numId w:val="22"/>
        </w:numPr>
        <w:ind w:left="180" w:hanging="180"/>
        <w:jc w:val="both"/>
        <w:rPr>
          <w:rFonts w:cstheme="minorHAnsi"/>
          <w:bCs/>
          <w:color w:val="44546A" w:themeColor="text2"/>
          <w:sz w:val="20"/>
          <w:szCs w:val="72"/>
          <w:lang w:val="sr-Cyrl-RS"/>
        </w:rPr>
      </w:pPr>
      <w:r w:rsidRPr="006C0D02">
        <w:rPr>
          <w:rFonts w:cstheme="minorHAnsi"/>
          <w:bCs/>
          <w:color w:val="44546A" w:themeColor="text2"/>
          <w:sz w:val="20"/>
          <w:szCs w:val="72"/>
          <w:lang w:val="sr-Cyrl-RS"/>
        </w:rPr>
        <w:t>продужавање просечне рочности дуга који се емитује у хартијама од вредности;</w:t>
      </w:r>
    </w:p>
    <w:p w14:paraId="5C87E28F" w14:textId="77777777" w:rsidR="00DE5A4C" w:rsidRDefault="00DE5A4C" w:rsidP="003A4FB0">
      <w:pPr>
        <w:jc w:val="both"/>
        <w:rPr>
          <w:rFonts w:cstheme="minorHAnsi"/>
          <w:bCs/>
          <w:color w:val="44546A" w:themeColor="text2"/>
          <w:sz w:val="20"/>
          <w:szCs w:val="72"/>
          <w:lang w:val="sr-Cyrl-RS"/>
        </w:rPr>
      </w:pPr>
    </w:p>
    <w:p w14:paraId="23CD32E5" w14:textId="77777777" w:rsidR="00DE5A4C" w:rsidRDefault="00DE5A4C" w:rsidP="003A4FB0">
      <w:pPr>
        <w:jc w:val="both"/>
        <w:rPr>
          <w:rFonts w:cstheme="minorHAnsi"/>
          <w:bCs/>
          <w:color w:val="44546A" w:themeColor="text2"/>
          <w:sz w:val="20"/>
          <w:szCs w:val="72"/>
          <w:lang w:val="sr-Cyrl-RS"/>
        </w:rPr>
      </w:pPr>
    </w:p>
    <w:p w14:paraId="6F87436C" w14:textId="640B6276" w:rsidR="003A4FB0" w:rsidRPr="00A37BCE" w:rsidRDefault="00C601A3" w:rsidP="003A4FB0">
      <w:pPr>
        <w:jc w:val="both"/>
        <w:rPr>
          <w:rFonts w:cstheme="minorHAnsi"/>
          <w:bCs/>
          <w:color w:val="44546A" w:themeColor="text2"/>
          <w:sz w:val="20"/>
          <w:szCs w:val="72"/>
          <w:lang w:val="sr-Cyrl-RS"/>
        </w:rPr>
      </w:pPr>
      <w:r>
        <w:rPr>
          <w:rFonts w:cstheme="minorHAnsi"/>
          <w:bCs/>
          <w:color w:val="44546A" w:themeColor="text2"/>
          <w:sz w:val="20"/>
          <w:szCs w:val="72"/>
          <w:lang w:val="sr-Cyrl-RS"/>
        </w:rPr>
        <w:lastRenderedPageBreak/>
        <w:t>2. девизни ризик</w:t>
      </w:r>
    </w:p>
    <w:p w14:paraId="333284F0" w14:textId="5F377667" w:rsidR="003A4FB0" w:rsidRPr="006C0D02" w:rsidRDefault="003A4FB0" w:rsidP="006C0D02">
      <w:pPr>
        <w:pStyle w:val="ListParagraph"/>
        <w:numPr>
          <w:ilvl w:val="1"/>
          <w:numId w:val="25"/>
        </w:numPr>
        <w:ind w:left="180" w:hanging="180"/>
        <w:jc w:val="both"/>
        <w:rPr>
          <w:rFonts w:cstheme="minorHAnsi"/>
          <w:bCs/>
          <w:color w:val="44546A" w:themeColor="text2"/>
          <w:sz w:val="20"/>
          <w:szCs w:val="72"/>
          <w:lang w:val="sr-Cyrl-RS"/>
        </w:rPr>
      </w:pPr>
      <w:r w:rsidRPr="006C0D02">
        <w:rPr>
          <w:rFonts w:cstheme="minorHAnsi"/>
          <w:bCs/>
          <w:color w:val="44546A" w:themeColor="text2"/>
          <w:sz w:val="20"/>
          <w:szCs w:val="72"/>
          <w:lang w:val="sr-Cyrl-RS"/>
        </w:rPr>
        <w:t>настојање да се смањи учешће дуга деноминованог у ино-валути уз уважавање трошкова новог дуга (трошкови динаризације дуга);</w:t>
      </w:r>
    </w:p>
    <w:p w14:paraId="3422CB06" w14:textId="030B46D3" w:rsidR="003A4FB0" w:rsidRPr="006C0D02" w:rsidRDefault="003A4FB0" w:rsidP="006C0D02">
      <w:pPr>
        <w:pStyle w:val="ListParagraph"/>
        <w:numPr>
          <w:ilvl w:val="1"/>
          <w:numId w:val="25"/>
        </w:numPr>
        <w:ind w:left="180" w:hanging="180"/>
        <w:jc w:val="both"/>
        <w:rPr>
          <w:rFonts w:cstheme="minorHAnsi"/>
          <w:bCs/>
          <w:color w:val="44546A" w:themeColor="text2"/>
          <w:sz w:val="20"/>
          <w:szCs w:val="72"/>
          <w:lang w:val="sr-Cyrl-RS"/>
        </w:rPr>
      </w:pPr>
      <w:r w:rsidRPr="006C0D02">
        <w:rPr>
          <w:rFonts w:cstheme="minorHAnsi"/>
          <w:bCs/>
          <w:color w:val="44546A" w:themeColor="text2"/>
          <w:sz w:val="20"/>
          <w:szCs w:val="72"/>
          <w:lang w:val="sr-Cyrl-RS"/>
        </w:rPr>
        <w:t>коришћење финансијских деривата у циљу лимитирања ефеката промене курсева референтних валута;</w:t>
      </w:r>
    </w:p>
    <w:p w14:paraId="35D364DF" w14:textId="5636838F" w:rsidR="003A4FB0" w:rsidRPr="006C0D02" w:rsidRDefault="003A4FB0" w:rsidP="006C0D02">
      <w:pPr>
        <w:pStyle w:val="ListParagraph"/>
        <w:numPr>
          <w:ilvl w:val="1"/>
          <w:numId w:val="25"/>
        </w:numPr>
        <w:ind w:left="180" w:hanging="180"/>
        <w:jc w:val="both"/>
        <w:rPr>
          <w:rFonts w:cstheme="minorHAnsi"/>
          <w:bCs/>
          <w:color w:val="44546A" w:themeColor="text2"/>
          <w:sz w:val="20"/>
          <w:szCs w:val="72"/>
          <w:lang w:val="sr-Cyrl-RS"/>
        </w:rPr>
      </w:pPr>
      <w:r w:rsidRPr="006C0D02">
        <w:rPr>
          <w:rFonts w:cstheme="minorHAnsi"/>
          <w:bCs/>
          <w:color w:val="44546A" w:themeColor="text2"/>
          <w:sz w:val="20"/>
          <w:szCs w:val="72"/>
          <w:lang w:val="sr-Cyrl-RS"/>
        </w:rPr>
        <w:t>настојање да спољни дуг буде углавном у еврима и да се доларски дуг користи само ако је финансирање на међународном тржишту у доларима јефтиније уз коришћење финансијских деривата за лимитирање ризика;</w:t>
      </w:r>
    </w:p>
    <w:p w14:paraId="09D181A0"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3. тржишни ризик (ризик каматних стопа, ризик инфлације)</w:t>
      </w:r>
    </w:p>
    <w:p w14:paraId="45669CF5" w14:textId="71194A9C" w:rsidR="003A4FB0" w:rsidRPr="009A206D" w:rsidRDefault="003A4FB0" w:rsidP="009A206D">
      <w:pPr>
        <w:pStyle w:val="ListParagraph"/>
        <w:numPr>
          <w:ilvl w:val="1"/>
          <w:numId w:val="27"/>
        </w:numPr>
        <w:ind w:left="180" w:hanging="180"/>
        <w:jc w:val="both"/>
        <w:rPr>
          <w:rFonts w:cstheme="minorHAnsi"/>
          <w:bCs/>
          <w:color w:val="44546A" w:themeColor="text2"/>
          <w:sz w:val="20"/>
          <w:szCs w:val="72"/>
          <w:lang w:val="sr-Cyrl-RS"/>
        </w:rPr>
      </w:pPr>
      <w:r w:rsidRPr="009A206D">
        <w:rPr>
          <w:rFonts w:cstheme="minorHAnsi"/>
          <w:bCs/>
          <w:color w:val="44546A" w:themeColor="text2"/>
          <w:sz w:val="20"/>
          <w:szCs w:val="72"/>
          <w:lang w:val="sr-Cyrl-RS"/>
        </w:rPr>
        <w:t>настојање да се продужи просечна рочност домаћег дуга у динарима;</w:t>
      </w:r>
    </w:p>
    <w:p w14:paraId="0CA047F0" w14:textId="07841266" w:rsidR="003A4FB0" w:rsidRPr="009A206D" w:rsidRDefault="003A4FB0" w:rsidP="009A206D">
      <w:pPr>
        <w:pStyle w:val="ListParagraph"/>
        <w:numPr>
          <w:ilvl w:val="1"/>
          <w:numId w:val="27"/>
        </w:numPr>
        <w:ind w:left="180" w:hanging="180"/>
        <w:jc w:val="both"/>
        <w:rPr>
          <w:rFonts w:cstheme="minorHAnsi"/>
          <w:bCs/>
          <w:color w:val="44546A" w:themeColor="text2"/>
          <w:sz w:val="20"/>
          <w:szCs w:val="72"/>
          <w:lang w:val="sr-Cyrl-RS"/>
        </w:rPr>
      </w:pPr>
      <w:r w:rsidRPr="009A206D">
        <w:rPr>
          <w:rFonts w:cstheme="minorHAnsi"/>
          <w:bCs/>
          <w:color w:val="44546A" w:themeColor="text2"/>
          <w:sz w:val="20"/>
          <w:szCs w:val="72"/>
          <w:lang w:val="sr-Cyrl-RS"/>
        </w:rPr>
        <w:t xml:space="preserve">емитовање </w:t>
      </w:r>
      <w:r w:rsidR="00543BEB" w:rsidRPr="009A206D">
        <w:rPr>
          <w:rFonts w:cstheme="minorHAnsi"/>
          <w:bCs/>
          <w:color w:val="44546A" w:themeColor="text2"/>
          <w:sz w:val="20"/>
          <w:szCs w:val="72"/>
          <w:lang w:val="sr-Cyrl-RS"/>
        </w:rPr>
        <w:t>индексираних обвезница (индекса</w:t>
      </w:r>
      <w:r w:rsidRPr="009A206D">
        <w:rPr>
          <w:rFonts w:cstheme="minorHAnsi"/>
          <w:bCs/>
          <w:color w:val="44546A" w:themeColor="text2"/>
          <w:sz w:val="20"/>
          <w:szCs w:val="72"/>
          <w:lang w:val="sr-Cyrl-RS"/>
        </w:rPr>
        <w:t>ција каматних стопа);</w:t>
      </w:r>
    </w:p>
    <w:p w14:paraId="7BF468FF" w14:textId="2E6EBD0E" w:rsidR="003A4FB0" w:rsidRPr="009A206D" w:rsidRDefault="003A4FB0" w:rsidP="009A206D">
      <w:pPr>
        <w:pStyle w:val="ListParagraph"/>
        <w:numPr>
          <w:ilvl w:val="1"/>
          <w:numId w:val="27"/>
        </w:numPr>
        <w:ind w:left="180" w:hanging="180"/>
        <w:jc w:val="both"/>
        <w:rPr>
          <w:rFonts w:cstheme="minorHAnsi"/>
          <w:bCs/>
          <w:color w:val="44546A" w:themeColor="text2"/>
          <w:sz w:val="20"/>
          <w:szCs w:val="72"/>
          <w:lang w:val="sr-Cyrl-RS"/>
        </w:rPr>
      </w:pPr>
      <w:r w:rsidRPr="009A206D">
        <w:rPr>
          <w:rFonts w:cstheme="minorHAnsi"/>
          <w:bCs/>
          <w:color w:val="44546A" w:themeColor="text2"/>
          <w:sz w:val="20"/>
          <w:szCs w:val="72"/>
          <w:lang w:val="sr-Cyrl-RS"/>
        </w:rPr>
        <w:t>настојање да ризик по основу каматних стопа на спољни дуг не угрожава дугорочни циљ мин</w:t>
      </w:r>
      <w:r w:rsidR="00C601A3" w:rsidRPr="009A206D">
        <w:rPr>
          <w:rFonts w:cstheme="minorHAnsi"/>
          <w:bCs/>
          <w:color w:val="44546A" w:themeColor="text2"/>
          <w:sz w:val="20"/>
          <w:szCs w:val="72"/>
          <w:lang w:val="sr-Cyrl-RS"/>
        </w:rPr>
        <w:t>имизације трошкова јавног дуга;</w:t>
      </w:r>
    </w:p>
    <w:p w14:paraId="6A6D0249"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4. ризик ликвидности</w:t>
      </w:r>
    </w:p>
    <w:p w14:paraId="72FD89E7" w14:textId="5A273D01" w:rsidR="003A4FB0" w:rsidRPr="009A206D" w:rsidRDefault="003A4FB0" w:rsidP="009A206D">
      <w:pPr>
        <w:pStyle w:val="ListParagraph"/>
        <w:numPr>
          <w:ilvl w:val="1"/>
          <w:numId w:val="29"/>
        </w:numPr>
        <w:ind w:left="180" w:hanging="180"/>
        <w:jc w:val="both"/>
        <w:rPr>
          <w:rFonts w:cstheme="minorHAnsi"/>
          <w:bCs/>
          <w:color w:val="44546A" w:themeColor="text2"/>
          <w:sz w:val="20"/>
          <w:szCs w:val="72"/>
          <w:lang w:val="sr-Cyrl-RS"/>
        </w:rPr>
      </w:pPr>
      <w:r w:rsidRPr="009A206D">
        <w:rPr>
          <w:rFonts w:cstheme="minorHAnsi"/>
          <w:bCs/>
          <w:color w:val="44546A" w:themeColor="text2"/>
          <w:sz w:val="20"/>
          <w:szCs w:val="72"/>
          <w:lang w:val="sr-Cyrl-RS"/>
        </w:rPr>
        <w:t>перманентно одржавање нивоа готовине на рачунима Републике Србије на нивоу који омогућава несметано финансирање обавеза у минимуму од четири месеца и на нивоу који омогућава апсорпцију евентуалних мањих прилива по основу задуживања у односу на план;</w:t>
      </w:r>
    </w:p>
    <w:p w14:paraId="03A04587" w14:textId="161B3ABE" w:rsidR="003A4FB0" w:rsidRPr="009A206D" w:rsidRDefault="003A4FB0" w:rsidP="009A206D">
      <w:pPr>
        <w:pStyle w:val="ListParagraph"/>
        <w:numPr>
          <w:ilvl w:val="1"/>
          <w:numId w:val="29"/>
        </w:numPr>
        <w:ind w:left="180" w:hanging="180"/>
        <w:jc w:val="both"/>
        <w:rPr>
          <w:rFonts w:cstheme="minorHAnsi"/>
          <w:bCs/>
          <w:color w:val="44546A" w:themeColor="text2"/>
          <w:sz w:val="20"/>
          <w:szCs w:val="72"/>
          <w:lang w:val="sr-Cyrl-RS"/>
        </w:rPr>
      </w:pPr>
      <w:r w:rsidRPr="009A206D">
        <w:rPr>
          <w:rFonts w:cstheme="minorHAnsi"/>
          <w:bCs/>
          <w:color w:val="44546A" w:themeColor="text2"/>
          <w:sz w:val="20"/>
          <w:szCs w:val="72"/>
          <w:lang w:val="sr-Cyrl-RS"/>
        </w:rPr>
        <w:t>адекватно управљање слободним готовинским средствима на рачунима Републике Србије у складу са принципима asset-liability management у складу са могућностима;</w:t>
      </w:r>
    </w:p>
    <w:p w14:paraId="36980105"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5. кредитни и оперативни ризици</w:t>
      </w:r>
    </w:p>
    <w:p w14:paraId="006BE068" w14:textId="6CC26404" w:rsidR="003A4FB0" w:rsidRPr="00F1181B" w:rsidRDefault="003A4FB0" w:rsidP="00F1181B">
      <w:pPr>
        <w:pStyle w:val="ListParagraph"/>
        <w:numPr>
          <w:ilvl w:val="1"/>
          <w:numId w:val="31"/>
        </w:numPr>
        <w:ind w:left="180" w:hanging="180"/>
        <w:jc w:val="both"/>
        <w:rPr>
          <w:rFonts w:cstheme="minorHAnsi"/>
          <w:bCs/>
          <w:color w:val="44546A" w:themeColor="text2"/>
          <w:sz w:val="20"/>
          <w:szCs w:val="72"/>
          <w:lang w:val="sr-Cyrl-RS"/>
        </w:rPr>
      </w:pPr>
      <w:r w:rsidRPr="00F1181B">
        <w:rPr>
          <w:rFonts w:cstheme="minorHAnsi"/>
          <w:bCs/>
          <w:color w:val="44546A" w:themeColor="text2"/>
          <w:sz w:val="20"/>
          <w:szCs w:val="72"/>
          <w:lang w:val="sr-Cyrl-RS"/>
        </w:rPr>
        <w:t>спровођење трансакција са финансијским дериватима само са финансијским институцијама које имају висок кредитни рејтинг;</w:t>
      </w:r>
    </w:p>
    <w:p w14:paraId="458CA31D" w14:textId="68AA0B33" w:rsidR="003A4FB0" w:rsidRPr="00F1181B" w:rsidRDefault="003A4FB0" w:rsidP="00F1181B">
      <w:pPr>
        <w:pStyle w:val="ListParagraph"/>
        <w:numPr>
          <w:ilvl w:val="1"/>
          <w:numId w:val="31"/>
        </w:numPr>
        <w:ind w:left="180" w:hanging="180"/>
        <w:jc w:val="both"/>
        <w:rPr>
          <w:rFonts w:cstheme="minorHAnsi"/>
          <w:bCs/>
          <w:color w:val="44546A" w:themeColor="text2"/>
          <w:sz w:val="20"/>
          <w:szCs w:val="72"/>
          <w:lang w:val="sr-Cyrl-RS"/>
        </w:rPr>
      </w:pPr>
      <w:r w:rsidRPr="00F1181B">
        <w:rPr>
          <w:rFonts w:cstheme="minorHAnsi"/>
          <w:bCs/>
          <w:color w:val="44546A" w:themeColor="text2"/>
          <w:sz w:val="20"/>
          <w:szCs w:val="72"/>
          <w:lang w:val="sr-Cyrl-RS"/>
        </w:rPr>
        <w:t>коришћење финансијских инструмената који лимитирају кредитни ризик;</w:t>
      </w:r>
    </w:p>
    <w:p w14:paraId="3F5A6541" w14:textId="2CD7F6A3" w:rsidR="003A4FB0" w:rsidRPr="00F1181B" w:rsidRDefault="003A4FB0" w:rsidP="00F1181B">
      <w:pPr>
        <w:pStyle w:val="ListParagraph"/>
        <w:numPr>
          <w:ilvl w:val="1"/>
          <w:numId w:val="31"/>
        </w:numPr>
        <w:ind w:left="180" w:hanging="180"/>
        <w:jc w:val="both"/>
        <w:rPr>
          <w:rFonts w:cstheme="minorHAnsi"/>
          <w:bCs/>
          <w:color w:val="44546A" w:themeColor="text2"/>
          <w:sz w:val="20"/>
          <w:szCs w:val="72"/>
          <w:lang w:val="sr-Cyrl-RS"/>
        </w:rPr>
      </w:pPr>
      <w:r w:rsidRPr="00F1181B">
        <w:rPr>
          <w:rFonts w:cstheme="minorHAnsi"/>
          <w:bCs/>
          <w:color w:val="44546A" w:themeColor="text2"/>
          <w:sz w:val="20"/>
          <w:szCs w:val="72"/>
          <w:lang w:val="sr-Cyrl-RS"/>
        </w:rPr>
        <w:t xml:space="preserve">давање гаранција и одобравање новог дуга локалним властима само ако постоји адекватна анализа о релативно ниском степену вероватноће да се реализује гаранција или да </w:t>
      </w:r>
      <w:r w:rsidRPr="00F1181B">
        <w:rPr>
          <w:rFonts w:cstheme="minorHAnsi"/>
          <w:bCs/>
          <w:color w:val="44546A" w:themeColor="text2"/>
          <w:sz w:val="20"/>
          <w:szCs w:val="72"/>
          <w:lang w:val="sr-Cyrl-RS"/>
        </w:rPr>
        <w:lastRenderedPageBreak/>
        <w:t>локална власт постане несолвентна у средњорочном периоду;</w:t>
      </w:r>
    </w:p>
    <w:p w14:paraId="09EB4C21" w14:textId="7E0F915D" w:rsidR="003A4FB0" w:rsidRPr="00815C8F" w:rsidRDefault="003A4FB0" w:rsidP="00815C8F">
      <w:pPr>
        <w:pStyle w:val="ListParagraph"/>
        <w:numPr>
          <w:ilvl w:val="0"/>
          <w:numId w:val="17"/>
        </w:numPr>
        <w:tabs>
          <w:tab w:val="left" w:pos="90"/>
        </w:tabs>
        <w:ind w:left="180" w:hanging="270"/>
        <w:jc w:val="both"/>
        <w:rPr>
          <w:rFonts w:cstheme="minorHAnsi"/>
          <w:bCs/>
          <w:color w:val="44546A" w:themeColor="text2"/>
          <w:sz w:val="20"/>
          <w:szCs w:val="72"/>
          <w:lang w:val="sr-Cyrl-RS"/>
        </w:rPr>
      </w:pPr>
      <w:r w:rsidRPr="00815C8F">
        <w:rPr>
          <w:rFonts w:cstheme="minorHAnsi"/>
          <w:bCs/>
          <w:color w:val="44546A" w:themeColor="text2"/>
          <w:sz w:val="20"/>
          <w:szCs w:val="72"/>
          <w:lang w:val="sr-Cyrl-RS"/>
        </w:rPr>
        <w:t>увођење адекватне контроле у свим пословним активностима у Управи за јавни дуг и унапређење знања запослених;</w:t>
      </w:r>
    </w:p>
    <w:p w14:paraId="22D4357A" w14:textId="52486AB3" w:rsidR="003A4FB0" w:rsidRPr="00815C8F" w:rsidRDefault="003A4FB0" w:rsidP="00815C8F">
      <w:pPr>
        <w:pStyle w:val="ListParagraph"/>
        <w:numPr>
          <w:ilvl w:val="0"/>
          <w:numId w:val="17"/>
        </w:numPr>
        <w:tabs>
          <w:tab w:val="left" w:pos="90"/>
        </w:tabs>
        <w:ind w:left="180" w:hanging="270"/>
        <w:jc w:val="both"/>
        <w:rPr>
          <w:rFonts w:cstheme="minorHAnsi"/>
          <w:bCs/>
          <w:color w:val="44546A" w:themeColor="text2"/>
          <w:sz w:val="20"/>
          <w:szCs w:val="72"/>
          <w:lang w:val="sr-Cyrl-RS"/>
        </w:rPr>
      </w:pPr>
      <w:r w:rsidRPr="00815C8F">
        <w:rPr>
          <w:rFonts w:cstheme="minorHAnsi"/>
          <w:bCs/>
          <w:color w:val="44546A" w:themeColor="text2"/>
          <w:sz w:val="20"/>
          <w:szCs w:val="72"/>
          <w:lang w:val="sr-Cyrl-RS"/>
        </w:rPr>
        <w:t>креирање новог информационог система за праћење јавног дуга и операција са њим;</w:t>
      </w:r>
    </w:p>
    <w:p w14:paraId="42145898" w14:textId="77777777" w:rsidR="003A4FB0" w:rsidRPr="006C0D02" w:rsidRDefault="003A4FB0" w:rsidP="006C0D02">
      <w:pPr>
        <w:tabs>
          <w:tab w:val="left" w:pos="90"/>
        </w:tabs>
        <w:ind w:left="-90"/>
        <w:jc w:val="both"/>
        <w:rPr>
          <w:rFonts w:cstheme="minorHAnsi"/>
          <w:bCs/>
          <w:color w:val="44546A" w:themeColor="text2"/>
          <w:sz w:val="20"/>
          <w:szCs w:val="72"/>
          <w:lang w:val="sr-Cyrl-RS"/>
        </w:rPr>
      </w:pPr>
      <w:r w:rsidRPr="006C0D02">
        <w:rPr>
          <w:rFonts w:cstheme="minorHAnsi"/>
          <w:bCs/>
          <w:color w:val="44546A" w:themeColor="text2"/>
          <w:sz w:val="20"/>
          <w:szCs w:val="72"/>
          <w:lang w:val="sr-Cyrl-RS"/>
        </w:rPr>
        <w:t>6. ризици везани за дистрибуцију трошкова сервисирања</w:t>
      </w:r>
    </w:p>
    <w:p w14:paraId="21979FCE" w14:textId="533565A0" w:rsidR="003A4FB0" w:rsidRPr="00815C8F" w:rsidRDefault="003A4FB0" w:rsidP="00815C8F">
      <w:pPr>
        <w:pStyle w:val="ListParagraph"/>
        <w:numPr>
          <w:ilvl w:val="0"/>
          <w:numId w:val="17"/>
        </w:numPr>
        <w:tabs>
          <w:tab w:val="left" w:pos="90"/>
        </w:tabs>
        <w:ind w:left="180" w:hanging="270"/>
        <w:jc w:val="both"/>
        <w:rPr>
          <w:rFonts w:cstheme="minorHAnsi"/>
          <w:bCs/>
          <w:color w:val="44546A" w:themeColor="text2"/>
          <w:sz w:val="20"/>
          <w:szCs w:val="72"/>
          <w:lang w:val="sr-Cyrl-RS"/>
        </w:rPr>
      </w:pPr>
      <w:r w:rsidRPr="00815C8F">
        <w:rPr>
          <w:rFonts w:cstheme="minorHAnsi"/>
          <w:bCs/>
          <w:color w:val="44546A" w:themeColor="text2"/>
          <w:sz w:val="20"/>
          <w:szCs w:val="72"/>
          <w:lang w:val="sr-Cyrl-RS"/>
        </w:rPr>
        <w:t>адекватно планирање задуживања на годишњем нивоу и равномерна расподела у наредним годинама и током фискалне године како би се избегао ризик велике концентрације обавеза за рефинансирање;</w:t>
      </w:r>
    </w:p>
    <w:p w14:paraId="50DA5A7B" w14:textId="3DEE0C1F" w:rsidR="003A4FB0" w:rsidRPr="00815C8F" w:rsidRDefault="003A4FB0" w:rsidP="00815C8F">
      <w:pPr>
        <w:pStyle w:val="ListParagraph"/>
        <w:numPr>
          <w:ilvl w:val="0"/>
          <w:numId w:val="17"/>
        </w:numPr>
        <w:tabs>
          <w:tab w:val="left" w:pos="90"/>
        </w:tabs>
        <w:ind w:left="180" w:hanging="270"/>
        <w:jc w:val="both"/>
        <w:rPr>
          <w:rFonts w:cstheme="minorHAnsi"/>
          <w:bCs/>
          <w:color w:val="44546A" w:themeColor="text2"/>
          <w:sz w:val="20"/>
          <w:szCs w:val="72"/>
          <w:lang w:val="sr-Cyrl-RS"/>
        </w:rPr>
      </w:pPr>
      <w:r w:rsidRPr="00815C8F">
        <w:rPr>
          <w:rFonts w:cstheme="minorHAnsi"/>
          <w:bCs/>
          <w:color w:val="44546A" w:themeColor="text2"/>
          <w:sz w:val="20"/>
          <w:szCs w:val="72"/>
          <w:lang w:val="sr-Cyrl-RS"/>
        </w:rPr>
        <w:t>избегавање концентрације обавеза по основу јавног дуга на месечном нивоу, који не би могао бити амортизован слободним новчаним средствима на рачунима Републике Србије.</w:t>
      </w:r>
    </w:p>
    <w:p w14:paraId="63CE06CF" w14:textId="77777777" w:rsidR="003A4FB0" w:rsidRPr="00A37BCE" w:rsidRDefault="003A4FB0" w:rsidP="003A4FB0">
      <w:pPr>
        <w:jc w:val="both"/>
        <w:rPr>
          <w:b/>
          <w:color w:val="2F5496" w:themeColor="accent1" w:themeShade="BF"/>
          <w:lang w:val="sr-Cyrl-RS"/>
        </w:rPr>
      </w:pPr>
      <w:r w:rsidRPr="00A37BCE">
        <w:rPr>
          <w:b/>
          <w:color w:val="2F5496" w:themeColor="accent1" w:themeShade="BF"/>
          <w:lang w:val="sr-Cyrl-RS"/>
        </w:rPr>
        <w:t>Анализе коришћене приликом израде Стратегије за управљање јавним дугом</w:t>
      </w:r>
    </w:p>
    <w:p w14:paraId="71E82324"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Управа за јавни дуг је користила квантитативни приступ за формулисање Стратегије за управљање јавним дугом, идентификујући могућа ограничења кроз макроекономске показатеље, анализу трошкова и ризика и тржишних услова који утичу на управљање јавним дугом. Приликом анализирања трошкова и ризика разматрају се све изводљиве алтернативе финансирања. Удео сваког инструмента у укупним потребама за финансирањем у датој години одређен је у складу са циљевима Стратегије.</w:t>
      </w:r>
    </w:p>
    <w:p w14:paraId="71990427"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У сврху анализе коришћени су доле описани инструменти доступни на домаћем и међународном финансијском тржишту.</w:t>
      </w:r>
    </w:p>
    <w:p w14:paraId="1641318C" w14:textId="77777777" w:rsidR="003A4FB0" w:rsidRPr="00A37BCE" w:rsidRDefault="003A4FB0" w:rsidP="003A4FB0">
      <w:pPr>
        <w:jc w:val="both"/>
        <w:rPr>
          <w:b/>
          <w:color w:val="2F5496" w:themeColor="accent1" w:themeShade="BF"/>
          <w:lang w:val="sr-Cyrl-RS"/>
        </w:rPr>
      </w:pPr>
      <w:r w:rsidRPr="00A37BCE">
        <w:rPr>
          <w:b/>
          <w:color w:val="2F5496" w:themeColor="accent1" w:themeShade="BF"/>
          <w:lang w:val="sr-Cyrl-RS"/>
        </w:rPr>
        <w:t>Извори финансирања деноминовани у страној валути</w:t>
      </w:r>
    </w:p>
    <w:p w14:paraId="5E16988E" w14:textId="4CAAA756" w:rsidR="003A4FB0" w:rsidRPr="00815C8F" w:rsidRDefault="003A4FB0" w:rsidP="00815C8F">
      <w:pPr>
        <w:pStyle w:val="ListParagraph"/>
        <w:numPr>
          <w:ilvl w:val="0"/>
          <w:numId w:val="18"/>
        </w:numPr>
        <w:ind w:left="180" w:hanging="180"/>
        <w:jc w:val="both"/>
        <w:rPr>
          <w:rFonts w:cstheme="minorHAnsi"/>
          <w:bCs/>
          <w:color w:val="44546A" w:themeColor="text2"/>
          <w:sz w:val="20"/>
          <w:szCs w:val="72"/>
          <w:lang w:val="sr-Cyrl-RS"/>
        </w:rPr>
      </w:pPr>
      <w:r w:rsidRPr="00815C8F">
        <w:rPr>
          <w:rFonts w:cstheme="minorHAnsi"/>
          <w:bCs/>
          <w:color w:val="44546A" w:themeColor="text2"/>
          <w:sz w:val="20"/>
          <w:szCs w:val="72"/>
          <w:lang w:val="sr-Cyrl-RS"/>
        </w:rPr>
        <w:t xml:space="preserve">Зајмови страних влада и међународних финансијских институција </w:t>
      </w:r>
      <w:r w:rsidR="00AC0CDE" w:rsidRPr="00815C8F">
        <w:rPr>
          <w:rFonts w:cstheme="minorHAnsi"/>
          <w:bCs/>
          <w:color w:val="44546A" w:themeColor="text2"/>
          <w:sz w:val="20"/>
          <w:szCs w:val="72"/>
          <w:lang w:val="sr-Cyrl-RS"/>
        </w:rPr>
        <w:t>–</w:t>
      </w:r>
      <w:r w:rsidRPr="00815C8F">
        <w:rPr>
          <w:rFonts w:cstheme="minorHAnsi"/>
          <w:bCs/>
          <w:color w:val="44546A" w:themeColor="text2"/>
          <w:sz w:val="20"/>
          <w:szCs w:val="72"/>
          <w:lang w:val="sr-Cyrl-RS"/>
        </w:rPr>
        <w:t xml:space="preserve"> приказани као концесионални инструменти деноминовани у еврима или америчким доларима, са фиксном или варијабилном каматном стопом;</w:t>
      </w:r>
    </w:p>
    <w:p w14:paraId="23E7717B" w14:textId="16B5FBBA" w:rsidR="003A4FB0" w:rsidRPr="00815C8F" w:rsidRDefault="003A4FB0" w:rsidP="00815C8F">
      <w:pPr>
        <w:pStyle w:val="ListParagraph"/>
        <w:numPr>
          <w:ilvl w:val="0"/>
          <w:numId w:val="18"/>
        </w:numPr>
        <w:ind w:left="180" w:hanging="180"/>
        <w:jc w:val="both"/>
        <w:rPr>
          <w:rFonts w:cstheme="minorHAnsi"/>
          <w:bCs/>
          <w:color w:val="44546A" w:themeColor="text2"/>
          <w:sz w:val="20"/>
          <w:szCs w:val="72"/>
          <w:lang w:val="sr-Cyrl-RS"/>
        </w:rPr>
      </w:pPr>
      <w:r w:rsidRPr="00815C8F">
        <w:rPr>
          <w:rFonts w:cstheme="minorHAnsi"/>
          <w:bCs/>
          <w:color w:val="44546A" w:themeColor="text2"/>
          <w:sz w:val="20"/>
          <w:szCs w:val="72"/>
          <w:lang w:val="sr-Cyrl-RS"/>
        </w:rPr>
        <w:t xml:space="preserve">Домаћи дуг деноминован у еврима исказан кроз два инструмента – државни записи и државне </w:t>
      </w:r>
      <w:r w:rsidRPr="00815C8F">
        <w:rPr>
          <w:rFonts w:cstheme="minorHAnsi"/>
          <w:bCs/>
          <w:color w:val="44546A" w:themeColor="text2"/>
          <w:sz w:val="20"/>
          <w:szCs w:val="72"/>
          <w:lang w:val="sr-Cyrl-RS"/>
        </w:rPr>
        <w:lastRenderedPageBreak/>
        <w:t>обвезнице емитоване на домаћем финансијском тржишту;</w:t>
      </w:r>
    </w:p>
    <w:p w14:paraId="00F932C3" w14:textId="18AB351D" w:rsidR="003A4FB0" w:rsidRPr="00815C8F" w:rsidRDefault="003A4FB0" w:rsidP="00815C8F">
      <w:pPr>
        <w:pStyle w:val="ListParagraph"/>
        <w:numPr>
          <w:ilvl w:val="1"/>
          <w:numId w:val="21"/>
        </w:numPr>
        <w:ind w:left="180" w:hanging="180"/>
        <w:jc w:val="both"/>
        <w:rPr>
          <w:rFonts w:cstheme="minorHAnsi"/>
          <w:bCs/>
          <w:color w:val="44546A" w:themeColor="text2"/>
          <w:sz w:val="20"/>
          <w:szCs w:val="72"/>
          <w:lang w:val="sr-Cyrl-RS"/>
        </w:rPr>
      </w:pPr>
      <w:r w:rsidRPr="00815C8F">
        <w:rPr>
          <w:rFonts w:cstheme="minorHAnsi"/>
          <w:bCs/>
          <w:color w:val="44546A" w:themeColor="text2"/>
          <w:spacing w:val="-2"/>
          <w:sz w:val="20"/>
          <w:szCs w:val="72"/>
          <w:lang w:val="sr-Cyrl-RS"/>
        </w:rPr>
        <w:t xml:space="preserve">Еврообвезница (еуробонд) </w:t>
      </w:r>
      <w:r w:rsidR="00AC0CDE" w:rsidRPr="00815C8F">
        <w:rPr>
          <w:rFonts w:cstheme="minorHAnsi"/>
          <w:bCs/>
          <w:color w:val="44546A" w:themeColor="text2"/>
          <w:spacing w:val="-2"/>
          <w:sz w:val="20"/>
          <w:szCs w:val="72"/>
          <w:lang w:val="sr-Cyrl-RS"/>
        </w:rPr>
        <w:t>–</w:t>
      </w:r>
      <w:r w:rsidRPr="00815C8F">
        <w:rPr>
          <w:rFonts w:cstheme="minorHAnsi"/>
          <w:bCs/>
          <w:color w:val="44546A" w:themeColor="text2"/>
          <w:spacing w:val="-2"/>
          <w:sz w:val="20"/>
          <w:szCs w:val="72"/>
          <w:lang w:val="sr-Cyrl-RS"/>
        </w:rPr>
        <w:t xml:space="preserve"> емитована у еврима</w:t>
      </w:r>
      <w:r w:rsidRPr="00815C8F">
        <w:rPr>
          <w:rFonts w:cstheme="minorHAnsi"/>
          <w:bCs/>
          <w:color w:val="44546A" w:themeColor="text2"/>
          <w:sz w:val="20"/>
          <w:szCs w:val="72"/>
          <w:lang w:val="sr-Cyrl-RS"/>
        </w:rPr>
        <w:t xml:space="preserve"> или америчким доларима на међународном финансијском тржишту.</w:t>
      </w:r>
    </w:p>
    <w:p w14:paraId="731D035B" w14:textId="77777777" w:rsidR="003A4FB0" w:rsidRPr="00A37BCE" w:rsidRDefault="003A4FB0" w:rsidP="003A4FB0">
      <w:pPr>
        <w:jc w:val="both"/>
        <w:rPr>
          <w:b/>
          <w:color w:val="2F5496" w:themeColor="accent1" w:themeShade="BF"/>
          <w:lang w:val="sr-Cyrl-RS"/>
        </w:rPr>
      </w:pPr>
      <w:r w:rsidRPr="00A37BCE">
        <w:rPr>
          <w:b/>
          <w:color w:val="2F5496" w:themeColor="accent1" w:themeShade="BF"/>
          <w:lang w:val="sr-Cyrl-RS"/>
        </w:rPr>
        <w:t>Извори финансирања у домаћој валути</w:t>
      </w:r>
    </w:p>
    <w:p w14:paraId="3B16B3D2"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Све државне хартије од вредности деноминоване у динарима груписане су у неколико група, и то: у краткорочне државне записе (са роковима доспећа до 53 недеље), двогодишње, трогодишње и дугорочне (петогодишње, седмогодишње и десетогодишње) државне обвезнице.</w:t>
      </w:r>
    </w:p>
    <w:p w14:paraId="70FD44BF" w14:textId="77777777" w:rsidR="003A4FB0" w:rsidRPr="00A37BCE" w:rsidRDefault="003A4FB0" w:rsidP="003A4FB0">
      <w:pPr>
        <w:jc w:val="both"/>
        <w:rPr>
          <w:b/>
          <w:color w:val="2F5496" w:themeColor="accent1" w:themeShade="BF"/>
          <w:lang w:val="sr-Cyrl-RS"/>
        </w:rPr>
      </w:pPr>
      <w:r w:rsidRPr="00A37BCE">
        <w:rPr>
          <w:b/>
          <w:color w:val="2F5496" w:themeColor="accent1" w:themeShade="BF"/>
          <w:lang w:val="sr-Cyrl-RS"/>
        </w:rPr>
        <w:t>Будуће тржишне каматне стопе и сценарио анализа</w:t>
      </w:r>
    </w:p>
    <w:p w14:paraId="3F433BD6" w14:textId="7568A5B0"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Приликом израде средњорочне стратегије управља</w:t>
      </w:r>
      <w:r w:rsidR="00DE1CB6">
        <w:rPr>
          <w:rFonts w:cstheme="minorHAnsi"/>
          <w:bCs/>
          <w:color w:val="44546A" w:themeColor="text2"/>
          <w:sz w:val="20"/>
          <w:szCs w:val="72"/>
          <w:lang w:val="sr-Cyrl-RS"/>
        </w:rPr>
        <w:t>ња јавним дугом за период 2019</w:t>
      </w:r>
      <w:r w:rsidRPr="00A37BCE">
        <w:rPr>
          <w:rFonts w:cstheme="minorHAnsi"/>
          <w:bCs/>
          <w:color w:val="44546A" w:themeColor="text2"/>
          <w:sz w:val="20"/>
          <w:szCs w:val="72"/>
          <w:lang w:val="sr-Cyrl-RS"/>
        </w:rPr>
        <w:t>–2021. године коришћене су квантитативне анализе трошкова и ризика засноване на различитим сценаријима и пројекцијама.</w:t>
      </w:r>
    </w:p>
    <w:p w14:paraId="115B62AD"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Полази се од основног сценарија који се базира на највише вероватним тржишним условима. Затим, идентификоване су три групе тржишних варијабли: девизни курс, каматне стопе на међународном тржишту и каматне стопе на динаре. Будуће тржишне стопе могу се извести анализом доступних предвиђања паритета куповне снаге или предвиђањем паритета каматних стопа. Претпостављено је кретање курса динара у односу на евро и у односу на амерички долар у складу са макроекономским оквиром у посматраном периоду и задржан је релативно стабилан однос евра и америчког долара, како би се добила чиста слика датог ефекта примењеног шока. У шоковима су тестирани ефекти промена тржишних каматних стопа. Приступ за динарске и евро каматне стопе заснива се на стопама оствареним током 2018. године.</w:t>
      </w:r>
    </w:p>
    <w:p w14:paraId="79E549D5" w14:textId="3B3CF0B2"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 xml:space="preserve">Након дефинисања основног сценарија, у циљу стрес тестирања одабране су додатне врсте </w:t>
      </w:r>
      <w:r w:rsidR="00AC0CDE">
        <w:rPr>
          <w:rFonts w:cstheme="minorHAnsi"/>
          <w:bCs/>
          <w:color w:val="44546A" w:themeColor="text2"/>
          <w:sz w:val="20"/>
          <w:szCs w:val="72"/>
          <w:lang w:val="sr-Cyrl-RS"/>
        </w:rPr>
        <w:t xml:space="preserve">сценарија </w:t>
      </w:r>
      <w:r w:rsidR="00AC0CDE" w:rsidRPr="00AC0CDE">
        <w:rPr>
          <w:rFonts w:cstheme="minorHAnsi"/>
          <w:bCs/>
          <w:color w:val="44546A" w:themeColor="text2"/>
          <w:sz w:val="20"/>
          <w:szCs w:val="72"/>
          <w:lang w:val="sr-Cyrl-RS"/>
        </w:rPr>
        <w:t>–</w:t>
      </w:r>
      <w:r w:rsidR="00AC0CDE">
        <w:rPr>
          <w:rFonts w:cstheme="minorHAnsi"/>
          <w:bCs/>
          <w:color w:val="44546A" w:themeColor="text2"/>
          <w:sz w:val="20"/>
          <w:szCs w:val="72"/>
          <w:lang w:val="sr-Cyrl-RS"/>
        </w:rPr>
        <w:t xml:space="preserve"> шокова.</w:t>
      </w:r>
    </w:p>
    <w:p w14:paraId="6C4E590D" w14:textId="3442AA46"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Депрецијација динара у односу на све валуте од 15% у 2020 години. У овом сценарију однос евра и америчког долара би остао стабилан, док би само динар деп</w:t>
      </w:r>
      <w:r w:rsidR="00D82D2A">
        <w:rPr>
          <w:rFonts w:cstheme="minorHAnsi"/>
          <w:bCs/>
          <w:color w:val="44546A" w:themeColor="text2"/>
          <w:sz w:val="20"/>
          <w:szCs w:val="72"/>
          <w:lang w:val="sr-Cyrl-RS"/>
        </w:rPr>
        <w:t>рецирао у односу на обе валуте.</w:t>
      </w:r>
    </w:p>
    <w:p w14:paraId="14BB3E7D" w14:textId="153E6C5D"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lastRenderedPageBreak/>
        <w:t>Повећање каматних стопа</w:t>
      </w:r>
      <w:r w:rsidR="00195D34" w:rsidRPr="00195D34">
        <w:rPr>
          <w:rFonts w:cstheme="minorHAnsi"/>
          <w:bCs/>
          <w:color w:val="44546A" w:themeColor="text2"/>
          <w:sz w:val="20"/>
          <w:szCs w:val="72"/>
          <w:lang w:val="sr-Cyrl-RS"/>
        </w:rPr>
        <w:t xml:space="preserve"> на</w:t>
      </w:r>
      <w:r w:rsidRPr="00A37BCE">
        <w:rPr>
          <w:rFonts w:cstheme="minorHAnsi"/>
          <w:bCs/>
          <w:color w:val="44546A" w:themeColor="text2"/>
          <w:sz w:val="20"/>
          <w:szCs w:val="72"/>
          <w:lang w:val="sr-Cyrl-RS"/>
        </w:rPr>
        <w:t xml:space="preserve"> домаћем и међународном тржишту за око 2 </w:t>
      </w:r>
      <w:r w:rsidR="004B175D">
        <w:rPr>
          <w:rFonts w:cstheme="minorHAnsi"/>
          <w:bCs/>
          <w:color w:val="44546A" w:themeColor="text2"/>
          <w:sz w:val="20"/>
          <w:szCs w:val="72"/>
          <w:lang w:val="sr-Cyrl-RS"/>
        </w:rPr>
        <w:t>п. п.</w:t>
      </w:r>
    </w:p>
    <w:p w14:paraId="6E58F123" w14:textId="65C0AF4F" w:rsidR="003A4FB0" w:rsidRPr="00A37BCE" w:rsidRDefault="003A4FB0" w:rsidP="003A4FB0">
      <w:pPr>
        <w:jc w:val="both"/>
        <w:rPr>
          <w:rFonts w:cstheme="minorHAnsi"/>
          <w:bCs/>
          <w:color w:val="44546A" w:themeColor="text2"/>
          <w:sz w:val="20"/>
          <w:szCs w:val="72"/>
          <w:lang w:val="sr-Cyrl-RS"/>
        </w:rPr>
      </w:pPr>
      <w:r w:rsidRPr="004B175D">
        <w:rPr>
          <w:rFonts w:cstheme="minorHAnsi"/>
          <w:bCs/>
          <w:color w:val="44546A" w:themeColor="text2"/>
          <w:spacing w:val="-2"/>
          <w:sz w:val="20"/>
          <w:szCs w:val="72"/>
          <w:lang w:val="sr-Cyrl-RS"/>
        </w:rPr>
        <w:t xml:space="preserve">Повећање каматних стопа на међународном тржишту до 3 </w:t>
      </w:r>
      <w:r w:rsidR="004B175D" w:rsidRPr="004B175D">
        <w:rPr>
          <w:rFonts w:cstheme="minorHAnsi"/>
          <w:bCs/>
          <w:color w:val="44546A" w:themeColor="text2"/>
          <w:spacing w:val="-2"/>
          <w:sz w:val="20"/>
          <w:szCs w:val="72"/>
          <w:lang w:val="sr-Cyrl-RS"/>
        </w:rPr>
        <w:t>п. п.</w:t>
      </w:r>
      <w:r w:rsidRPr="004B175D">
        <w:rPr>
          <w:rFonts w:cstheme="minorHAnsi"/>
          <w:bCs/>
          <w:color w:val="44546A" w:themeColor="text2"/>
          <w:spacing w:val="-2"/>
          <w:sz w:val="20"/>
          <w:szCs w:val="72"/>
          <w:lang w:val="sr-Cyrl-RS"/>
        </w:rPr>
        <w:t>, а на домаћем тржишту до 4 п</w:t>
      </w:r>
      <w:r w:rsidR="004B175D" w:rsidRPr="004B175D">
        <w:rPr>
          <w:rFonts w:cstheme="minorHAnsi"/>
          <w:bCs/>
          <w:color w:val="44546A" w:themeColor="text2"/>
          <w:spacing w:val="-2"/>
          <w:sz w:val="20"/>
          <w:szCs w:val="72"/>
          <w:lang w:val="sr-Cyrl-RS"/>
        </w:rPr>
        <w:t xml:space="preserve">. </w:t>
      </w:r>
      <w:r w:rsidRPr="004B175D">
        <w:rPr>
          <w:rFonts w:cstheme="minorHAnsi"/>
          <w:bCs/>
          <w:color w:val="44546A" w:themeColor="text2"/>
          <w:spacing w:val="-2"/>
          <w:sz w:val="20"/>
          <w:szCs w:val="72"/>
          <w:lang w:val="sr-Cyrl-RS"/>
        </w:rPr>
        <w:t>п</w:t>
      </w:r>
      <w:r w:rsidR="00543BEB">
        <w:rPr>
          <w:rFonts w:cstheme="minorHAnsi"/>
          <w:bCs/>
          <w:color w:val="44546A" w:themeColor="text2"/>
          <w:sz w:val="20"/>
          <w:szCs w:val="72"/>
          <w:lang w:val="sr-Cyrl-RS"/>
        </w:rPr>
        <w:t>.</w:t>
      </w:r>
    </w:p>
    <w:p w14:paraId="6527C09A" w14:textId="5086054F"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Комбиновани шок који се односи на депрецијацију динара у односу на долар 15% у 2020. години и раст каматних стопа за око 2 п</w:t>
      </w:r>
      <w:r w:rsidR="004B175D">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t>п.</w:t>
      </w:r>
    </w:p>
    <w:p w14:paraId="4114BB92"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Сваки од горе наведених стрес тестова или сценарија ризика је коришћен за преглед ефеката коштања разматраних стратегија.</w:t>
      </w:r>
    </w:p>
    <w:p w14:paraId="536CB1E5" w14:textId="030EA823" w:rsidR="003A4FB0" w:rsidRPr="00A37BCE" w:rsidRDefault="003A4FB0" w:rsidP="003A4FB0">
      <w:pPr>
        <w:jc w:val="both"/>
        <w:rPr>
          <w:b/>
          <w:color w:val="2F5496" w:themeColor="accent1" w:themeShade="BF"/>
          <w:lang w:val="sr-Cyrl-RS"/>
        </w:rPr>
      </w:pPr>
      <w:r w:rsidRPr="00A37BCE">
        <w:rPr>
          <w:b/>
          <w:color w:val="2F5496" w:themeColor="accent1" w:themeShade="BF"/>
          <w:lang w:val="sr-Cyrl-RS"/>
        </w:rPr>
        <w:t>Алтернативне стратегије задуживања за период 2019</w:t>
      </w:r>
      <w:r w:rsidR="006B7258" w:rsidRPr="00A37BCE">
        <w:rPr>
          <w:b/>
          <w:color w:val="2F5496" w:themeColor="accent1" w:themeShade="BF"/>
          <w:lang w:val="sr-Cyrl-RS"/>
        </w:rPr>
        <w:t>–</w:t>
      </w:r>
      <w:r w:rsidRPr="00A37BCE">
        <w:rPr>
          <w:b/>
          <w:color w:val="2F5496" w:themeColor="accent1" w:themeShade="BF"/>
          <w:lang w:val="sr-Cyrl-RS"/>
        </w:rPr>
        <w:t>2021. године</w:t>
      </w:r>
    </w:p>
    <w:p w14:paraId="0BF18093"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 xml:space="preserve">Оптимални избор између трошкова и ризика, на бази модела Светске банке </w:t>
      </w:r>
      <w:r w:rsidRPr="00FF289A">
        <w:rPr>
          <w:rFonts w:cstheme="minorHAnsi"/>
          <w:bCs/>
          <w:i/>
          <w:color w:val="44546A" w:themeColor="text2"/>
          <w:sz w:val="20"/>
          <w:szCs w:val="72"/>
          <w:lang w:val="sr-Cyrl-RS"/>
        </w:rPr>
        <w:t>Medium Term Debt Strategy Model</w:t>
      </w:r>
      <w:r w:rsidRPr="00A37BCE">
        <w:rPr>
          <w:rFonts w:cstheme="minorHAnsi"/>
          <w:bCs/>
          <w:color w:val="44546A" w:themeColor="text2"/>
          <w:sz w:val="20"/>
          <w:szCs w:val="72"/>
          <w:lang w:val="sr-Cyrl-RS"/>
        </w:rPr>
        <w:t xml:space="preserve"> – MTDS, дефинисао је избор основне стратегије задуживања за наредни средњорочни период. Анализиране алтернативне стратегије задуживања су:</w:t>
      </w:r>
    </w:p>
    <w:p w14:paraId="4ADE4DD6"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Основна стратегија (С1): представља стратегију која покрива потребе за финансирањем емисијама државних хартија од вредности највећим делом из динара на домаћем финансијском тржишту (70%), док је остатак обезбеђен из емисије евра на домаћем финансијском тржишту и из концесионалних кредита.</w:t>
      </w:r>
    </w:p>
    <w:p w14:paraId="4D5CDAB1"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Стратегија (С2): у односу на стратегију С1, целокупне потребе за финансирањем задовољавају се емисијом државних хартија од вредности на домаћем тржишту, у домаћој валути (50%) и страној валути (50%). Ова стратегија у односу на стратегију С1 нема финансирање из концесионалних кредита.</w:t>
      </w:r>
    </w:p>
    <w:p w14:paraId="7E3E8ADE"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Стратегија заснована на емисијама еврообвезница (С3): стратегија С3, у односу на стратегију С1, представља стратегију која целокупно финансирање заснива на емисијама еврообвезница у еврима рочности пет и десет година.</w:t>
      </w:r>
    </w:p>
    <w:p w14:paraId="40626D4B"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Стратегија додатне динаризације (С4): представља стратегију која целокупно финансирање заснива на емисијама динарских хартија од вредности.</w:t>
      </w:r>
    </w:p>
    <w:p w14:paraId="1B07BFD3"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lastRenderedPageBreak/>
        <w:t>Финансирање издатака буџета Републике Србије по свим стратегијама вршиће се углавном путем емисија државних хартија од вредности на међународном и домаћем тржишту капитала.</w:t>
      </w:r>
    </w:p>
    <w:p w14:paraId="1356B282" w14:textId="77777777" w:rsidR="003A4FB0" w:rsidRPr="00A37BCE" w:rsidRDefault="003A4FB0" w:rsidP="003A4FB0">
      <w:pPr>
        <w:jc w:val="both"/>
        <w:rPr>
          <w:b/>
          <w:color w:val="2F5496" w:themeColor="accent1" w:themeShade="BF"/>
          <w:lang w:val="sr-Cyrl-RS"/>
        </w:rPr>
      </w:pPr>
      <w:r w:rsidRPr="00A37BCE">
        <w:rPr>
          <w:b/>
          <w:color w:val="2F5496" w:themeColor="accent1" w:themeShade="BF"/>
          <w:lang w:val="sr-Cyrl-RS"/>
        </w:rPr>
        <w:t>Поређење алтернативних стратегија</w:t>
      </w:r>
    </w:p>
    <w:p w14:paraId="000AE931" w14:textId="3A0D3C99" w:rsidR="003A4FB0"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Квантитативна анализа представља учинке сваке од четири алтернативне стратегије задуживања, где се на вертикалној оси налази учешће дуга у БДП, односно трошка камата у БДП при основном макроекономском оквиру, док се на хоризонталној оси налази потенцијални трошак одређене стратегије задуживања (резултат стрес теста). Примењене су две мере трошкова: однос јавног дуга према БДП и номинална камата као проценат БДП. Први однос је индикатор стања, а други индикатор тока. У циљу поређења, пажња је усмерена на резултате разматраних стратегија на крају 2021. године.</w:t>
      </w:r>
    </w:p>
    <w:p w14:paraId="28DA7EBE" w14:textId="613D0B99" w:rsidR="00B0714F" w:rsidRDefault="00B0714F" w:rsidP="003A4FB0">
      <w:pPr>
        <w:jc w:val="both"/>
        <w:rPr>
          <w:rFonts w:cstheme="minorHAnsi"/>
          <w:bCs/>
          <w:color w:val="44546A" w:themeColor="text2"/>
          <w:sz w:val="20"/>
          <w:szCs w:val="72"/>
          <w:lang w:val="sr-Cyrl-RS"/>
        </w:rPr>
      </w:pPr>
    </w:p>
    <w:p w14:paraId="7DF2DED8" w14:textId="695C04BE" w:rsidR="00B0714F" w:rsidRDefault="00B0714F" w:rsidP="003A4FB0">
      <w:pPr>
        <w:jc w:val="both"/>
        <w:rPr>
          <w:rFonts w:cstheme="minorHAnsi"/>
          <w:bCs/>
          <w:color w:val="44546A" w:themeColor="text2"/>
          <w:sz w:val="20"/>
          <w:szCs w:val="72"/>
          <w:lang w:val="sr-Cyrl-RS"/>
        </w:rPr>
      </w:pPr>
    </w:p>
    <w:p w14:paraId="0A2EEC08" w14:textId="45219DD0" w:rsidR="00B0714F" w:rsidRDefault="00B0714F" w:rsidP="003A4FB0">
      <w:pPr>
        <w:jc w:val="both"/>
        <w:rPr>
          <w:rFonts w:cstheme="minorHAnsi"/>
          <w:bCs/>
          <w:color w:val="44546A" w:themeColor="text2"/>
          <w:sz w:val="20"/>
          <w:szCs w:val="72"/>
          <w:lang w:val="sr-Cyrl-RS"/>
        </w:rPr>
      </w:pPr>
    </w:p>
    <w:p w14:paraId="35B0032A" w14:textId="3C762A7D" w:rsidR="00B0714F" w:rsidRDefault="00B0714F" w:rsidP="003A4FB0">
      <w:pPr>
        <w:jc w:val="both"/>
        <w:rPr>
          <w:rFonts w:cstheme="minorHAnsi"/>
          <w:bCs/>
          <w:color w:val="44546A" w:themeColor="text2"/>
          <w:sz w:val="20"/>
          <w:szCs w:val="72"/>
          <w:lang w:val="sr-Cyrl-RS"/>
        </w:rPr>
      </w:pPr>
    </w:p>
    <w:p w14:paraId="1C48DB26" w14:textId="320BFD33" w:rsidR="00B0714F" w:rsidRDefault="00B0714F" w:rsidP="003A4FB0">
      <w:pPr>
        <w:jc w:val="both"/>
        <w:rPr>
          <w:rFonts w:cstheme="minorHAnsi"/>
          <w:bCs/>
          <w:color w:val="44546A" w:themeColor="text2"/>
          <w:sz w:val="20"/>
          <w:szCs w:val="72"/>
          <w:lang w:val="sr-Cyrl-RS"/>
        </w:rPr>
      </w:pPr>
    </w:p>
    <w:p w14:paraId="10FD5071" w14:textId="6103BA64" w:rsidR="00B0714F" w:rsidRDefault="00B0714F" w:rsidP="003A4FB0">
      <w:pPr>
        <w:jc w:val="both"/>
        <w:rPr>
          <w:rFonts w:cstheme="minorHAnsi"/>
          <w:bCs/>
          <w:color w:val="44546A" w:themeColor="text2"/>
          <w:sz w:val="20"/>
          <w:szCs w:val="72"/>
          <w:lang w:val="sr-Cyrl-RS"/>
        </w:rPr>
      </w:pPr>
    </w:p>
    <w:p w14:paraId="67128922" w14:textId="4D23D264" w:rsidR="00B0714F" w:rsidRDefault="00B0714F" w:rsidP="003A4FB0">
      <w:pPr>
        <w:jc w:val="both"/>
        <w:rPr>
          <w:rFonts w:cstheme="minorHAnsi"/>
          <w:bCs/>
          <w:color w:val="44546A" w:themeColor="text2"/>
          <w:sz w:val="20"/>
          <w:szCs w:val="72"/>
          <w:lang w:val="sr-Cyrl-RS"/>
        </w:rPr>
      </w:pPr>
    </w:p>
    <w:p w14:paraId="724B1586" w14:textId="4585B5A8" w:rsidR="00B0714F" w:rsidRDefault="00B0714F" w:rsidP="003A4FB0">
      <w:pPr>
        <w:jc w:val="both"/>
        <w:rPr>
          <w:rFonts w:cstheme="minorHAnsi"/>
          <w:bCs/>
          <w:color w:val="44546A" w:themeColor="text2"/>
          <w:sz w:val="20"/>
          <w:szCs w:val="72"/>
          <w:lang w:val="sr-Cyrl-RS"/>
        </w:rPr>
      </w:pPr>
    </w:p>
    <w:p w14:paraId="3596D12A" w14:textId="75E2F7A5" w:rsidR="00B0714F" w:rsidRDefault="00B0714F" w:rsidP="003A4FB0">
      <w:pPr>
        <w:jc w:val="both"/>
        <w:rPr>
          <w:rFonts w:cstheme="minorHAnsi"/>
          <w:bCs/>
          <w:color w:val="44546A" w:themeColor="text2"/>
          <w:sz w:val="20"/>
          <w:szCs w:val="72"/>
          <w:lang w:val="sr-Cyrl-RS"/>
        </w:rPr>
      </w:pPr>
    </w:p>
    <w:p w14:paraId="1F436869" w14:textId="7809342C" w:rsidR="00B0714F" w:rsidRDefault="00B0714F" w:rsidP="003A4FB0">
      <w:pPr>
        <w:jc w:val="both"/>
        <w:rPr>
          <w:rFonts w:cstheme="minorHAnsi"/>
          <w:bCs/>
          <w:color w:val="44546A" w:themeColor="text2"/>
          <w:sz w:val="20"/>
          <w:szCs w:val="72"/>
          <w:lang w:val="sr-Cyrl-RS"/>
        </w:rPr>
      </w:pPr>
    </w:p>
    <w:p w14:paraId="14236663" w14:textId="2D1B94BF" w:rsidR="00B0714F" w:rsidRDefault="00B0714F" w:rsidP="003A4FB0">
      <w:pPr>
        <w:jc w:val="both"/>
        <w:rPr>
          <w:rFonts w:cstheme="minorHAnsi"/>
          <w:bCs/>
          <w:color w:val="44546A" w:themeColor="text2"/>
          <w:sz w:val="20"/>
          <w:szCs w:val="72"/>
          <w:lang w:val="sr-Cyrl-RS"/>
        </w:rPr>
      </w:pPr>
    </w:p>
    <w:p w14:paraId="16262062" w14:textId="4FB4FD88" w:rsidR="00B0714F" w:rsidRDefault="00B0714F" w:rsidP="003A4FB0">
      <w:pPr>
        <w:jc w:val="both"/>
        <w:rPr>
          <w:rFonts w:cstheme="minorHAnsi"/>
          <w:bCs/>
          <w:color w:val="44546A" w:themeColor="text2"/>
          <w:sz w:val="20"/>
          <w:szCs w:val="72"/>
          <w:lang w:val="sr-Cyrl-RS"/>
        </w:rPr>
      </w:pPr>
    </w:p>
    <w:p w14:paraId="6D6F3181" w14:textId="5DCB1FAB" w:rsidR="00B0714F" w:rsidRDefault="00B0714F" w:rsidP="003A4FB0">
      <w:pPr>
        <w:jc w:val="both"/>
        <w:rPr>
          <w:rFonts w:cstheme="minorHAnsi"/>
          <w:bCs/>
          <w:color w:val="44546A" w:themeColor="text2"/>
          <w:sz w:val="20"/>
          <w:szCs w:val="72"/>
          <w:lang w:val="sr-Cyrl-RS"/>
        </w:rPr>
      </w:pPr>
    </w:p>
    <w:p w14:paraId="548ABC0F" w14:textId="695D7C97" w:rsidR="00B0714F" w:rsidRDefault="00B0714F" w:rsidP="003A4FB0">
      <w:pPr>
        <w:jc w:val="both"/>
        <w:rPr>
          <w:rFonts w:cstheme="minorHAnsi"/>
          <w:bCs/>
          <w:color w:val="44546A" w:themeColor="text2"/>
          <w:sz w:val="20"/>
          <w:szCs w:val="72"/>
          <w:lang w:val="sr-Cyrl-RS"/>
        </w:rPr>
      </w:pPr>
    </w:p>
    <w:p w14:paraId="42819156" w14:textId="7FB159F8" w:rsidR="00B0714F" w:rsidRDefault="00B0714F" w:rsidP="003A4FB0">
      <w:pPr>
        <w:jc w:val="both"/>
        <w:rPr>
          <w:rFonts w:cstheme="minorHAnsi"/>
          <w:bCs/>
          <w:color w:val="44546A" w:themeColor="text2"/>
          <w:sz w:val="20"/>
          <w:szCs w:val="72"/>
          <w:lang w:val="sr-Cyrl-RS"/>
        </w:rPr>
      </w:pPr>
    </w:p>
    <w:p w14:paraId="51D5751B" w14:textId="04FA69F3" w:rsidR="00B0714F" w:rsidRDefault="00B0714F" w:rsidP="003A4FB0">
      <w:pPr>
        <w:jc w:val="both"/>
        <w:rPr>
          <w:rFonts w:cstheme="minorHAnsi"/>
          <w:bCs/>
          <w:color w:val="44546A" w:themeColor="text2"/>
          <w:sz w:val="20"/>
          <w:szCs w:val="72"/>
          <w:lang w:val="sr-Cyrl-RS"/>
        </w:rPr>
      </w:pPr>
    </w:p>
    <w:p w14:paraId="15BF3A4A" w14:textId="642BE666" w:rsidR="00B0714F" w:rsidRDefault="00B0714F" w:rsidP="003A4FB0">
      <w:pPr>
        <w:jc w:val="both"/>
        <w:rPr>
          <w:rFonts w:cstheme="minorHAnsi"/>
          <w:bCs/>
          <w:color w:val="44546A" w:themeColor="text2"/>
          <w:sz w:val="20"/>
          <w:szCs w:val="72"/>
          <w:lang w:val="sr-Cyrl-RS"/>
        </w:rPr>
      </w:pPr>
    </w:p>
    <w:p w14:paraId="0332B5C5" w14:textId="4B73EA75" w:rsidR="00B0714F" w:rsidRDefault="00B0714F" w:rsidP="003A4FB0">
      <w:pPr>
        <w:jc w:val="both"/>
        <w:rPr>
          <w:rFonts w:cstheme="minorHAnsi"/>
          <w:bCs/>
          <w:color w:val="44546A" w:themeColor="text2"/>
          <w:sz w:val="20"/>
          <w:szCs w:val="72"/>
          <w:lang w:val="sr-Cyrl-RS"/>
        </w:rPr>
      </w:pPr>
    </w:p>
    <w:p w14:paraId="38F66492" w14:textId="77777777" w:rsidR="00B0714F" w:rsidRPr="00A37BCE" w:rsidRDefault="00B0714F" w:rsidP="003A4FB0">
      <w:pPr>
        <w:jc w:val="both"/>
        <w:rPr>
          <w:rFonts w:cstheme="minorHAnsi"/>
          <w:bCs/>
          <w:color w:val="44546A" w:themeColor="text2"/>
          <w:sz w:val="20"/>
          <w:szCs w:val="72"/>
          <w:lang w:val="sr-Cyrl-RS"/>
        </w:rPr>
      </w:pPr>
    </w:p>
    <w:p w14:paraId="57249626" w14:textId="0F2E77B4" w:rsidR="003A4FB0" w:rsidRPr="00A37BCE" w:rsidRDefault="003A4FB0" w:rsidP="003A4FB0">
      <w:pPr>
        <w:rPr>
          <w:b/>
          <w:color w:val="002060"/>
          <w:sz w:val="20"/>
          <w:lang w:val="sr-Cyrl-RS"/>
        </w:rPr>
      </w:pPr>
      <w:r w:rsidRPr="00A37BCE">
        <w:rPr>
          <w:b/>
          <w:color w:val="002060"/>
          <w:sz w:val="20"/>
          <w:lang w:val="sr-Cyrl-RS"/>
        </w:rPr>
        <w:t>Однос дуга и БДП на крају 2021. године</w:t>
      </w:r>
    </w:p>
    <w:p w14:paraId="31A1115D" w14:textId="77777777" w:rsidR="003A4FB0" w:rsidRPr="00A37BCE" w:rsidRDefault="003A4FB0" w:rsidP="003A4FB0">
      <w:pPr>
        <w:jc w:val="center"/>
        <w:rPr>
          <w:b/>
          <w:color w:val="002060"/>
          <w:sz w:val="20"/>
          <w:highlight w:val="yellow"/>
          <w:lang w:val="sr-Cyrl-RS"/>
        </w:rPr>
      </w:pPr>
      <w:r w:rsidRPr="00A37BCE">
        <w:rPr>
          <w:b/>
          <w:noProof/>
          <w:color w:val="002060"/>
          <w:sz w:val="20"/>
        </w:rPr>
        <w:drawing>
          <wp:inline distT="0" distB="0" distL="0" distR="0" wp14:anchorId="2FD81CEB" wp14:editId="10DA28AF">
            <wp:extent cx="2743200" cy="2562860"/>
            <wp:effectExtent l="0" t="0" r="0" b="889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Rizik 1-01.png"/>
                    <pic:cNvPicPr/>
                  </pic:nvPicPr>
                  <pic:blipFill>
                    <a:blip r:embed="rId85" cstate="print">
                      <a:extLst>
                        <a:ext uri="{28A0092B-C50C-407E-A947-70E740481C1C}">
                          <a14:useLocalDpi xmlns:a14="http://schemas.microsoft.com/office/drawing/2010/main" val="0"/>
                        </a:ext>
                      </a:extLst>
                    </a:blip>
                    <a:stretch>
                      <a:fillRect/>
                    </a:stretch>
                  </pic:blipFill>
                  <pic:spPr>
                    <a:xfrm>
                      <a:off x="0" y="0"/>
                      <a:ext cx="2743200" cy="2562860"/>
                    </a:xfrm>
                    <a:prstGeom prst="rect">
                      <a:avLst/>
                    </a:prstGeom>
                  </pic:spPr>
                </pic:pic>
              </a:graphicData>
            </a:graphic>
          </wp:inline>
        </w:drawing>
      </w:r>
    </w:p>
    <w:p w14:paraId="0B23E34C" w14:textId="5B4C03EF" w:rsidR="003A4FB0" w:rsidRPr="00A37BCE" w:rsidRDefault="003A4FB0" w:rsidP="00B0714F">
      <w:pPr>
        <w:rPr>
          <w:b/>
          <w:color w:val="002060"/>
          <w:sz w:val="20"/>
          <w:lang w:val="sr-Cyrl-RS"/>
        </w:rPr>
      </w:pPr>
      <w:r w:rsidRPr="00A37BCE">
        <w:rPr>
          <w:b/>
          <w:color w:val="002060"/>
          <w:sz w:val="20"/>
          <w:lang w:val="sr-Cyrl-RS"/>
        </w:rPr>
        <w:t>Однос камата и БДП на крају 2021. године</w:t>
      </w:r>
    </w:p>
    <w:p w14:paraId="7AD38B29" w14:textId="77777777" w:rsidR="003A4FB0" w:rsidRPr="00A37BCE" w:rsidRDefault="003A4FB0" w:rsidP="003A4FB0">
      <w:pPr>
        <w:jc w:val="center"/>
        <w:rPr>
          <w:b/>
          <w:color w:val="002060"/>
          <w:sz w:val="20"/>
          <w:highlight w:val="yellow"/>
          <w:lang w:val="sr-Cyrl-RS"/>
        </w:rPr>
      </w:pPr>
      <w:r w:rsidRPr="00A37BCE">
        <w:rPr>
          <w:b/>
          <w:noProof/>
          <w:color w:val="002060"/>
          <w:sz w:val="20"/>
        </w:rPr>
        <w:drawing>
          <wp:inline distT="0" distB="0" distL="0" distR="0" wp14:anchorId="1C5775BA" wp14:editId="624C243B">
            <wp:extent cx="2743200" cy="213487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Rizik 2-01.png"/>
                    <pic:cNvPicPr/>
                  </pic:nvPicPr>
                  <pic:blipFill>
                    <a:blip r:embed="rId86" cstate="print">
                      <a:extLst>
                        <a:ext uri="{28A0092B-C50C-407E-A947-70E740481C1C}">
                          <a14:useLocalDpi xmlns:a14="http://schemas.microsoft.com/office/drawing/2010/main" val="0"/>
                        </a:ext>
                      </a:extLst>
                    </a:blip>
                    <a:stretch>
                      <a:fillRect/>
                    </a:stretch>
                  </pic:blipFill>
                  <pic:spPr>
                    <a:xfrm>
                      <a:off x="0" y="0"/>
                      <a:ext cx="2743200" cy="2134870"/>
                    </a:xfrm>
                    <a:prstGeom prst="rect">
                      <a:avLst/>
                    </a:prstGeom>
                  </pic:spPr>
                </pic:pic>
              </a:graphicData>
            </a:graphic>
          </wp:inline>
        </w:drawing>
      </w:r>
    </w:p>
    <w:p w14:paraId="208E98B6" w14:textId="6C55E619"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lastRenderedPageBreak/>
        <w:t>На основу графикона јасно се уочавају трошкови које свака од разматраних стратегија носи са собом – стратегија С3 има релативно највећу изложеност ризику девизног курса. Стратегија С4 има највећу изложеност могућим осцилацијама динарских каматних стопа, јер се целокупно додатно финансирање обезбеђује емисијама динарских хартија од вредности. Са друге стране, стратегије С3, С2 и С1 при основном макроекономском оквиру имају нижи рацио учешћа дуга у БДП на крају 2021 године. Код стратегије С3 присутан је најмањи ризик код каматних стопа у односу на све четири посматране стратегије услед</w:t>
      </w:r>
      <w:r w:rsidR="00543BEB">
        <w:rPr>
          <w:rFonts w:cstheme="minorHAnsi"/>
          <w:bCs/>
          <w:color w:val="44546A" w:themeColor="text2"/>
          <w:sz w:val="20"/>
          <w:szCs w:val="72"/>
          <w:lang w:val="sr-Cyrl-RS"/>
        </w:rPr>
        <w:t xml:space="preserve"> ниског фиксног трошка еврообве</w:t>
      </w:r>
      <w:r w:rsidRPr="00A37BCE">
        <w:rPr>
          <w:rFonts w:cstheme="minorHAnsi"/>
          <w:bCs/>
          <w:color w:val="44546A" w:themeColor="text2"/>
          <w:sz w:val="20"/>
          <w:szCs w:val="72"/>
          <w:lang w:val="sr-Cyrl-RS"/>
        </w:rPr>
        <w:t>з</w:t>
      </w:r>
      <w:r w:rsidR="000312CC">
        <w:rPr>
          <w:rFonts w:cstheme="minorHAnsi"/>
          <w:bCs/>
          <w:color w:val="44546A" w:themeColor="text2"/>
          <w:sz w:val="20"/>
          <w:szCs w:val="72"/>
          <w:lang w:val="sr-Cyrl-RS"/>
        </w:rPr>
        <w:t>н</w:t>
      </w:r>
      <w:r w:rsidRPr="00A37BCE">
        <w:rPr>
          <w:rFonts w:cstheme="minorHAnsi"/>
          <w:bCs/>
          <w:color w:val="44546A" w:themeColor="text2"/>
          <w:sz w:val="20"/>
          <w:szCs w:val="72"/>
          <w:lang w:val="sr-Cyrl-RS"/>
        </w:rPr>
        <w:t>ица у еврима, али се показује као релативно доста ризична у погледу рација дуг-БДП. Стратегија С4 се показује као релативно скупља, али најмање ризична са аспекта девизног ризика, с обзиром на то да се по овој стратегији финансирање буџета врши емитовањем динарских хартија од вредности.</w:t>
      </w:r>
    </w:p>
    <w:p w14:paraId="1985387D" w14:textId="77777777" w:rsidR="003A4FB0" w:rsidRPr="00A37BCE" w:rsidRDefault="003A4FB0" w:rsidP="003A4FB0">
      <w:pPr>
        <w:jc w:val="both"/>
        <w:rPr>
          <w:rFonts w:cstheme="minorHAnsi"/>
          <w:bCs/>
          <w:color w:val="44546A" w:themeColor="text2"/>
          <w:sz w:val="20"/>
          <w:szCs w:val="72"/>
          <w:lang w:val="sr-Cyrl-RS"/>
        </w:rPr>
        <w:sectPr w:rsidR="003A4FB0" w:rsidRPr="00A37BCE" w:rsidSect="004E661B">
          <w:type w:val="continuous"/>
          <w:pgSz w:w="12240" w:h="15840"/>
          <w:pgMar w:top="1440" w:right="1440" w:bottom="1440" w:left="1440" w:header="720" w:footer="720" w:gutter="0"/>
          <w:cols w:num="2" w:space="720"/>
          <w:docGrid w:linePitch="360"/>
        </w:sectPr>
      </w:pPr>
      <w:r w:rsidRPr="00A37BCE">
        <w:rPr>
          <w:rFonts w:cstheme="minorHAnsi"/>
          <w:bCs/>
          <w:color w:val="44546A" w:themeColor="text2"/>
          <w:sz w:val="20"/>
          <w:szCs w:val="72"/>
          <w:lang w:val="sr-Cyrl-RS"/>
        </w:rPr>
        <w:t>Приликом анализе односа јавног дуга и БДП оцењено је да стратегија С3 иако при основном сценарију има најнижи рацио дуг и БДП, представља најризичнији избор због ризика који произилази из промене девизног курса. Стратегија С4 има највише трошкове камата услед већег учешћа динарских хартија од вредности, као и ризик проузрокован могућим растом домаћих каматних стопа. На основу ових анализа евидентно је да ће се у наредном средњорочном периоду основне операције задуживања заснивати на стратегијама С1 и С2.</w:t>
      </w:r>
    </w:p>
    <w:p w14:paraId="26D4D9FF" w14:textId="1453F7A5" w:rsidR="003A4FB0" w:rsidRPr="00A37BCE" w:rsidRDefault="003A4FB0" w:rsidP="003A4FB0">
      <w:pPr>
        <w:jc w:val="center"/>
        <w:rPr>
          <w:b/>
          <w:color w:val="002060"/>
          <w:sz w:val="20"/>
          <w:lang w:val="sr-Cyrl-RS"/>
        </w:rPr>
      </w:pPr>
      <w:r w:rsidRPr="00A37BCE">
        <w:rPr>
          <w:b/>
          <w:color w:val="002060"/>
          <w:sz w:val="20"/>
          <w:lang w:val="sr-Cyrl-RS"/>
        </w:rPr>
        <w:lastRenderedPageBreak/>
        <w:t>Табела</w:t>
      </w:r>
      <w:r w:rsidR="005B01D9" w:rsidRPr="00A37BCE">
        <w:rPr>
          <w:b/>
          <w:color w:val="002060"/>
          <w:sz w:val="20"/>
          <w:lang w:val="sr-Cyrl-RS"/>
        </w:rPr>
        <w:t xml:space="preserve"> 28</w:t>
      </w:r>
      <w:r w:rsidR="006B7258" w:rsidRPr="00A37BCE">
        <w:rPr>
          <w:b/>
          <w:color w:val="002060"/>
          <w:sz w:val="20"/>
          <w:lang w:val="sr-Cyrl-RS"/>
        </w:rPr>
        <w:t>.</w:t>
      </w:r>
      <w:r w:rsidRPr="00A37BCE">
        <w:rPr>
          <w:b/>
          <w:color w:val="002060"/>
          <w:sz w:val="20"/>
          <w:lang w:val="sr-Cyrl-RS"/>
        </w:rPr>
        <w:t xml:space="preserve"> Однос јавног дуга и БДП на крају 2021. године</w:t>
      </w:r>
    </w:p>
    <w:tbl>
      <w:tblPr>
        <w:tblStyle w:val="LightShading-Accent12"/>
        <w:tblW w:w="5000" w:type="pct"/>
        <w:tblLook w:val="04A0" w:firstRow="1" w:lastRow="0" w:firstColumn="1" w:lastColumn="0" w:noHBand="0" w:noVBand="1"/>
      </w:tblPr>
      <w:tblGrid>
        <w:gridCol w:w="5032"/>
        <w:gridCol w:w="1082"/>
        <w:gridCol w:w="1082"/>
        <w:gridCol w:w="1082"/>
        <w:gridCol w:w="1082"/>
      </w:tblGrid>
      <w:tr w:rsidR="003A4FB0" w:rsidRPr="00A37BCE" w14:paraId="29CD4BCD" w14:textId="77777777" w:rsidTr="000F58B5">
        <w:trPr>
          <w:cnfStyle w:val="100000000000" w:firstRow="1" w:lastRow="0" w:firstColumn="0" w:lastColumn="0" w:oddVBand="0" w:evenVBand="0" w:oddHBand="0"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2688" w:type="pct"/>
            <w:vMerge w:val="restart"/>
            <w:tcBorders>
              <w:top w:val="single" w:sz="4" w:space="0" w:color="002060"/>
            </w:tcBorders>
            <w:shd w:val="clear" w:color="auto" w:fill="auto"/>
            <w:noWrap/>
            <w:hideMark/>
          </w:tcPr>
          <w:p w14:paraId="4EBBC328" w14:textId="77777777" w:rsidR="003A4FB0" w:rsidRPr="00A37BCE" w:rsidRDefault="003A4FB0" w:rsidP="004E661B">
            <w:pPr>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Сценарији</w:t>
            </w:r>
          </w:p>
        </w:tc>
        <w:tc>
          <w:tcPr>
            <w:tcW w:w="578" w:type="pct"/>
            <w:tcBorders>
              <w:top w:val="single" w:sz="4" w:space="0" w:color="002060"/>
              <w:bottom w:val="single" w:sz="4" w:space="0" w:color="002060"/>
            </w:tcBorders>
            <w:shd w:val="clear" w:color="auto" w:fill="auto"/>
            <w:noWrap/>
            <w:hideMark/>
          </w:tcPr>
          <w:p w14:paraId="143AC63A" w14:textId="77777777" w:rsidR="003A4FB0" w:rsidRPr="000F58B5" w:rsidRDefault="003A4FB0" w:rsidP="004E661B">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0F58B5">
              <w:rPr>
                <w:rFonts w:asciiTheme="minorHAnsi" w:hAnsiTheme="minorHAnsi" w:cstheme="minorHAnsi"/>
                <w:b w:val="0"/>
                <w:color w:val="002060"/>
                <w:sz w:val="18"/>
                <w:szCs w:val="18"/>
                <w:lang w:val="sr-Cyrl-RS"/>
              </w:rPr>
              <w:t>C1</w:t>
            </w:r>
          </w:p>
        </w:tc>
        <w:tc>
          <w:tcPr>
            <w:tcW w:w="578" w:type="pct"/>
            <w:tcBorders>
              <w:top w:val="single" w:sz="4" w:space="0" w:color="002060"/>
              <w:bottom w:val="single" w:sz="4" w:space="0" w:color="002060"/>
            </w:tcBorders>
            <w:shd w:val="clear" w:color="auto" w:fill="auto"/>
            <w:noWrap/>
            <w:hideMark/>
          </w:tcPr>
          <w:p w14:paraId="2DD359BE" w14:textId="77777777" w:rsidR="003A4FB0" w:rsidRPr="000F58B5" w:rsidRDefault="003A4FB0" w:rsidP="004E661B">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0F58B5">
              <w:rPr>
                <w:rFonts w:asciiTheme="minorHAnsi" w:hAnsiTheme="minorHAnsi" w:cstheme="minorHAnsi"/>
                <w:b w:val="0"/>
                <w:color w:val="002060"/>
                <w:sz w:val="18"/>
                <w:szCs w:val="18"/>
                <w:lang w:val="sr-Cyrl-RS"/>
              </w:rPr>
              <w:t>C2</w:t>
            </w:r>
          </w:p>
        </w:tc>
        <w:tc>
          <w:tcPr>
            <w:tcW w:w="578" w:type="pct"/>
            <w:tcBorders>
              <w:top w:val="single" w:sz="4" w:space="0" w:color="002060"/>
              <w:bottom w:val="single" w:sz="4" w:space="0" w:color="002060"/>
            </w:tcBorders>
            <w:shd w:val="clear" w:color="auto" w:fill="auto"/>
            <w:noWrap/>
            <w:hideMark/>
          </w:tcPr>
          <w:p w14:paraId="20268A1E" w14:textId="77777777" w:rsidR="003A4FB0" w:rsidRPr="000F58B5" w:rsidRDefault="003A4FB0" w:rsidP="004E661B">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0F58B5">
              <w:rPr>
                <w:rFonts w:asciiTheme="minorHAnsi" w:hAnsiTheme="minorHAnsi" w:cstheme="minorHAnsi"/>
                <w:b w:val="0"/>
                <w:color w:val="002060"/>
                <w:sz w:val="18"/>
                <w:szCs w:val="18"/>
                <w:lang w:val="sr-Cyrl-RS"/>
              </w:rPr>
              <w:t>C3</w:t>
            </w:r>
          </w:p>
        </w:tc>
        <w:tc>
          <w:tcPr>
            <w:tcW w:w="578" w:type="pct"/>
            <w:tcBorders>
              <w:top w:val="single" w:sz="4" w:space="0" w:color="002060"/>
              <w:bottom w:val="single" w:sz="4" w:space="0" w:color="002060"/>
            </w:tcBorders>
            <w:shd w:val="clear" w:color="auto" w:fill="auto"/>
            <w:noWrap/>
            <w:hideMark/>
          </w:tcPr>
          <w:p w14:paraId="018D6E4E" w14:textId="77777777" w:rsidR="003A4FB0" w:rsidRPr="000F58B5" w:rsidRDefault="003A4FB0" w:rsidP="004E661B">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0F58B5">
              <w:rPr>
                <w:rFonts w:asciiTheme="minorHAnsi" w:hAnsiTheme="minorHAnsi" w:cstheme="minorHAnsi"/>
                <w:b w:val="0"/>
                <w:color w:val="002060"/>
                <w:sz w:val="18"/>
                <w:szCs w:val="18"/>
                <w:lang w:val="sr-Cyrl-RS"/>
              </w:rPr>
              <w:t>C4</w:t>
            </w:r>
          </w:p>
        </w:tc>
      </w:tr>
      <w:tr w:rsidR="003A4FB0" w:rsidRPr="00A37BCE" w14:paraId="528F4B95" w14:textId="77777777" w:rsidTr="000F58B5">
        <w:trPr>
          <w:cnfStyle w:val="000000100000" w:firstRow="0" w:lastRow="0" w:firstColumn="0" w:lastColumn="0" w:oddVBand="0" w:evenVBand="0" w:oddHBand="1" w:evenHBand="0" w:firstRowFirstColumn="0" w:firstRowLastColumn="0" w:lastRowFirstColumn="0" w:lastRowLastColumn="0"/>
          <w:trHeight w:val="15"/>
        </w:trPr>
        <w:tc>
          <w:tcPr>
            <w:cnfStyle w:val="001000000000" w:firstRow="0" w:lastRow="0" w:firstColumn="1" w:lastColumn="0" w:oddVBand="0" w:evenVBand="0" w:oddHBand="0" w:evenHBand="0" w:firstRowFirstColumn="0" w:firstRowLastColumn="0" w:lastRowFirstColumn="0" w:lastRowLastColumn="0"/>
            <w:tcW w:w="2688" w:type="pct"/>
            <w:vMerge/>
            <w:shd w:val="clear" w:color="auto" w:fill="auto"/>
            <w:noWrap/>
          </w:tcPr>
          <w:p w14:paraId="43E1CA6B" w14:textId="77777777" w:rsidR="003A4FB0" w:rsidRPr="00A37BCE" w:rsidRDefault="003A4FB0" w:rsidP="004E661B">
            <w:pPr>
              <w:rPr>
                <w:rFonts w:cstheme="minorHAnsi"/>
                <w:b w:val="0"/>
                <w:color w:val="002060"/>
                <w:sz w:val="18"/>
                <w:szCs w:val="18"/>
                <w:lang w:val="sr-Cyrl-RS"/>
              </w:rPr>
            </w:pPr>
          </w:p>
        </w:tc>
        <w:tc>
          <w:tcPr>
            <w:tcW w:w="578" w:type="pct"/>
            <w:tcBorders>
              <w:top w:val="single" w:sz="4" w:space="0" w:color="002060"/>
            </w:tcBorders>
            <w:shd w:val="clear" w:color="auto" w:fill="auto"/>
            <w:noWrap/>
          </w:tcPr>
          <w:p w14:paraId="481F5322" w14:textId="77777777" w:rsidR="003A4FB0" w:rsidRPr="00A37BCE" w:rsidRDefault="003A4FB0" w:rsidP="004E661B">
            <w:pPr>
              <w:jc w:val="center"/>
              <w:cnfStyle w:val="000000100000" w:firstRow="0" w:lastRow="0" w:firstColumn="0" w:lastColumn="0" w:oddVBand="0" w:evenVBand="0" w:oddHBand="1" w:evenHBand="0" w:firstRowFirstColumn="0" w:firstRowLastColumn="0" w:lastRowFirstColumn="0" w:lastRowLastColumn="0"/>
              <w:rPr>
                <w:rFonts w:cstheme="minorHAnsi"/>
                <w:color w:val="002060"/>
                <w:sz w:val="18"/>
                <w:szCs w:val="18"/>
                <w:lang w:val="sr-Cyrl-RS"/>
              </w:rPr>
            </w:pPr>
          </w:p>
        </w:tc>
        <w:tc>
          <w:tcPr>
            <w:tcW w:w="578" w:type="pct"/>
            <w:tcBorders>
              <w:top w:val="single" w:sz="4" w:space="0" w:color="002060"/>
            </w:tcBorders>
            <w:shd w:val="clear" w:color="auto" w:fill="auto"/>
            <w:noWrap/>
          </w:tcPr>
          <w:p w14:paraId="74C522DA" w14:textId="77777777" w:rsidR="003A4FB0" w:rsidRPr="00A37BCE" w:rsidRDefault="003A4FB0" w:rsidP="004E661B">
            <w:pPr>
              <w:jc w:val="center"/>
              <w:cnfStyle w:val="000000100000" w:firstRow="0" w:lastRow="0" w:firstColumn="0" w:lastColumn="0" w:oddVBand="0" w:evenVBand="0" w:oddHBand="1" w:evenHBand="0" w:firstRowFirstColumn="0" w:firstRowLastColumn="0" w:lastRowFirstColumn="0" w:lastRowLastColumn="0"/>
              <w:rPr>
                <w:rFonts w:cstheme="minorHAnsi"/>
                <w:color w:val="002060"/>
                <w:sz w:val="18"/>
                <w:szCs w:val="18"/>
                <w:lang w:val="sr-Cyrl-RS"/>
              </w:rPr>
            </w:pPr>
          </w:p>
        </w:tc>
        <w:tc>
          <w:tcPr>
            <w:tcW w:w="578" w:type="pct"/>
            <w:tcBorders>
              <w:top w:val="single" w:sz="4" w:space="0" w:color="002060"/>
            </w:tcBorders>
            <w:shd w:val="clear" w:color="auto" w:fill="auto"/>
            <w:noWrap/>
          </w:tcPr>
          <w:p w14:paraId="49D70DCA" w14:textId="77777777" w:rsidR="003A4FB0" w:rsidRPr="00A37BCE" w:rsidRDefault="003A4FB0" w:rsidP="004E661B">
            <w:pPr>
              <w:jc w:val="center"/>
              <w:cnfStyle w:val="000000100000" w:firstRow="0" w:lastRow="0" w:firstColumn="0" w:lastColumn="0" w:oddVBand="0" w:evenVBand="0" w:oddHBand="1" w:evenHBand="0" w:firstRowFirstColumn="0" w:firstRowLastColumn="0" w:lastRowFirstColumn="0" w:lastRowLastColumn="0"/>
              <w:rPr>
                <w:rFonts w:cstheme="minorHAnsi"/>
                <w:color w:val="002060"/>
                <w:sz w:val="18"/>
                <w:szCs w:val="18"/>
                <w:lang w:val="sr-Cyrl-RS"/>
              </w:rPr>
            </w:pPr>
          </w:p>
        </w:tc>
        <w:tc>
          <w:tcPr>
            <w:tcW w:w="578" w:type="pct"/>
            <w:tcBorders>
              <w:top w:val="single" w:sz="4" w:space="0" w:color="002060"/>
            </w:tcBorders>
            <w:shd w:val="clear" w:color="auto" w:fill="auto"/>
            <w:noWrap/>
          </w:tcPr>
          <w:p w14:paraId="5A38DD51" w14:textId="77777777" w:rsidR="003A4FB0" w:rsidRPr="00A37BCE" w:rsidRDefault="003A4FB0" w:rsidP="004E661B">
            <w:pPr>
              <w:jc w:val="center"/>
              <w:cnfStyle w:val="000000100000" w:firstRow="0" w:lastRow="0" w:firstColumn="0" w:lastColumn="0" w:oddVBand="0" w:evenVBand="0" w:oddHBand="1" w:evenHBand="0" w:firstRowFirstColumn="0" w:firstRowLastColumn="0" w:lastRowFirstColumn="0" w:lastRowLastColumn="0"/>
              <w:rPr>
                <w:rFonts w:cstheme="minorHAnsi"/>
                <w:color w:val="002060"/>
                <w:sz w:val="18"/>
                <w:szCs w:val="18"/>
                <w:lang w:val="sr-Cyrl-RS"/>
              </w:rPr>
            </w:pPr>
          </w:p>
        </w:tc>
      </w:tr>
      <w:tr w:rsidR="003A4FB0" w:rsidRPr="00A37BCE" w14:paraId="78FD6FD9" w14:textId="77777777" w:rsidTr="004E661B">
        <w:trPr>
          <w:trHeight w:val="253"/>
        </w:trPr>
        <w:tc>
          <w:tcPr>
            <w:cnfStyle w:val="001000000000" w:firstRow="0" w:lastRow="0" w:firstColumn="1" w:lastColumn="0" w:oddVBand="0" w:evenVBand="0" w:oddHBand="0" w:evenHBand="0" w:firstRowFirstColumn="0" w:firstRowLastColumn="0" w:lastRowFirstColumn="0" w:lastRowLastColumn="0"/>
            <w:tcW w:w="2688" w:type="pct"/>
            <w:shd w:val="clear" w:color="auto" w:fill="auto"/>
            <w:noWrap/>
            <w:hideMark/>
          </w:tcPr>
          <w:p w14:paraId="5E538731"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 xml:space="preserve"> Основни сценарио</w:t>
            </w:r>
          </w:p>
        </w:tc>
        <w:tc>
          <w:tcPr>
            <w:tcW w:w="578" w:type="pct"/>
            <w:shd w:val="clear" w:color="auto" w:fill="auto"/>
            <w:noWrap/>
            <w:hideMark/>
          </w:tcPr>
          <w:p w14:paraId="45764A80"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44,5</w:t>
            </w:r>
          </w:p>
        </w:tc>
        <w:tc>
          <w:tcPr>
            <w:tcW w:w="578" w:type="pct"/>
            <w:shd w:val="clear" w:color="auto" w:fill="auto"/>
            <w:noWrap/>
            <w:hideMark/>
          </w:tcPr>
          <w:p w14:paraId="6614F953"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44,5</w:t>
            </w:r>
          </w:p>
        </w:tc>
        <w:tc>
          <w:tcPr>
            <w:tcW w:w="578" w:type="pct"/>
            <w:shd w:val="clear" w:color="auto" w:fill="auto"/>
            <w:noWrap/>
            <w:hideMark/>
          </w:tcPr>
          <w:p w14:paraId="4DADC369"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44,2</w:t>
            </w:r>
          </w:p>
        </w:tc>
        <w:tc>
          <w:tcPr>
            <w:tcW w:w="578" w:type="pct"/>
            <w:shd w:val="clear" w:color="auto" w:fill="auto"/>
            <w:noWrap/>
            <w:hideMark/>
          </w:tcPr>
          <w:p w14:paraId="1E2E8051"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44,7</w:t>
            </w:r>
          </w:p>
        </w:tc>
      </w:tr>
      <w:tr w:rsidR="003A4FB0" w:rsidRPr="00A37BCE" w14:paraId="2DCDFF9C" w14:textId="77777777" w:rsidTr="004E661B">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shd w:val="clear" w:color="auto" w:fill="auto"/>
            <w:noWrap/>
            <w:hideMark/>
          </w:tcPr>
          <w:p w14:paraId="2DB8E287"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 xml:space="preserve"> Шок девизног курса (15% све валуте) </w:t>
            </w:r>
          </w:p>
        </w:tc>
        <w:tc>
          <w:tcPr>
            <w:tcW w:w="578" w:type="pct"/>
            <w:shd w:val="clear" w:color="auto" w:fill="auto"/>
            <w:noWrap/>
            <w:hideMark/>
          </w:tcPr>
          <w:p w14:paraId="28D710EA"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49,3</w:t>
            </w:r>
          </w:p>
        </w:tc>
        <w:tc>
          <w:tcPr>
            <w:tcW w:w="578" w:type="pct"/>
            <w:shd w:val="clear" w:color="auto" w:fill="auto"/>
            <w:noWrap/>
            <w:hideMark/>
          </w:tcPr>
          <w:p w14:paraId="5DB09981"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49,5</w:t>
            </w:r>
          </w:p>
        </w:tc>
        <w:tc>
          <w:tcPr>
            <w:tcW w:w="578" w:type="pct"/>
            <w:shd w:val="clear" w:color="auto" w:fill="auto"/>
            <w:noWrap/>
            <w:hideMark/>
          </w:tcPr>
          <w:p w14:paraId="5AFDC20D"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49,8</w:t>
            </w:r>
          </w:p>
        </w:tc>
        <w:tc>
          <w:tcPr>
            <w:tcW w:w="578" w:type="pct"/>
            <w:shd w:val="clear" w:color="auto" w:fill="auto"/>
            <w:noWrap/>
            <w:hideMark/>
          </w:tcPr>
          <w:p w14:paraId="540A64E8"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49,2</w:t>
            </w:r>
          </w:p>
        </w:tc>
      </w:tr>
      <w:tr w:rsidR="003A4FB0" w:rsidRPr="00A37BCE" w14:paraId="025DD8F3" w14:textId="77777777" w:rsidTr="004E661B">
        <w:trPr>
          <w:trHeight w:val="253"/>
        </w:trPr>
        <w:tc>
          <w:tcPr>
            <w:cnfStyle w:val="001000000000" w:firstRow="0" w:lastRow="0" w:firstColumn="1" w:lastColumn="0" w:oddVBand="0" w:evenVBand="0" w:oddHBand="0" w:evenHBand="0" w:firstRowFirstColumn="0" w:firstRowLastColumn="0" w:lastRowFirstColumn="0" w:lastRowLastColumn="0"/>
            <w:tcW w:w="2688" w:type="pct"/>
            <w:shd w:val="clear" w:color="auto" w:fill="auto"/>
            <w:noWrap/>
            <w:hideMark/>
          </w:tcPr>
          <w:p w14:paraId="52D3C9A7"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 xml:space="preserve"> Каматни шок (сценарио 1) </w:t>
            </w:r>
          </w:p>
        </w:tc>
        <w:tc>
          <w:tcPr>
            <w:tcW w:w="578" w:type="pct"/>
            <w:shd w:val="clear" w:color="auto" w:fill="auto"/>
            <w:noWrap/>
            <w:hideMark/>
          </w:tcPr>
          <w:p w14:paraId="21EBFE89"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45,1</w:t>
            </w:r>
          </w:p>
        </w:tc>
        <w:tc>
          <w:tcPr>
            <w:tcW w:w="578" w:type="pct"/>
            <w:shd w:val="clear" w:color="auto" w:fill="auto"/>
            <w:noWrap/>
            <w:hideMark/>
          </w:tcPr>
          <w:p w14:paraId="759092B3"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45,1</w:t>
            </w:r>
          </w:p>
        </w:tc>
        <w:tc>
          <w:tcPr>
            <w:tcW w:w="578" w:type="pct"/>
            <w:shd w:val="clear" w:color="auto" w:fill="auto"/>
            <w:noWrap/>
            <w:hideMark/>
          </w:tcPr>
          <w:p w14:paraId="4658E16D"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44,9</w:t>
            </w:r>
          </w:p>
        </w:tc>
        <w:tc>
          <w:tcPr>
            <w:tcW w:w="578" w:type="pct"/>
            <w:shd w:val="clear" w:color="auto" w:fill="auto"/>
            <w:noWrap/>
            <w:hideMark/>
          </w:tcPr>
          <w:p w14:paraId="5ACCEAF0"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45,3</w:t>
            </w:r>
          </w:p>
        </w:tc>
      </w:tr>
      <w:tr w:rsidR="003A4FB0" w:rsidRPr="00A37BCE" w14:paraId="4903AE40" w14:textId="77777777" w:rsidTr="004E661B">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shd w:val="clear" w:color="auto" w:fill="auto"/>
            <w:noWrap/>
            <w:hideMark/>
          </w:tcPr>
          <w:p w14:paraId="65589AFF"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 xml:space="preserve"> Каматни шок (сценарио 2)</w:t>
            </w:r>
          </w:p>
        </w:tc>
        <w:tc>
          <w:tcPr>
            <w:tcW w:w="578" w:type="pct"/>
            <w:shd w:val="clear" w:color="auto" w:fill="auto"/>
            <w:noWrap/>
            <w:hideMark/>
          </w:tcPr>
          <w:p w14:paraId="133F15BD"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45,6</w:t>
            </w:r>
          </w:p>
        </w:tc>
        <w:tc>
          <w:tcPr>
            <w:tcW w:w="578" w:type="pct"/>
            <w:shd w:val="clear" w:color="auto" w:fill="auto"/>
            <w:noWrap/>
            <w:hideMark/>
          </w:tcPr>
          <w:p w14:paraId="7631A9C1"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45,6</w:t>
            </w:r>
          </w:p>
        </w:tc>
        <w:tc>
          <w:tcPr>
            <w:tcW w:w="578" w:type="pct"/>
            <w:shd w:val="clear" w:color="auto" w:fill="auto"/>
            <w:noWrap/>
            <w:hideMark/>
          </w:tcPr>
          <w:p w14:paraId="6A4A56DC"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45,2</w:t>
            </w:r>
          </w:p>
        </w:tc>
        <w:tc>
          <w:tcPr>
            <w:tcW w:w="578" w:type="pct"/>
            <w:shd w:val="clear" w:color="auto" w:fill="auto"/>
            <w:noWrap/>
            <w:hideMark/>
          </w:tcPr>
          <w:p w14:paraId="40F3189A"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45,9</w:t>
            </w:r>
          </w:p>
        </w:tc>
      </w:tr>
      <w:tr w:rsidR="003A4FB0" w:rsidRPr="00A37BCE" w14:paraId="65775A53" w14:textId="77777777" w:rsidTr="000F58B5">
        <w:trPr>
          <w:trHeight w:val="253"/>
        </w:trPr>
        <w:tc>
          <w:tcPr>
            <w:cnfStyle w:val="001000000000" w:firstRow="0" w:lastRow="0" w:firstColumn="1" w:lastColumn="0" w:oddVBand="0" w:evenVBand="0" w:oddHBand="0" w:evenHBand="0" w:firstRowFirstColumn="0" w:firstRowLastColumn="0" w:lastRowFirstColumn="0" w:lastRowLastColumn="0"/>
            <w:tcW w:w="2688" w:type="pct"/>
            <w:tcBorders>
              <w:bottom w:val="nil"/>
            </w:tcBorders>
            <w:shd w:val="clear" w:color="auto" w:fill="auto"/>
            <w:noWrap/>
            <w:hideMark/>
          </w:tcPr>
          <w:p w14:paraId="2D40B314"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 xml:space="preserve"> Комбиновани шок (15% УСД и каматни шок1) </w:t>
            </w:r>
          </w:p>
        </w:tc>
        <w:tc>
          <w:tcPr>
            <w:tcW w:w="578" w:type="pct"/>
            <w:tcBorders>
              <w:bottom w:val="nil"/>
            </w:tcBorders>
            <w:shd w:val="clear" w:color="auto" w:fill="auto"/>
            <w:noWrap/>
            <w:hideMark/>
          </w:tcPr>
          <w:p w14:paraId="2622DA56"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47,4</w:t>
            </w:r>
          </w:p>
        </w:tc>
        <w:tc>
          <w:tcPr>
            <w:tcW w:w="578" w:type="pct"/>
            <w:tcBorders>
              <w:bottom w:val="nil"/>
            </w:tcBorders>
            <w:shd w:val="clear" w:color="auto" w:fill="auto"/>
            <w:noWrap/>
            <w:hideMark/>
          </w:tcPr>
          <w:p w14:paraId="221EE771"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47,4</w:t>
            </w:r>
          </w:p>
        </w:tc>
        <w:tc>
          <w:tcPr>
            <w:tcW w:w="578" w:type="pct"/>
            <w:tcBorders>
              <w:bottom w:val="nil"/>
            </w:tcBorders>
            <w:shd w:val="clear" w:color="auto" w:fill="auto"/>
            <w:noWrap/>
            <w:hideMark/>
          </w:tcPr>
          <w:p w14:paraId="16A1977F"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47,1</w:t>
            </w:r>
          </w:p>
        </w:tc>
        <w:tc>
          <w:tcPr>
            <w:tcW w:w="578" w:type="pct"/>
            <w:tcBorders>
              <w:bottom w:val="nil"/>
            </w:tcBorders>
            <w:shd w:val="clear" w:color="auto" w:fill="auto"/>
            <w:noWrap/>
            <w:hideMark/>
          </w:tcPr>
          <w:p w14:paraId="503D9484"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47,6</w:t>
            </w:r>
          </w:p>
        </w:tc>
      </w:tr>
      <w:tr w:rsidR="003A4FB0" w:rsidRPr="00A37BCE" w14:paraId="2E411170" w14:textId="77777777" w:rsidTr="000F58B5">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tcBorders>
              <w:top w:val="nil"/>
              <w:bottom w:val="single" w:sz="4" w:space="0" w:color="002060"/>
            </w:tcBorders>
            <w:shd w:val="clear" w:color="auto" w:fill="auto"/>
            <w:noWrap/>
            <w:hideMark/>
          </w:tcPr>
          <w:p w14:paraId="2ED12235"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 xml:space="preserve"> Максимални ризик </w:t>
            </w:r>
          </w:p>
        </w:tc>
        <w:tc>
          <w:tcPr>
            <w:tcW w:w="578" w:type="pct"/>
            <w:tcBorders>
              <w:top w:val="nil"/>
              <w:bottom w:val="single" w:sz="4" w:space="0" w:color="002060"/>
            </w:tcBorders>
            <w:shd w:val="clear" w:color="auto" w:fill="auto"/>
            <w:noWrap/>
            <w:hideMark/>
          </w:tcPr>
          <w:p w14:paraId="281A0EFE"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4,8</w:t>
            </w:r>
          </w:p>
        </w:tc>
        <w:tc>
          <w:tcPr>
            <w:tcW w:w="578" w:type="pct"/>
            <w:tcBorders>
              <w:top w:val="nil"/>
              <w:bottom w:val="single" w:sz="4" w:space="0" w:color="002060"/>
            </w:tcBorders>
            <w:shd w:val="clear" w:color="auto" w:fill="auto"/>
            <w:noWrap/>
            <w:hideMark/>
          </w:tcPr>
          <w:p w14:paraId="0ABDE18C"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5,0</w:t>
            </w:r>
          </w:p>
        </w:tc>
        <w:tc>
          <w:tcPr>
            <w:tcW w:w="578" w:type="pct"/>
            <w:tcBorders>
              <w:top w:val="nil"/>
              <w:bottom w:val="single" w:sz="4" w:space="0" w:color="002060"/>
            </w:tcBorders>
            <w:shd w:val="clear" w:color="auto" w:fill="auto"/>
            <w:noWrap/>
            <w:hideMark/>
          </w:tcPr>
          <w:p w14:paraId="31825EF9"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5,5</w:t>
            </w:r>
          </w:p>
        </w:tc>
        <w:tc>
          <w:tcPr>
            <w:tcW w:w="578" w:type="pct"/>
            <w:tcBorders>
              <w:top w:val="nil"/>
              <w:bottom w:val="single" w:sz="4" w:space="0" w:color="002060"/>
            </w:tcBorders>
            <w:shd w:val="clear" w:color="auto" w:fill="auto"/>
            <w:noWrap/>
            <w:hideMark/>
          </w:tcPr>
          <w:p w14:paraId="71824940"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4,5</w:t>
            </w:r>
          </w:p>
        </w:tc>
      </w:tr>
    </w:tbl>
    <w:p w14:paraId="1146D2D4" w14:textId="77777777" w:rsidR="003A4FB0" w:rsidRPr="00A37BCE" w:rsidRDefault="003A4FB0" w:rsidP="003A4FB0">
      <w:pPr>
        <w:jc w:val="center"/>
        <w:rPr>
          <w:b/>
          <w:color w:val="002060"/>
          <w:sz w:val="20"/>
          <w:lang w:val="sr-Cyrl-RS"/>
        </w:rPr>
      </w:pPr>
    </w:p>
    <w:p w14:paraId="6512BA06" w14:textId="77777777" w:rsidR="003A4FB0" w:rsidRPr="00A37BCE" w:rsidRDefault="003A4FB0" w:rsidP="003A4FB0">
      <w:pPr>
        <w:rPr>
          <w:b/>
          <w:color w:val="002060"/>
          <w:sz w:val="20"/>
          <w:lang w:val="sr-Cyrl-RS"/>
        </w:rPr>
      </w:pPr>
      <w:r w:rsidRPr="00A37BCE">
        <w:rPr>
          <w:b/>
          <w:color w:val="002060"/>
          <w:sz w:val="20"/>
          <w:lang w:val="sr-Cyrl-RS"/>
        </w:rPr>
        <w:br w:type="page"/>
      </w:r>
    </w:p>
    <w:p w14:paraId="1A775C10" w14:textId="446A48AE" w:rsidR="003A4FB0" w:rsidRPr="00A37BCE" w:rsidRDefault="003A4FB0" w:rsidP="003A4FB0">
      <w:pPr>
        <w:jc w:val="center"/>
        <w:rPr>
          <w:b/>
          <w:color w:val="002060"/>
          <w:sz w:val="20"/>
          <w:lang w:val="sr-Cyrl-RS"/>
        </w:rPr>
      </w:pPr>
      <w:r w:rsidRPr="00A37BCE">
        <w:rPr>
          <w:b/>
          <w:color w:val="002060"/>
          <w:sz w:val="20"/>
          <w:lang w:val="sr-Cyrl-RS"/>
        </w:rPr>
        <w:lastRenderedPageBreak/>
        <w:t xml:space="preserve">Табела </w:t>
      </w:r>
      <w:r w:rsidR="005B01D9" w:rsidRPr="00A37BCE">
        <w:rPr>
          <w:b/>
          <w:color w:val="002060"/>
          <w:sz w:val="20"/>
          <w:lang w:val="sr-Cyrl-RS"/>
        </w:rPr>
        <w:t>29</w:t>
      </w:r>
      <w:r w:rsidRPr="00A37BCE">
        <w:rPr>
          <w:b/>
          <w:color w:val="002060"/>
          <w:sz w:val="20"/>
          <w:lang w:val="sr-Cyrl-RS"/>
        </w:rPr>
        <w:t>. Однос плаћања по основу камата и БДП на крају 2021. године</w:t>
      </w:r>
    </w:p>
    <w:tbl>
      <w:tblPr>
        <w:tblStyle w:val="LightShading-Accent12"/>
        <w:tblW w:w="5000" w:type="pct"/>
        <w:tblLook w:val="04A0" w:firstRow="1" w:lastRow="0" w:firstColumn="1" w:lastColumn="0" w:noHBand="0" w:noVBand="1"/>
      </w:tblPr>
      <w:tblGrid>
        <w:gridCol w:w="5032"/>
        <w:gridCol w:w="1082"/>
        <w:gridCol w:w="1082"/>
        <w:gridCol w:w="1082"/>
        <w:gridCol w:w="1082"/>
      </w:tblGrid>
      <w:tr w:rsidR="003A4FB0" w:rsidRPr="00A37BCE" w14:paraId="3CDFFFB6" w14:textId="77777777" w:rsidTr="000F58B5">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tcBorders>
              <w:top w:val="single" w:sz="4" w:space="0" w:color="002060"/>
              <w:bottom w:val="single" w:sz="8" w:space="0" w:color="FFFFFF" w:themeColor="background1"/>
            </w:tcBorders>
            <w:shd w:val="clear" w:color="auto" w:fill="auto"/>
            <w:noWrap/>
            <w:hideMark/>
          </w:tcPr>
          <w:p w14:paraId="70138A28" w14:textId="77777777" w:rsidR="003A4FB0" w:rsidRPr="00A37BCE" w:rsidRDefault="003A4FB0" w:rsidP="004E661B">
            <w:pPr>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Сценарији</w:t>
            </w:r>
          </w:p>
        </w:tc>
        <w:tc>
          <w:tcPr>
            <w:tcW w:w="578" w:type="pct"/>
            <w:tcBorders>
              <w:top w:val="single" w:sz="4" w:space="0" w:color="002060"/>
              <w:bottom w:val="single" w:sz="4" w:space="0" w:color="002060"/>
            </w:tcBorders>
            <w:shd w:val="clear" w:color="auto" w:fill="auto"/>
            <w:noWrap/>
            <w:hideMark/>
          </w:tcPr>
          <w:p w14:paraId="38A81126" w14:textId="77777777" w:rsidR="003A4FB0" w:rsidRPr="00A37BCE" w:rsidRDefault="003A4FB0" w:rsidP="004E661B">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C1</w:t>
            </w:r>
          </w:p>
        </w:tc>
        <w:tc>
          <w:tcPr>
            <w:tcW w:w="578" w:type="pct"/>
            <w:tcBorders>
              <w:top w:val="single" w:sz="4" w:space="0" w:color="002060"/>
              <w:bottom w:val="single" w:sz="4" w:space="0" w:color="002060"/>
            </w:tcBorders>
            <w:shd w:val="clear" w:color="auto" w:fill="auto"/>
            <w:noWrap/>
            <w:hideMark/>
          </w:tcPr>
          <w:p w14:paraId="22A6B8F2" w14:textId="77777777" w:rsidR="003A4FB0" w:rsidRPr="00A37BCE" w:rsidRDefault="003A4FB0" w:rsidP="004E661B">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C2</w:t>
            </w:r>
          </w:p>
        </w:tc>
        <w:tc>
          <w:tcPr>
            <w:tcW w:w="578" w:type="pct"/>
            <w:tcBorders>
              <w:top w:val="single" w:sz="4" w:space="0" w:color="002060"/>
              <w:bottom w:val="single" w:sz="4" w:space="0" w:color="002060"/>
            </w:tcBorders>
            <w:shd w:val="clear" w:color="auto" w:fill="auto"/>
            <w:noWrap/>
            <w:hideMark/>
          </w:tcPr>
          <w:p w14:paraId="7111E318" w14:textId="77777777" w:rsidR="003A4FB0" w:rsidRPr="00A37BCE" w:rsidRDefault="003A4FB0" w:rsidP="004E661B">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C3</w:t>
            </w:r>
          </w:p>
        </w:tc>
        <w:tc>
          <w:tcPr>
            <w:tcW w:w="578" w:type="pct"/>
            <w:tcBorders>
              <w:top w:val="single" w:sz="4" w:space="0" w:color="002060"/>
              <w:bottom w:val="single" w:sz="4" w:space="0" w:color="002060"/>
            </w:tcBorders>
            <w:shd w:val="clear" w:color="auto" w:fill="auto"/>
            <w:noWrap/>
            <w:hideMark/>
          </w:tcPr>
          <w:p w14:paraId="5641FEFC" w14:textId="77777777" w:rsidR="003A4FB0" w:rsidRPr="00A37BCE" w:rsidRDefault="003A4FB0" w:rsidP="004E661B">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C4</w:t>
            </w:r>
          </w:p>
        </w:tc>
      </w:tr>
      <w:tr w:rsidR="003A4FB0" w:rsidRPr="00A37BCE" w14:paraId="4CCFB780" w14:textId="77777777" w:rsidTr="000F58B5">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tcBorders>
              <w:top w:val="single" w:sz="8" w:space="0" w:color="FFFFFF" w:themeColor="background1"/>
            </w:tcBorders>
            <w:shd w:val="clear" w:color="auto" w:fill="auto"/>
            <w:noWrap/>
            <w:hideMark/>
          </w:tcPr>
          <w:p w14:paraId="7861ADC0"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 xml:space="preserve"> Основни сценарио</w:t>
            </w:r>
          </w:p>
        </w:tc>
        <w:tc>
          <w:tcPr>
            <w:tcW w:w="578" w:type="pct"/>
            <w:tcBorders>
              <w:top w:val="single" w:sz="4" w:space="0" w:color="002060"/>
            </w:tcBorders>
            <w:shd w:val="clear" w:color="auto" w:fill="auto"/>
            <w:noWrap/>
            <w:hideMark/>
          </w:tcPr>
          <w:p w14:paraId="56538746"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1,7</w:t>
            </w:r>
          </w:p>
        </w:tc>
        <w:tc>
          <w:tcPr>
            <w:tcW w:w="578" w:type="pct"/>
            <w:tcBorders>
              <w:top w:val="single" w:sz="4" w:space="0" w:color="002060"/>
            </w:tcBorders>
            <w:shd w:val="clear" w:color="auto" w:fill="auto"/>
            <w:noWrap/>
            <w:hideMark/>
          </w:tcPr>
          <w:p w14:paraId="5D797141"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1,6</w:t>
            </w:r>
          </w:p>
        </w:tc>
        <w:tc>
          <w:tcPr>
            <w:tcW w:w="578" w:type="pct"/>
            <w:tcBorders>
              <w:top w:val="single" w:sz="4" w:space="0" w:color="002060"/>
            </w:tcBorders>
            <w:shd w:val="clear" w:color="auto" w:fill="auto"/>
            <w:noWrap/>
            <w:hideMark/>
          </w:tcPr>
          <w:p w14:paraId="16FAA8E0"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1,4</w:t>
            </w:r>
          </w:p>
        </w:tc>
        <w:tc>
          <w:tcPr>
            <w:tcW w:w="578" w:type="pct"/>
            <w:tcBorders>
              <w:top w:val="single" w:sz="4" w:space="0" w:color="002060"/>
            </w:tcBorders>
            <w:shd w:val="clear" w:color="auto" w:fill="auto"/>
            <w:noWrap/>
            <w:hideMark/>
          </w:tcPr>
          <w:p w14:paraId="292D602F"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1,8</w:t>
            </w:r>
          </w:p>
        </w:tc>
      </w:tr>
      <w:tr w:rsidR="003A4FB0" w:rsidRPr="00A37BCE" w14:paraId="322B0773" w14:textId="77777777" w:rsidTr="004E661B">
        <w:trPr>
          <w:trHeight w:val="253"/>
        </w:trPr>
        <w:tc>
          <w:tcPr>
            <w:cnfStyle w:val="001000000000" w:firstRow="0" w:lastRow="0" w:firstColumn="1" w:lastColumn="0" w:oddVBand="0" w:evenVBand="0" w:oddHBand="0" w:evenHBand="0" w:firstRowFirstColumn="0" w:firstRowLastColumn="0" w:lastRowFirstColumn="0" w:lastRowLastColumn="0"/>
            <w:tcW w:w="2688" w:type="pct"/>
            <w:shd w:val="clear" w:color="auto" w:fill="auto"/>
            <w:noWrap/>
            <w:hideMark/>
          </w:tcPr>
          <w:p w14:paraId="57BF8DD4"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 xml:space="preserve"> Шок девизног курса (15% све валуте) </w:t>
            </w:r>
          </w:p>
        </w:tc>
        <w:tc>
          <w:tcPr>
            <w:tcW w:w="578" w:type="pct"/>
            <w:shd w:val="clear" w:color="auto" w:fill="auto"/>
            <w:noWrap/>
            <w:hideMark/>
          </w:tcPr>
          <w:p w14:paraId="6AB0E02B"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1,8</w:t>
            </w:r>
          </w:p>
        </w:tc>
        <w:tc>
          <w:tcPr>
            <w:tcW w:w="578" w:type="pct"/>
            <w:shd w:val="clear" w:color="auto" w:fill="auto"/>
            <w:noWrap/>
            <w:hideMark/>
          </w:tcPr>
          <w:p w14:paraId="1E94CFE1"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1,8</w:t>
            </w:r>
          </w:p>
        </w:tc>
        <w:tc>
          <w:tcPr>
            <w:tcW w:w="578" w:type="pct"/>
            <w:shd w:val="clear" w:color="auto" w:fill="auto"/>
            <w:noWrap/>
            <w:hideMark/>
          </w:tcPr>
          <w:p w14:paraId="4DF7A0B0"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1,5</w:t>
            </w:r>
          </w:p>
        </w:tc>
        <w:tc>
          <w:tcPr>
            <w:tcW w:w="578" w:type="pct"/>
            <w:shd w:val="clear" w:color="auto" w:fill="auto"/>
            <w:noWrap/>
            <w:hideMark/>
          </w:tcPr>
          <w:p w14:paraId="2FDC5163"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2,0</w:t>
            </w:r>
          </w:p>
        </w:tc>
      </w:tr>
      <w:tr w:rsidR="003A4FB0" w:rsidRPr="00A37BCE" w14:paraId="325C4C58" w14:textId="77777777" w:rsidTr="004E661B">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shd w:val="clear" w:color="auto" w:fill="auto"/>
            <w:noWrap/>
            <w:hideMark/>
          </w:tcPr>
          <w:p w14:paraId="37C9A15E"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 xml:space="preserve"> Каматни шок (сценарио 1) </w:t>
            </w:r>
          </w:p>
        </w:tc>
        <w:tc>
          <w:tcPr>
            <w:tcW w:w="578" w:type="pct"/>
            <w:shd w:val="clear" w:color="auto" w:fill="auto"/>
            <w:noWrap/>
            <w:hideMark/>
          </w:tcPr>
          <w:p w14:paraId="4D405DC7"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2,0</w:t>
            </w:r>
          </w:p>
        </w:tc>
        <w:tc>
          <w:tcPr>
            <w:tcW w:w="578" w:type="pct"/>
            <w:shd w:val="clear" w:color="auto" w:fill="auto"/>
            <w:noWrap/>
            <w:hideMark/>
          </w:tcPr>
          <w:p w14:paraId="395A71D6"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2,0</w:t>
            </w:r>
          </w:p>
        </w:tc>
        <w:tc>
          <w:tcPr>
            <w:tcW w:w="578" w:type="pct"/>
            <w:shd w:val="clear" w:color="auto" w:fill="auto"/>
            <w:noWrap/>
            <w:hideMark/>
          </w:tcPr>
          <w:p w14:paraId="5DCDF0B6"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1,8</w:t>
            </w:r>
          </w:p>
        </w:tc>
        <w:tc>
          <w:tcPr>
            <w:tcW w:w="578" w:type="pct"/>
            <w:shd w:val="clear" w:color="auto" w:fill="auto"/>
            <w:noWrap/>
            <w:hideMark/>
          </w:tcPr>
          <w:p w14:paraId="40986B61"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2,2</w:t>
            </w:r>
          </w:p>
        </w:tc>
      </w:tr>
      <w:tr w:rsidR="003A4FB0" w:rsidRPr="00A37BCE" w14:paraId="2F04915C" w14:textId="77777777" w:rsidTr="004E661B">
        <w:trPr>
          <w:trHeight w:val="253"/>
        </w:trPr>
        <w:tc>
          <w:tcPr>
            <w:cnfStyle w:val="001000000000" w:firstRow="0" w:lastRow="0" w:firstColumn="1" w:lastColumn="0" w:oddVBand="0" w:evenVBand="0" w:oddHBand="0" w:evenHBand="0" w:firstRowFirstColumn="0" w:firstRowLastColumn="0" w:lastRowFirstColumn="0" w:lastRowLastColumn="0"/>
            <w:tcW w:w="2688" w:type="pct"/>
            <w:shd w:val="clear" w:color="auto" w:fill="auto"/>
            <w:noWrap/>
            <w:hideMark/>
          </w:tcPr>
          <w:p w14:paraId="19E99939"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 xml:space="preserve"> Каматни шок (сценарио 2)</w:t>
            </w:r>
          </w:p>
        </w:tc>
        <w:tc>
          <w:tcPr>
            <w:tcW w:w="578" w:type="pct"/>
            <w:shd w:val="clear" w:color="auto" w:fill="auto"/>
            <w:noWrap/>
            <w:hideMark/>
          </w:tcPr>
          <w:p w14:paraId="31A7DD99"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2,3</w:t>
            </w:r>
          </w:p>
        </w:tc>
        <w:tc>
          <w:tcPr>
            <w:tcW w:w="578" w:type="pct"/>
            <w:shd w:val="clear" w:color="auto" w:fill="auto"/>
            <w:noWrap/>
            <w:hideMark/>
          </w:tcPr>
          <w:p w14:paraId="0FED11C6"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2,4</w:t>
            </w:r>
          </w:p>
        </w:tc>
        <w:tc>
          <w:tcPr>
            <w:tcW w:w="578" w:type="pct"/>
            <w:shd w:val="clear" w:color="auto" w:fill="auto"/>
            <w:noWrap/>
            <w:hideMark/>
          </w:tcPr>
          <w:p w14:paraId="14CF8E95"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2,0</w:t>
            </w:r>
          </w:p>
        </w:tc>
        <w:tc>
          <w:tcPr>
            <w:tcW w:w="578" w:type="pct"/>
            <w:shd w:val="clear" w:color="auto" w:fill="auto"/>
            <w:noWrap/>
            <w:hideMark/>
          </w:tcPr>
          <w:p w14:paraId="799D9FB3"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2,5</w:t>
            </w:r>
          </w:p>
        </w:tc>
      </w:tr>
      <w:tr w:rsidR="003A4FB0" w:rsidRPr="00A37BCE" w14:paraId="5E845FC7" w14:textId="77777777" w:rsidTr="000F58B5">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tcBorders>
              <w:bottom w:val="nil"/>
            </w:tcBorders>
            <w:shd w:val="clear" w:color="auto" w:fill="auto"/>
            <w:noWrap/>
            <w:hideMark/>
          </w:tcPr>
          <w:p w14:paraId="5D494FA9"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 xml:space="preserve"> Комбиновани шок (15% УСД и каматни шок1) </w:t>
            </w:r>
          </w:p>
        </w:tc>
        <w:tc>
          <w:tcPr>
            <w:tcW w:w="578" w:type="pct"/>
            <w:tcBorders>
              <w:bottom w:val="nil"/>
            </w:tcBorders>
            <w:shd w:val="clear" w:color="auto" w:fill="auto"/>
            <w:noWrap/>
            <w:hideMark/>
          </w:tcPr>
          <w:p w14:paraId="6081ED0B"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2,1</w:t>
            </w:r>
          </w:p>
        </w:tc>
        <w:tc>
          <w:tcPr>
            <w:tcW w:w="578" w:type="pct"/>
            <w:tcBorders>
              <w:bottom w:val="nil"/>
            </w:tcBorders>
            <w:shd w:val="clear" w:color="auto" w:fill="auto"/>
            <w:noWrap/>
            <w:hideMark/>
          </w:tcPr>
          <w:p w14:paraId="736FB95A"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2,1</w:t>
            </w:r>
          </w:p>
        </w:tc>
        <w:tc>
          <w:tcPr>
            <w:tcW w:w="578" w:type="pct"/>
            <w:tcBorders>
              <w:bottom w:val="nil"/>
            </w:tcBorders>
            <w:shd w:val="clear" w:color="auto" w:fill="auto"/>
            <w:noWrap/>
            <w:hideMark/>
          </w:tcPr>
          <w:p w14:paraId="2026A34A"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1,9</w:t>
            </w:r>
          </w:p>
        </w:tc>
        <w:tc>
          <w:tcPr>
            <w:tcW w:w="578" w:type="pct"/>
            <w:tcBorders>
              <w:bottom w:val="nil"/>
            </w:tcBorders>
            <w:shd w:val="clear" w:color="auto" w:fill="auto"/>
            <w:noWrap/>
            <w:hideMark/>
          </w:tcPr>
          <w:p w14:paraId="05530F73"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2,3</w:t>
            </w:r>
          </w:p>
        </w:tc>
      </w:tr>
      <w:tr w:rsidR="003A4FB0" w:rsidRPr="00A37BCE" w14:paraId="70ADAB7E" w14:textId="77777777" w:rsidTr="000F58B5">
        <w:trPr>
          <w:trHeight w:val="253"/>
        </w:trPr>
        <w:tc>
          <w:tcPr>
            <w:cnfStyle w:val="001000000000" w:firstRow="0" w:lastRow="0" w:firstColumn="1" w:lastColumn="0" w:oddVBand="0" w:evenVBand="0" w:oddHBand="0" w:evenHBand="0" w:firstRowFirstColumn="0" w:firstRowLastColumn="0" w:lastRowFirstColumn="0" w:lastRowLastColumn="0"/>
            <w:tcW w:w="2688" w:type="pct"/>
            <w:tcBorders>
              <w:top w:val="nil"/>
              <w:bottom w:val="single" w:sz="4" w:space="0" w:color="002060"/>
            </w:tcBorders>
            <w:shd w:val="clear" w:color="auto" w:fill="auto"/>
            <w:noWrap/>
            <w:hideMark/>
          </w:tcPr>
          <w:p w14:paraId="175B4D8E"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 xml:space="preserve"> Максимални ризик </w:t>
            </w:r>
          </w:p>
        </w:tc>
        <w:tc>
          <w:tcPr>
            <w:tcW w:w="578" w:type="pct"/>
            <w:tcBorders>
              <w:top w:val="nil"/>
              <w:bottom w:val="single" w:sz="4" w:space="0" w:color="002060"/>
            </w:tcBorders>
            <w:shd w:val="clear" w:color="auto" w:fill="auto"/>
            <w:noWrap/>
            <w:hideMark/>
          </w:tcPr>
          <w:p w14:paraId="24BB0885"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0,7</w:t>
            </w:r>
          </w:p>
        </w:tc>
        <w:tc>
          <w:tcPr>
            <w:tcW w:w="578" w:type="pct"/>
            <w:tcBorders>
              <w:top w:val="nil"/>
              <w:bottom w:val="single" w:sz="4" w:space="0" w:color="002060"/>
            </w:tcBorders>
            <w:shd w:val="clear" w:color="auto" w:fill="auto"/>
            <w:noWrap/>
            <w:hideMark/>
          </w:tcPr>
          <w:p w14:paraId="3642982E"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0,7</w:t>
            </w:r>
          </w:p>
        </w:tc>
        <w:tc>
          <w:tcPr>
            <w:tcW w:w="578" w:type="pct"/>
            <w:tcBorders>
              <w:top w:val="nil"/>
              <w:bottom w:val="single" w:sz="4" w:space="0" w:color="002060"/>
            </w:tcBorders>
            <w:shd w:val="clear" w:color="auto" w:fill="auto"/>
            <w:noWrap/>
            <w:hideMark/>
          </w:tcPr>
          <w:p w14:paraId="33D4E997"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0,6</w:t>
            </w:r>
          </w:p>
        </w:tc>
        <w:tc>
          <w:tcPr>
            <w:tcW w:w="578" w:type="pct"/>
            <w:tcBorders>
              <w:top w:val="nil"/>
              <w:bottom w:val="single" w:sz="4" w:space="0" w:color="002060"/>
            </w:tcBorders>
            <w:shd w:val="clear" w:color="auto" w:fill="auto"/>
            <w:noWrap/>
            <w:hideMark/>
          </w:tcPr>
          <w:p w14:paraId="0A120746"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0,7</w:t>
            </w:r>
          </w:p>
        </w:tc>
      </w:tr>
    </w:tbl>
    <w:p w14:paraId="51990146" w14:textId="77777777" w:rsidR="003A4FB0" w:rsidRPr="00A37BCE" w:rsidRDefault="003A4FB0" w:rsidP="003A4FB0">
      <w:pPr>
        <w:spacing w:line="276" w:lineRule="auto"/>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br/>
        <w:t>Наредна табела приказује кретања основних параметара јавног дуга по основу све четири разматране стратегије, што осликава горе поменуте карактеристике сваке стратегије:</w:t>
      </w:r>
    </w:p>
    <w:p w14:paraId="75D2C80C" w14:textId="232705FD" w:rsidR="003A4FB0" w:rsidRPr="00A37BCE" w:rsidRDefault="003A4FB0" w:rsidP="003A4FB0">
      <w:pPr>
        <w:jc w:val="center"/>
        <w:rPr>
          <w:b/>
          <w:color w:val="002060"/>
          <w:sz w:val="20"/>
          <w:lang w:val="sr-Cyrl-RS"/>
        </w:rPr>
      </w:pPr>
      <w:r w:rsidRPr="00A37BCE">
        <w:rPr>
          <w:b/>
          <w:color w:val="002060"/>
          <w:sz w:val="20"/>
          <w:lang w:val="sr-Cyrl-RS"/>
        </w:rPr>
        <w:t xml:space="preserve">Табела </w:t>
      </w:r>
      <w:r w:rsidR="005B01D9" w:rsidRPr="00A37BCE">
        <w:rPr>
          <w:b/>
          <w:color w:val="002060"/>
          <w:sz w:val="20"/>
          <w:lang w:val="sr-Cyrl-RS"/>
        </w:rPr>
        <w:t>30</w:t>
      </w:r>
      <w:r w:rsidR="006B7258" w:rsidRPr="00A37BCE">
        <w:rPr>
          <w:b/>
          <w:color w:val="002060"/>
          <w:sz w:val="20"/>
          <w:lang w:val="sr-Cyrl-RS"/>
        </w:rPr>
        <w:t>.</w:t>
      </w:r>
      <w:r w:rsidRPr="00A37BCE">
        <w:rPr>
          <w:b/>
          <w:color w:val="002060"/>
          <w:sz w:val="20"/>
          <w:lang w:val="sr-Cyrl-RS"/>
        </w:rPr>
        <w:t xml:space="preserve"> Индикатори ризика за алтернативне стратегије</w:t>
      </w:r>
      <w:r w:rsidRPr="00A37BCE">
        <w:rPr>
          <w:lang w:val="sr-Cyrl-RS"/>
        </w:rPr>
        <w:t xml:space="preserve"> </w:t>
      </w:r>
      <w:r w:rsidRPr="00A37BCE">
        <w:rPr>
          <w:b/>
          <w:color w:val="002060"/>
          <w:sz w:val="20"/>
          <w:lang w:val="sr-Cyrl-RS"/>
        </w:rPr>
        <w:t>на крају 2021. године</w:t>
      </w:r>
    </w:p>
    <w:tbl>
      <w:tblPr>
        <w:tblStyle w:val="LightShading-Accent12"/>
        <w:tblW w:w="4887" w:type="pct"/>
        <w:tblLayout w:type="fixed"/>
        <w:tblLook w:val="04A0" w:firstRow="1" w:lastRow="0" w:firstColumn="1" w:lastColumn="0" w:noHBand="0" w:noVBand="1"/>
      </w:tblPr>
      <w:tblGrid>
        <w:gridCol w:w="2883"/>
        <w:gridCol w:w="3581"/>
        <w:gridCol w:w="686"/>
        <w:gridCol w:w="686"/>
        <w:gridCol w:w="686"/>
        <w:gridCol w:w="626"/>
      </w:tblGrid>
      <w:tr w:rsidR="0020165D" w:rsidRPr="00A37BCE" w14:paraId="77B81E37" w14:textId="77777777" w:rsidTr="0020165D">
        <w:trPr>
          <w:cnfStyle w:val="100000000000" w:firstRow="1" w:lastRow="0" w:firstColumn="0" w:lastColumn="0" w:oddVBand="0" w:evenVBand="0" w:oddHBand="0" w:evenHBand="0" w:firstRowFirstColumn="0" w:firstRowLastColumn="0" w:lastRowFirstColumn="0" w:lastRowLastColumn="0"/>
          <w:trHeight w:hRule="exact" w:val="259"/>
        </w:trPr>
        <w:tc>
          <w:tcPr>
            <w:cnfStyle w:val="001000000000" w:firstRow="0" w:lastRow="0" w:firstColumn="1" w:lastColumn="0" w:oddVBand="0" w:evenVBand="0" w:oddHBand="0" w:evenHBand="0" w:firstRowFirstColumn="0" w:firstRowLastColumn="0" w:lastRowFirstColumn="0" w:lastRowLastColumn="0"/>
            <w:tcW w:w="1575" w:type="pct"/>
            <w:tcBorders>
              <w:top w:val="single" w:sz="4" w:space="0" w:color="002060"/>
              <w:bottom w:val="nil"/>
            </w:tcBorders>
            <w:shd w:val="clear" w:color="auto" w:fill="auto"/>
            <w:noWrap/>
            <w:hideMark/>
          </w:tcPr>
          <w:p w14:paraId="73ABF758" w14:textId="77777777" w:rsidR="0020165D" w:rsidRPr="00A37BCE" w:rsidRDefault="0020165D" w:rsidP="004E661B">
            <w:pPr>
              <w:rPr>
                <w:rFonts w:cstheme="minorHAnsi"/>
                <w:bCs w:val="0"/>
                <w:color w:val="002060"/>
                <w:sz w:val="18"/>
                <w:szCs w:val="18"/>
                <w:lang w:val="sr-Cyrl-RS"/>
              </w:rPr>
            </w:pPr>
          </w:p>
        </w:tc>
        <w:tc>
          <w:tcPr>
            <w:tcW w:w="1957" w:type="pct"/>
            <w:tcBorders>
              <w:top w:val="single" w:sz="4" w:space="0" w:color="002060"/>
              <w:bottom w:val="single" w:sz="4" w:space="0" w:color="002060"/>
            </w:tcBorders>
            <w:shd w:val="clear" w:color="auto" w:fill="auto"/>
          </w:tcPr>
          <w:p w14:paraId="32516A99" w14:textId="7D4FA64E" w:rsidR="0020165D" w:rsidRPr="00A37BCE" w:rsidRDefault="0020165D" w:rsidP="004E661B">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p>
        </w:tc>
        <w:tc>
          <w:tcPr>
            <w:tcW w:w="1494" w:type="pct"/>
            <w:gridSpan w:val="4"/>
            <w:tcBorders>
              <w:top w:val="single" w:sz="4" w:space="0" w:color="002060"/>
              <w:bottom w:val="single" w:sz="4" w:space="0" w:color="002060"/>
            </w:tcBorders>
            <w:shd w:val="clear" w:color="auto" w:fill="auto"/>
            <w:noWrap/>
          </w:tcPr>
          <w:p w14:paraId="78733B55" w14:textId="77777777" w:rsidR="0020165D" w:rsidRPr="00A37BCE" w:rsidRDefault="0020165D" w:rsidP="004E661B">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C1</w:t>
            </w:r>
            <w:r w:rsidRPr="00A37BCE">
              <w:rPr>
                <w:rFonts w:asciiTheme="minorHAnsi" w:hAnsiTheme="minorHAnsi" w:cstheme="minorHAnsi"/>
                <w:b w:val="0"/>
                <w:color w:val="002060"/>
                <w:sz w:val="18"/>
                <w:szCs w:val="18"/>
                <w:lang w:val="sr-Cyrl-RS"/>
              </w:rPr>
              <w:tab/>
              <w:t>C2</w:t>
            </w:r>
            <w:r w:rsidRPr="00A37BCE">
              <w:rPr>
                <w:rFonts w:asciiTheme="minorHAnsi" w:hAnsiTheme="minorHAnsi" w:cstheme="minorHAnsi"/>
                <w:b w:val="0"/>
                <w:color w:val="002060"/>
                <w:sz w:val="18"/>
                <w:szCs w:val="18"/>
                <w:lang w:val="sr-Cyrl-RS"/>
              </w:rPr>
              <w:tab/>
              <w:t>C3</w:t>
            </w:r>
            <w:r w:rsidRPr="00A37BCE">
              <w:rPr>
                <w:rFonts w:asciiTheme="minorHAnsi" w:hAnsiTheme="minorHAnsi" w:cstheme="minorHAnsi"/>
                <w:b w:val="0"/>
                <w:color w:val="002060"/>
                <w:sz w:val="18"/>
                <w:szCs w:val="18"/>
                <w:lang w:val="sr-Cyrl-RS"/>
              </w:rPr>
              <w:tab/>
              <w:t>C4</w:t>
            </w:r>
          </w:p>
        </w:tc>
      </w:tr>
      <w:tr w:rsidR="003A4FB0" w:rsidRPr="00A37BCE" w14:paraId="7002E9F0" w14:textId="77777777" w:rsidTr="0020165D">
        <w:trPr>
          <w:cnfStyle w:val="000000100000" w:firstRow="0" w:lastRow="0" w:firstColumn="0" w:lastColumn="0" w:oddVBand="0" w:evenVBand="0" w:oddHBand="1" w:evenHBand="0" w:firstRowFirstColumn="0" w:firstRowLastColumn="0" w:lastRowFirstColumn="0" w:lastRowLastColumn="0"/>
          <w:trHeight w:hRule="exact" w:val="259"/>
        </w:trPr>
        <w:tc>
          <w:tcPr>
            <w:cnfStyle w:val="001000000000" w:firstRow="0" w:lastRow="0" w:firstColumn="1" w:lastColumn="0" w:oddVBand="0" w:evenVBand="0" w:oddHBand="0" w:evenHBand="0" w:firstRowFirstColumn="0" w:firstRowLastColumn="0" w:lastRowFirstColumn="0" w:lastRowLastColumn="0"/>
            <w:tcW w:w="1576" w:type="pct"/>
            <w:tcBorders>
              <w:top w:val="nil"/>
              <w:bottom w:val="nil"/>
            </w:tcBorders>
            <w:shd w:val="clear" w:color="auto" w:fill="auto"/>
            <w:noWrap/>
            <w:hideMark/>
          </w:tcPr>
          <w:p w14:paraId="6D6C2B60"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Номинални дуг (% БДП)</w:t>
            </w:r>
          </w:p>
        </w:tc>
        <w:tc>
          <w:tcPr>
            <w:tcW w:w="1930" w:type="pct"/>
            <w:tcBorders>
              <w:top w:val="single" w:sz="4" w:space="0" w:color="002060"/>
            </w:tcBorders>
            <w:shd w:val="clear" w:color="auto" w:fill="auto"/>
            <w:noWrap/>
            <w:hideMark/>
          </w:tcPr>
          <w:p w14:paraId="69C8E467" w14:textId="77777777" w:rsidR="003A4FB0" w:rsidRPr="00A37BCE" w:rsidRDefault="003A4FB0" w:rsidP="004E661B">
            <w:pPr>
              <w:spacing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 </w:t>
            </w:r>
          </w:p>
        </w:tc>
        <w:tc>
          <w:tcPr>
            <w:tcW w:w="375" w:type="pct"/>
            <w:tcBorders>
              <w:top w:val="single" w:sz="4" w:space="0" w:color="002060"/>
            </w:tcBorders>
            <w:shd w:val="clear" w:color="auto" w:fill="auto"/>
            <w:noWrap/>
            <w:hideMark/>
          </w:tcPr>
          <w:p w14:paraId="5AEF3E39"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44,5</w:t>
            </w:r>
          </w:p>
        </w:tc>
        <w:tc>
          <w:tcPr>
            <w:tcW w:w="375" w:type="pct"/>
            <w:tcBorders>
              <w:top w:val="single" w:sz="4" w:space="0" w:color="002060"/>
            </w:tcBorders>
            <w:shd w:val="clear" w:color="auto" w:fill="auto"/>
            <w:noWrap/>
            <w:hideMark/>
          </w:tcPr>
          <w:p w14:paraId="273305BF"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44,5</w:t>
            </w:r>
          </w:p>
        </w:tc>
        <w:tc>
          <w:tcPr>
            <w:tcW w:w="375" w:type="pct"/>
            <w:tcBorders>
              <w:top w:val="single" w:sz="4" w:space="0" w:color="002060"/>
            </w:tcBorders>
            <w:shd w:val="clear" w:color="auto" w:fill="auto"/>
            <w:noWrap/>
            <w:hideMark/>
          </w:tcPr>
          <w:p w14:paraId="6B703F95"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44,2</w:t>
            </w:r>
          </w:p>
        </w:tc>
        <w:tc>
          <w:tcPr>
            <w:tcW w:w="369" w:type="pct"/>
            <w:tcBorders>
              <w:top w:val="single" w:sz="4" w:space="0" w:color="002060"/>
            </w:tcBorders>
            <w:shd w:val="clear" w:color="auto" w:fill="auto"/>
            <w:noWrap/>
            <w:hideMark/>
          </w:tcPr>
          <w:p w14:paraId="4C44371B"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44,7</w:t>
            </w:r>
          </w:p>
        </w:tc>
      </w:tr>
      <w:tr w:rsidR="003A4FB0" w:rsidRPr="00A37BCE" w14:paraId="1C2E9A5A" w14:textId="77777777" w:rsidTr="004E661B">
        <w:trPr>
          <w:trHeight w:hRule="exact" w:val="259"/>
        </w:trPr>
        <w:tc>
          <w:tcPr>
            <w:cnfStyle w:val="001000000000" w:firstRow="0" w:lastRow="0" w:firstColumn="1" w:lastColumn="0" w:oddVBand="0" w:evenVBand="0" w:oddHBand="0" w:evenHBand="0" w:firstRowFirstColumn="0" w:firstRowLastColumn="0" w:lastRowFirstColumn="0" w:lastRowLastColumn="0"/>
            <w:tcW w:w="3506" w:type="pct"/>
            <w:gridSpan w:val="2"/>
            <w:shd w:val="clear" w:color="auto" w:fill="auto"/>
            <w:noWrap/>
            <w:hideMark/>
          </w:tcPr>
          <w:p w14:paraId="3AD581F1"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Нето садашња вредност (% БДП)*</w:t>
            </w:r>
          </w:p>
        </w:tc>
        <w:tc>
          <w:tcPr>
            <w:tcW w:w="375" w:type="pct"/>
            <w:shd w:val="clear" w:color="auto" w:fill="auto"/>
            <w:noWrap/>
            <w:hideMark/>
          </w:tcPr>
          <w:p w14:paraId="2BE6C7CE"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40,5</w:t>
            </w:r>
          </w:p>
        </w:tc>
        <w:tc>
          <w:tcPr>
            <w:tcW w:w="375" w:type="pct"/>
            <w:shd w:val="clear" w:color="auto" w:fill="auto"/>
            <w:noWrap/>
            <w:hideMark/>
          </w:tcPr>
          <w:p w14:paraId="4F8BE7BA"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37,3</w:t>
            </w:r>
          </w:p>
        </w:tc>
        <w:tc>
          <w:tcPr>
            <w:tcW w:w="375" w:type="pct"/>
            <w:shd w:val="clear" w:color="auto" w:fill="auto"/>
            <w:noWrap/>
            <w:hideMark/>
          </w:tcPr>
          <w:p w14:paraId="4545A5C2"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32,1</w:t>
            </w:r>
          </w:p>
        </w:tc>
        <w:tc>
          <w:tcPr>
            <w:tcW w:w="369" w:type="pct"/>
            <w:shd w:val="clear" w:color="auto" w:fill="auto"/>
            <w:noWrap/>
            <w:hideMark/>
          </w:tcPr>
          <w:p w14:paraId="1BF4DF7E"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42,5</w:t>
            </w:r>
          </w:p>
        </w:tc>
      </w:tr>
      <w:tr w:rsidR="003A4FB0" w:rsidRPr="00A37BCE" w14:paraId="5798EAD2" w14:textId="77777777" w:rsidTr="004E661B">
        <w:trPr>
          <w:cnfStyle w:val="000000100000" w:firstRow="0" w:lastRow="0" w:firstColumn="0" w:lastColumn="0" w:oddVBand="0" w:evenVBand="0" w:oddHBand="1" w:evenHBand="0" w:firstRowFirstColumn="0" w:firstRowLastColumn="0" w:lastRowFirstColumn="0" w:lastRowLastColumn="0"/>
          <w:trHeight w:hRule="exact" w:val="259"/>
        </w:trPr>
        <w:tc>
          <w:tcPr>
            <w:cnfStyle w:val="001000000000" w:firstRow="0" w:lastRow="0" w:firstColumn="1" w:lastColumn="0" w:oddVBand="0" w:evenVBand="0" w:oddHBand="0" w:evenHBand="0" w:firstRowFirstColumn="0" w:firstRowLastColumn="0" w:lastRowFirstColumn="0" w:lastRowLastColumn="0"/>
            <w:tcW w:w="3506" w:type="pct"/>
            <w:gridSpan w:val="2"/>
            <w:shd w:val="clear" w:color="auto" w:fill="auto"/>
            <w:noWrap/>
            <w:hideMark/>
          </w:tcPr>
          <w:p w14:paraId="42E41D4D"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Примењена каматна стопа (%)</w:t>
            </w:r>
          </w:p>
        </w:tc>
        <w:tc>
          <w:tcPr>
            <w:tcW w:w="375" w:type="pct"/>
            <w:shd w:val="clear" w:color="auto" w:fill="auto"/>
            <w:noWrap/>
            <w:hideMark/>
          </w:tcPr>
          <w:p w14:paraId="4444EC10"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3,8</w:t>
            </w:r>
          </w:p>
        </w:tc>
        <w:tc>
          <w:tcPr>
            <w:tcW w:w="375" w:type="pct"/>
            <w:shd w:val="clear" w:color="auto" w:fill="auto"/>
            <w:noWrap/>
            <w:hideMark/>
          </w:tcPr>
          <w:p w14:paraId="2320FA88"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3,7</w:t>
            </w:r>
          </w:p>
        </w:tc>
        <w:tc>
          <w:tcPr>
            <w:tcW w:w="375" w:type="pct"/>
            <w:shd w:val="clear" w:color="auto" w:fill="auto"/>
            <w:noWrap/>
            <w:hideMark/>
          </w:tcPr>
          <w:p w14:paraId="4337E948"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3,2</w:t>
            </w:r>
          </w:p>
        </w:tc>
        <w:tc>
          <w:tcPr>
            <w:tcW w:w="369" w:type="pct"/>
            <w:shd w:val="clear" w:color="auto" w:fill="auto"/>
            <w:noWrap/>
            <w:hideMark/>
          </w:tcPr>
          <w:p w14:paraId="52FD39A2"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4,1</w:t>
            </w:r>
          </w:p>
        </w:tc>
      </w:tr>
      <w:tr w:rsidR="003A4FB0" w:rsidRPr="00A37BCE" w14:paraId="47C5A029" w14:textId="77777777" w:rsidTr="004E661B">
        <w:trPr>
          <w:trHeight w:hRule="exact" w:val="259"/>
        </w:trPr>
        <w:tc>
          <w:tcPr>
            <w:cnfStyle w:val="001000000000" w:firstRow="0" w:lastRow="0" w:firstColumn="1" w:lastColumn="0" w:oddVBand="0" w:evenVBand="0" w:oddHBand="0" w:evenHBand="0" w:firstRowFirstColumn="0" w:firstRowLastColumn="0" w:lastRowFirstColumn="0" w:lastRowLastColumn="0"/>
            <w:tcW w:w="1576" w:type="pct"/>
            <w:vMerge w:val="restart"/>
            <w:shd w:val="clear" w:color="auto" w:fill="auto"/>
            <w:noWrap/>
            <w:hideMark/>
          </w:tcPr>
          <w:p w14:paraId="20755481"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Ризик</w:t>
            </w:r>
          </w:p>
          <w:p w14:paraId="5037A703"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рефинансирања</w:t>
            </w:r>
          </w:p>
        </w:tc>
        <w:tc>
          <w:tcPr>
            <w:tcW w:w="1930" w:type="pct"/>
            <w:shd w:val="clear" w:color="auto" w:fill="auto"/>
            <w:noWrap/>
            <w:hideMark/>
          </w:tcPr>
          <w:p w14:paraId="020F093E" w14:textId="77777777" w:rsidR="003A4FB0" w:rsidRPr="00A37BCE" w:rsidRDefault="003A4FB0" w:rsidP="004E661B">
            <w:pPr>
              <w:spacing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ATM</w:t>
            </w:r>
            <w:r w:rsidRPr="009D147F">
              <w:rPr>
                <w:rFonts w:asciiTheme="minorHAnsi" w:hAnsiTheme="minorHAnsi" w:cstheme="minorHAnsi"/>
                <w:color w:val="002060"/>
                <w:sz w:val="18"/>
                <w:szCs w:val="18"/>
                <w:vertAlign w:val="superscript"/>
                <w:lang w:val="sr-Cyrl-RS"/>
              </w:rPr>
              <w:footnoteReference w:id="25"/>
            </w:r>
            <w:r w:rsidRPr="00A37BCE">
              <w:rPr>
                <w:rFonts w:asciiTheme="minorHAnsi" w:hAnsiTheme="minorHAnsi" w:cstheme="minorHAnsi"/>
                <w:color w:val="002060"/>
                <w:sz w:val="18"/>
                <w:szCs w:val="18"/>
                <w:lang w:val="sr-Cyrl-RS"/>
              </w:rPr>
              <w:t xml:space="preserve"> спољни портфолио (у годинама)</w:t>
            </w:r>
          </w:p>
        </w:tc>
        <w:tc>
          <w:tcPr>
            <w:tcW w:w="375" w:type="pct"/>
            <w:shd w:val="clear" w:color="auto" w:fill="auto"/>
            <w:noWrap/>
            <w:hideMark/>
          </w:tcPr>
          <w:p w14:paraId="15E23943"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7,0</w:t>
            </w:r>
          </w:p>
        </w:tc>
        <w:tc>
          <w:tcPr>
            <w:tcW w:w="375" w:type="pct"/>
            <w:shd w:val="clear" w:color="auto" w:fill="auto"/>
            <w:noWrap/>
            <w:hideMark/>
          </w:tcPr>
          <w:p w14:paraId="22BB797D"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7,0</w:t>
            </w:r>
          </w:p>
        </w:tc>
        <w:tc>
          <w:tcPr>
            <w:tcW w:w="375" w:type="pct"/>
            <w:shd w:val="clear" w:color="auto" w:fill="auto"/>
            <w:noWrap/>
            <w:hideMark/>
          </w:tcPr>
          <w:p w14:paraId="0D307918"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6,8</w:t>
            </w:r>
          </w:p>
        </w:tc>
        <w:tc>
          <w:tcPr>
            <w:tcW w:w="369" w:type="pct"/>
            <w:shd w:val="clear" w:color="auto" w:fill="auto"/>
            <w:noWrap/>
            <w:hideMark/>
          </w:tcPr>
          <w:p w14:paraId="17A2488A"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7,2</w:t>
            </w:r>
          </w:p>
        </w:tc>
      </w:tr>
      <w:tr w:rsidR="003A4FB0" w:rsidRPr="00A37BCE" w14:paraId="3E09ED0F" w14:textId="77777777" w:rsidTr="004E661B">
        <w:trPr>
          <w:cnfStyle w:val="000000100000" w:firstRow="0" w:lastRow="0" w:firstColumn="0" w:lastColumn="0" w:oddVBand="0" w:evenVBand="0" w:oddHBand="1" w:evenHBand="0" w:firstRowFirstColumn="0" w:firstRowLastColumn="0" w:lastRowFirstColumn="0" w:lastRowLastColumn="0"/>
          <w:trHeight w:hRule="exact" w:val="259"/>
        </w:trPr>
        <w:tc>
          <w:tcPr>
            <w:cnfStyle w:val="001000000000" w:firstRow="0" w:lastRow="0" w:firstColumn="1" w:lastColumn="0" w:oddVBand="0" w:evenVBand="0" w:oddHBand="0" w:evenHBand="0" w:firstRowFirstColumn="0" w:firstRowLastColumn="0" w:lastRowFirstColumn="0" w:lastRowLastColumn="0"/>
            <w:tcW w:w="1576" w:type="pct"/>
            <w:vMerge/>
            <w:shd w:val="clear" w:color="auto" w:fill="auto"/>
            <w:hideMark/>
          </w:tcPr>
          <w:p w14:paraId="039E306C" w14:textId="77777777" w:rsidR="003A4FB0" w:rsidRPr="00A37BCE" w:rsidRDefault="003A4FB0" w:rsidP="004E661B">
            <w:pPr>
              <w:spacing w:line="240" w:lineRule="auto"/>
              <w:rPr>
                <w:rFonts w:asciiTheme="minorHAnsi" w:eastAsiaTheme="minorEastAsia" w:hAnsiTheme="minorHAnsi" w:cstheme="minorBidi"/>
                <w:b w:val="0"/>
                <w:bCs w:val="0"/>
                <w:color w:val="auto"/>
                <w:sz w:val="16"/>
                <w:szCs w:val="16"/>
                <w:lang w:val="sr-Cyrl-RS" w:eastAsia="ja-JP"/>
              </w:rPr>
            </w:pPr>
          </w:p>
        </w:tc>
        <w:tc>
          <w:tcPr>
            <w:tcW w:w="1930" w:type="pct"/>
            <w:shd w:val="clear" w:color="auto" w:fill="auto"/>
            <w:noWrap/>
            <w:hideMark/>
          </w:tcPr>
          <w:p w14:paraId="66B44572" w14:textId="77777777" w:rsidR="003A4FB0" w:rsidRPr="00A37BCE" w:rsidRDefault="003A4FB0" w:rsidP="004E661B">
            <w:pPr>
              <w:spacing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ATM домаћи портфолио (у годинама)</w:t>
            </w:r>
          </w:p>
        </w:tc>
        <w:tc>
          <w:tcPr>
            <w:tcW w:w="375" w:type="pct"/>
            <w:shd w:val="clear" w:color="auto" w:fill="auto"/>
            <w:noWrap/>
            <w:hideMark/>
          </w:tcPr>
          <w:p w14:paraId="2CD918AE"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5,8</w:t>
            </w:r>
          </w:p>
        </w:tc>
        <w:tc>
          <w:tcPr>
            <w:tcW w:w="375" w:type="pct"/>
            <w:shd w:val="clear" w:color="auto" w:fill="auto"/>
            <w:noWrap/>
            <w:hideMark/>
          </w:tcPr>
          <w:p w14:paraId="1F94A521"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5,4</w:t>
            </w:r>
          </w:p>
        </w:tc>
        <w:tc>
          <w:tcPr>
            <w:tcW w:w="375" w:type="pct"/>
            <w:shd w:val="clear" w:color="auto" w:fill="auto"/>
            <w:noWrap/>
            <w:hideMark/>
          </w:tcPr>
          <w:p w14:paraId="248F9544"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3,3</w:t>
            </w:r>
          </w:p>
        </w:tc>
        <w:tc>
          <w:tcPr>
            <w:tcW w:w="369" w:type="pct"/>
            <w:shd w:val="clear" w:color="auto" w:fill="auto"/>
            <w:noWrap/>
            <w:hideMark/>
          </w:tcPr>
          <w:p w14:paraId="335E26F9"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5,9</w:t>
            </w:r>
          </w:p>
        </w:tc>
      </w:tr>
      <w:tr w:rsidR="003A4FB0" w:rsidRPr="00A37BCE" w14:paraId="5B31AD2C" w14:textId="77777777" w:rsidTr="004E661B">
        <w:trPr>
          <w:trHeight w:hRule="exact" w:val="259"/>
        </w:trPr>
        <w:tc>
          <w:tcPr>
            <w:cnfStyle w:val="001000000000" w:firstRow="0" w:lastRow="0" w:firstColumn="1" w:lastColumn="0" w:oddVBand="0" w:evenVBand="0" w:oddHBand="0" w:evenHBand="0" w:firstRowFirstColumn="0" w:firstRowLastColumn="0" w:lastRowFirstColumn="0" w:lastRowLastColumn="0"/>
            <w:tcW w:w="1576" w:type="pct"/>
            <w:vMerge/>
            <w:shd w:val="clear" w:color="auto" w:fill="auto"/>
            <w:hideMark/>
          </w:tcPr>
          <w:p w14:paraId="1DD820AF"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p>
        </w:tc>
        <w:tc>
          <w:tcPr>
            <w:tcW w:w="1930" w:type="pct"/>
            <w:shd w:val="clear" w:color="auto" w:fill="auto"/>
            <w:noWrap/>
            <w:hideMark/>
          </w:tcPr>
          <w:p w14:paraId="076A90F3" w14:textId="77777777" w:rsidR="003A4FB0" w:rsidRPr="00A37BCE" w:rsidRDefault="003A4FB0" w:rsidP="004E661B">
            <w:pPr>
              <w:spacing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ATM укупан портфолио (у годинама)</w:t>
            </w:r>
          </w:p>
        </w:tc>
        <w:tc>
          <w:tcPr>
            <w:tcW w:w="375" w:type="pct"/>
            <w:shd w:val="clear" w:color="auto" w:fill="auto"/>
            <w:noWrap/>
            <w:hideMark/>
          </w:tcPr>
          <w:p w14:paraId="1E4776AC"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6,5</w:t>
            </w:r>
          </w:p>
        </w:tc>
        <w:tc>
          <w:tcPr>
            <w:tcW w:w="375" w:type="pct"/>
            <w:shd w:val="clear" w:color="auto" w:fill="auto"/>
            <w:noWrap/>
            <w:hideMark/>
          </w:tcPr>
          <w:p w14:paraId="36A06765"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6,4</w:t>
            </w:r>
          </w:p>
        </w:tc>
        <w:tc>
          <w:tcPr>
            <w:tcW w:w="375" w:type="pct"/>
            <w:shd w:val="clear" w:color="auto" w:fill="auto"/>
            <w:noWrap/>
            <w:hideMark/>
          </w:tcPr>
          <w:p w14:paraId="42AB6F66"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6,4</w:t>
            </w:r>
          </w:p>
        </w:tc>
        <w:tc>
          <w:tcPr>
            <w:tcW w:w="369" w:type="pct"/>
            <w:shd w:val="clear" w:color="auto" w:fill="auto"/>
            <w:noWrap/>
            <w:hideMark/>
          </w:tcPr>
          <w:p w14:paraId="45DD7080"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6,5</w:t>
            </w:r>
          </w:p>
        </w:tc>
      </w:tr>
      <w:tr w:rsidR="003A4FB0" w:rsidRPr="00A37BCE" w14:paraId="17478001" w14:textId="77777777" w:rsidTr="004E661B">
        <w:trPr>
          <w:cnfStyle w:val="000000100000" w:firstRow="0" w:lastRow="0" w:firstColumn="0" w:lastColumn="0" w:oddVBand="0" w:evenVBand="0" w:oddHBand="1" w:evenHBand="0" w:firstRowFirstColumn="0" w:firstRowLastColumn="0" w:lastRowFirstColumn="0" w:lastRowLastColumn="0"/>
          <w:trHeight w:hRule="exact" w:val="259"/>
        </w:trPr>
        <w:tc>
          <w:tcPr>
            <w:cnfStyle w:val="001000000000" w:firstRow="0" w:lastRow="0" w:firstColumn="1" w:lastColumn="0" w:oddVBand="0" w:evenVBand="0" w:oddHBand="0" w:evenHBand="0" w:firstRowFirstColumn="0" w:firstRowLastColumn="0" w:lastRowFirstColumn="0" w:lastRowLastColumn="0"/>
            <w:tcW w:w="1576" w:type="pct"/>
            <w:vMerge w:val="restart"/>
            <w:shd w:val="clear" w:color="auto" w:fill="auto"/>
            <w:noWrap/>
            <w:hideMark/>
          </w:tcPr>
          <w:p w14:paraId="1BCD668D"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Ризик каматних стопа</w:t>
            </w:r>
          </w:p>
        </w:tc>
        <w:tc>
          <w:tcPr>
            <w:tcW w:w="1930" w:type="pct"/>
            <w:shd w:val="clear" w:color="auto" w:fill="auto"/>
            <w:noWrap/>
            <w:hideMark/>
          </w:tcPr>
          <w:p w14:paraId="31E3E27A" w14:textId="77777777" w:rsidR="003A4FB0" w:rsidRPr="00A37BCE" w:rsidRDefault="003A4FB0" w:rsidP="004E661B">
            <w:pPr>
              <w:spacing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АТR</w:t>
            </w:r>
            <w:r w:rsidRPr="009D147F">
              <w:rPr>
                <w:rFonts w:asciiTheme="minorHAnsi" w:hAnsiTheme="minorHAnsi" w:cstheme="minorHAnsi"/>
                <w:bCs/>
                <w:color w:val="002060"/>
                <w:sz w:val="18"/>
                <w:szCs w:val="18"/>
                <w:vertAlign w:val="superscript"/>
                <w:lang w:val="sr-Cyrl-RS"/>
              </w:rPr>
              <w:footnoteReference w:id="26"/>
            </w:r>
            <w:r w:rsidRPr="00A37BCE">
              <w:rPr>
                <w:rFonts w:asciiTheme="minorHAnsi" w:hAnsiTheme="minorHAnsi" w:cstheme="minorHAnsi"/>
                <w:bCs/>
                <w:color w:val="002060"/>
                <w:sz w:val="18"/>
                <w:szCs w:val="18"/>
                <w:lang w:val="sr-Cyrl-RS"/>
              </w:rPr>
              <w:t xml:space="preserve"> (у годинама)</w:t>
            </w:r>
          </w:p>
        </w:tc>
        <w:tc>
          <w:tcPr>
            <w:tcW w:w="375" w:type="pct"/>
            <w:shd w:val="clear" w:color="auto" w:fill="auto"/>
            <w:noWrap/>
            <w:hideMark/>
          </w:tcPr>
          <w:p w14:paraId="0E741F17"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5,7</w:t>
            </w:r>
          </w:p>
        </w:tc>
        <w:tc>
          <w:tcPr>
            <w:tcW w:w="375" w:type="pct"/>
            <w:shd w:val="clear" w:color="auto" w:fill="auto"/>
            <w:noWrap/>
            <w:hideMark/>
          </w:tcPr>
          <w:p w14:paraId="17D974BF"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5,9</w:t>
            </w:r>
          </w:p>
        </w:tc>
        <w:tc>
          <w:tcPr>
            <w:tcW w:w="375" w:type="pct"/>
            <w:shd w:val="clear" w:color="auto" w:fill="auto"/>
            <w:noWrap/>
            <w:hideMark/>
          </w:tcPr>
          <w:p w14:paraId="0C60907E"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5,8</w:t>
            </w:r>
          </w:p>
        </w:tc>
        <w:tc>
          <w:tcPr>
            <w:tcW w:w="369" w:type="pct"/>
            <w:shd w:val="clear" w:color="auto" w:fill="auto"/>
            <w:noWrap/>
            <w:hideMark/>
          </w:tcPr>
          <w:p w14:paraId="6F93E1BA"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5,9</w:t>
            </w:r>
          </w:p>
        </w:tc>
      </w:tr>
      <w:tr w:rsidR="003A4FB0" w:rsidRPr="00A37BCE" w14:paraId="58C28154" w14:textId="77777777" w:rsidTr="004E661B">
        <w:trPr>
          <w:trHeight w:hRule="exact" w:val="259"/>
        </w:trPr>
        <w:tc>
          <w:tcPr>
            <w:cnfStyle w:val="001000000000" w:firstRow="0" w:lastRow="0" w:firstColumn="1" w:lastColumn="0" w:oddVBand="0" w:evenVBand="0" w:oddHBand="0" w:evenHBand="0" w:firstRowFirstColumn="0" w:firstRowLastColumn="0" w:lastRowFirstColumn="0" w:lastRowLastColumn="0"/>
            <w:tcW w:w="1576" w:type="pct"/>
            <w:vMerge/>
            <w:shd w:val="clear" w:color="auto" w:fill="auto"/>
            <w:hideMark/>
          </w:tcPr>
          <w:p w14:paraId="2D065B57"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p>
        </w:tc>
        <w:tc>
          <w:tcPr>
            <w:tcW w:w="1930" w:type="pct"/>
            <w:shd w:val="clear" w:color="auto" w:fill="auto"/>
            <w:noWrap/>
            <w:hideMark/>
          </w:tcPr>
          <w:p w14:paraId="67EADC30" w14:textId="77777777" w:rsidR="003A4FB0" w:rsidRPr="00A37BCE" w:rsidRDefault="003A4FB0" w:rsidP="004E661B">
            <w:pPr>
              <w:spacing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Рефиксирање (% укупног дуга)</w:t>
            </w:r>
          </w:p>
        </w:tc>
        <w:tc>
          <w:tcPr>
            <w:tcW w:w="375" w:type="pct"/>
            <w:shd w:val="clear" w:color="auto" w:fill="auto"/>
            <w:noWrap/>
            <w:hideMark/>
          </w:tcPr>
          <w:p w14:paraId="380E177F"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18,3</w:t>
            </w:r>
          </w:p>
        </w:tc>
        <w:tc>
          <w:tcPr>
            <w:tcW w:w="375" w:type="pct"/>
            <w:shd w:val="clear" w:color="auto" w:fill="auto"/>
            <w:noWrap/>
            <w:hideMark/>
          </w:tcPr>
          <w:p w14:paraId="0FA838DC"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16,9</w:t>
            </w:r>
          </w:p>
        </w:tc>
        <w:tc>
          <w:tcPr>
            <w:tcW w:w="375" w:type="pct"/>
            <w:shd w:val="clear" w:color="auto" w:fill="auto"/>
            <w:noWrap/>
            <w:hideMark/>
          </w:tcPr>
          <w:p w14:paraId="4399FB9B"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15,5</w:t>
            </w:r>
          </w:p>
        </w:tc>
        <w:tc>
          <w:tcPr>
            <w:tcW w:w="369" w:type="pct"/>
            <w:shd w:val="clear" w:color="auto" w:fill="auto"/>
            <w:noWrap/>
            <w:hideMark/>
          </w:tcPr>
          <w:p w14:paraId="05563F2E"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18,2</w:t>
            </w:r>
          </w:p>
        </w:tc>
      </w:tr>
      <w:tr w:rsidR="003A4FB0" w:rsidRPr="00A37BCE" w14:paraId="78ED7C1C" w14:textId="77777777" w:rsidTr="000F58B5">
        <w:trPr>
          <w:cnfStyle w:val="000000100000" w:firstRow="0" w:lastRow="0" w:firstColumn="0" w:lastColumn="0" w:oddVBand="0" w:evenVBand="0" w:oddHBand="1" w:evenHBand="0" w:firstRowFirstColumn="0" w:firstRowLastColumn="0" w:lastRowFirstColumn="0" w:lastRowLastColumn="0"/>
          <w:trHeight w:hRule="exact" w:val="259"/>
        </w:trPr>
        <w:tc>
          <w:tcPr>
            <w:cnfStyle w:val="001000000000" w:firstRow="0" w:lastRow="0" w:firstColumn="1" w:lastColumn="0" w:oddVBand="0" w:evenVBand="0" w:oddHBand="0" w:evenHBand="0" w:firstRowFirstColumn="0" w:firstRowLastColumn="0" w:lastRowFirstColumn="0" w:lastRowLastColumn="0"/>
            <w:tcW w:w="1576" w:type="pct"/>
            <w:vMerge/>
            <w:tcBorders>
              <w:bottom w:val="nil"/>
            </w:tcBorders>
            <w:shd w:val="clear" w:color="auto" w:fill="auto"/>
            <w:hideMark/>
          </w:tcPr>
          <w:p w14:paraId="38E86781"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p>
        </w:tc>
        <w:tc>
          <w:tcPr>
            <w:tcW w:w="1930" w:type="pct"/>
            <w:tcBorders>
              <w:bottom w:val="nil"/>
            </w:tcBorders>
            <w:shd w:val="clear" w:color="auto" w:fill="auto"/>
            <w:noWrap/>
            <w:hideMark/>
          </w:tcPr>
          <w:p w14:paraId="46D7A098" w14:textId="77777777" w:rsidR="003A4FB0" w:rsidRPr="00A37BCE" w:rsidRDefault="003A4FB0" w:rsidP="004E661B">
            <w:pPr>
              <w:spacing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Дуг по фиксним стопама (% укупног дуга)</w:t>
            </w:r>
          </w:p>
        </w:tc>
        <w:tc>
          <w:tcPr>
            <w:tcW w:w="375" w:type="pct"/>
            <w:tcBorders>
              <w:bottom w:val="nil"/>
            </w:tcBorders>
            <w:shd w:val="clear" w:color="auto" w:fill="auto"/>
            <w:noWrap/>
            <w:hideMark/>
          </w:tcPr>
          <w:p w14:paraId="5938D42A"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88,2</w:t>
            </w:r>
          </w:p>
        </w:tc>
        <w:tc>
          <w:tcPr>
            <w:tcW w:w="375" w:type="pct"/>
            <w:tcBorders>
              <w:bottom w:val="nil"/>
            </w:tcBorders>
            <w:shd w:val="clear" w:color="auto" w:fill="auto"/>
            <w:noWrap/>
            <w:hideMark/>
          </w:tcPr>
          <w:p w14:paraId="74302D24"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90,4</w:t>
            </w:r>
          </w:p>
        </w:tc>
        <w:tc>
          <w:tcPr>
            <w:tcW w:w="375" w:type="pct"/>
            <w:tcBorders>
              <w:bottom w:val="nil"/>
            </w:tcBorders>
            <w:shd w:val="clear" w:color="auto" w:fill="auto"/>
            <w:noWrap/>
            <w:hideMark/>
          </w:tcPr>
          <w:p w14:paraId="7740AEC4"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90,4</w:t>
            </w:r>
          </w:p>
        </w:tc>
        <w:tc>
          <w:tcPr>
            <w:tcW w:w="369" w:type="pct"/>
            <w:tcBorders>
              <w:bottom w:val="nil"/>
            </w:tcBorders>
            <w:shd w:val="clear" w:color="auto" w:fill="auto"/>
            <w:noWrap/>
            <w:hideMark/>
          </w:tcPr>
          <w:p w14:paraId="077D9C9A" w14:textId="77777777" w:rsidR="003A4FB0" w:rsidRPr="00A37BCE" w:rsidRDefault="003A4FB0" w:rsidP="004E661B">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90,5</w:t>
            </w:r>
          </w:p>
        </w:tc>
      </w:tr>
      <w:tr w:rsidR="003A4FB0" w:rsidRPr="00A37BCE" w14:paraId="21EFDA29" w14:textId="77777777" w:rsidTr="000F58B5">
        <w:trPr>
          <w:trHeight w:hRule="exact" w:val="259"/>
        </w:trPr>
        <w:tc>
          <w:tcPr>
            <w:cnfStyle w:val="001000000000" w:firstRow="0" w:lastRow="0" w:firstColumn="1" w:lastColumn="0" w:oddVBand="0" w:evenVBand="0" w:oddHBand="0" w:evenHBand="0" w:firstRowFirstColumn="0" w:firstRowLastColumn="0" w:lastRowFirstColumn="0" w:lastRowLastColumn="0"/>
            <w:tcW w:w="1576" w:type="pct"/>
            <w:tcBorders>
              <w:top w:val="nil"/>
              <w:bottom w:val="single" w:sz="4" w:space="0" w:color="002060"/>
            </w:tcBorders>
            <w:shd w:val="clear" w:color="auto" w:fill="auto"/>
            <w:noWrap/>
            <w:hideMark/>
          </w:tcPr>
          <w:p w14:paraId="49BF38E7" w14:textId="77777777" w:rsidR="003A4FB0" w:rsidRPr="00A37BCE" w:rsidRDefault="003A4FB0" w:rsidP="004E661B">
            <w:pPr>
              <w:spacing w:line="240" w:lineRule="auto"/>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Ризик девизног курса</w:t>
            </w:r>
          </w:p>
        </w:tc>
        <w:tc>
          <w:tcPr>
            <w:tcW w:w="1930" w:type="pct"/>
            <w:tcBorders>
              <w:top w:val="nil"/>
              <w:bottom w:val="single" w:sz="4" w:space="0" w:color="002060"/>
            </w:tcBorders>
            <w:shd w:val="clear" w:color="auto" w:fill="auto"/>
            <w:noWrap/>
            <w:hideMark/>
          </w:tcPr>
          <w:p w14:paraId="47F6E423" w14:textId="77777777" w:rsidR="003A4FB0" w:rsidRPr="00A37BCE" w:rsidRDefault="003A4FB0" w:rsidP="004E661B">
            <w:pPr>
              <w:spacing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Ино-валутни дуг (% укупног дуга)</w:t>
            </w:r>
          </w:p>
        </w:tc>
        <w:tc>
          <w:tcPr>
            <w:tcW w:w="375" w:type="pct"/>
            <w:tcBorders>
              <w:top w:val="nil"/>
              <w:bottom w:val="single" w:sz="4" w:space="0" w:color="002060"/>
            </w:tcBorders>
            <w:shd w:val="clear" w:color="auto" w:fill="auto"/>
            <w:noWrap/>
            <w:hideMark/>
          </w:tcPr>
          <w:p w14:paraId="659AF3F8"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54,9</w:t>
            </w:r>
          </w:p>
        </w:tc>
        <w:tc>
          <w:tcPr>
            <w:tcW w:w="375" w:type="pct"/>
            <w:tcBorders>
              <w:top w:val="nil"/>
              <w:bottom w:val="single" w:sz="4" w:space="0" w:color="002060"/>
            </w:tcBorders>
            <w:shd w:val="clear" w:color="auto" w:fill="auto"/>
            <w:noWrap/>
            <w:hideMark/>
          </w:tcPr>
          <w:p w14:paraId="048E6875"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64,0</w:t>
            </w:r>
          </w:p>
        </w:tc>
        <w:tc>
          <w:tcPr>
            <w:tcW w:w="375" w:type="pct"/>
            <w:tcBorders>
              <w:top w:val="nil"/>
              <w:bottom w:val="single" w:sz="4" w:space="0" w:color="002060"/>
            </w:tcBorders>
            <w:shd w:val="clear" w:color="auto" w:fill="auto"/>
            <w:noWrap/>
            <w:hideMark/>
          </w:tcPr>
          <w:p w14:paraId="664A118A"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86,6</w:t>
            </w:r>
          </w:p>
        </w:tc>
        <w:tc>
          <w:tcPr>
            <w:tcW w:w="369" w:type="pct"/>
            <w:tcBorders>
              <w:top w:val="nil"/>
              <w:bottom w:val="single" w:sz="4" w:space="0" w:color="002060"/>
            </w:tcBorders>
            <w:shd w:val="clear" w:color="auto" w:fill="auto"/>
            <w:noWrap/>
            <w:hideMark/>
          </w:tcPr>
          <w:p w14:paraId="428FCE73" w14:textId="77777777" w:rsidR="003A4FB0" w:rsidRPr="00A37BCE" w:rsidRDefault="003A4FB0" w:rsidP="004E661B">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A37BCE">
              <w:rPr>
                <w:rFonts w:asciiTheme="minorHAnsi" w:hAnsiTheme="minorHAnsi" w:cstheme="minorHAnsi"/>
                <w:color w:val="002060"/>
                <w:sz w:val="18"/>
                <w:szCs w:val="18"/>
                <w:lang w:val="sr-Cyrl-RS"/>
              </w:rPr>
              <w:t>41,0</w:t>
            </w:r>
          </w:p>
        </w:tc>
      </w:tr>
    </w:tbl>
    <w:p w14:paraId="09911C35" w14:textId="77777777" w:rsidR="003A4FB0" w:rsidRPr="00A37BCE" w:rsidRDefault="003A4FB0" w:rsidP="003A4FB0">
      <w:pPr>
        <w:spacing w:line="276" w:lineRule="auto"/>
        <w:jc w:val="both"/>
        <w:rPr>
          <w:rFonts w:cstheme="minorHAnsi"/>
          <w:bCs/>
          <w:color w:val="44546A" w:themeColor="text2"/>
          <w:sz w:val="16"/>
          <w:szCs w:val="72"/>
          <w:lang w:val="sr-Cyrl-RS"/>
        </w:rPr>
      </w:pPr>
      <w:r w:rsidRPr="00A37BCE">
        <w:rPr>
          <w:rFonts w:cstheme="minorHAnsi"/>
          <w:bCs/>
          <w:color w:val="44546A" w:themeColor="text2"/>
          <w:sz w:val="16"/>
          <w:szCs w:val="72"/>
          <w:lang w:val="sr-Cyrl-RS"/>
        </w:rPr>
        <w:t>* Примењена дисконтна стопа одражава гранични трошак задуживања Републике Србије на финансијском тржишту</w:t>
      </w:r>
    </w:p>
    <w:p w14:paraId="1EF3D168" w14:textId="77777777" w:rsidR="003A4FB0" w:rsidRPr="00A37BCE" w:rsidRDefault="003A4FB0" w:rsidP="003A4FB0">
      <w:pPr>
        <w:jc w:val="both"/>
        <w:rPr>
          <w:rFonts w:ascii="Cambria" w:hAnsi="Cambria"/>
          <w:b/>
          <w:i/>
          <w:color w:val="FF0000"/>
          <w:lang w:val="sr-Cyrl-RS"/>
        </w:rPr>
        <w:sectPr w:rsidR="003A4FB0" w:rsidRPr="00A37BCE" w:rsidSect="004E661B">
          <w:type w:val="continuous"/>
          <w:pgSz w:w="12240" w:h="15840"/>
          <w:pgMar w:top="1440" w:right="1440" w:bottom="1440" w:left="1440" w:header="720" w:footer="720" w:gutter="0"/>
          <w:cols w:space="720"/>
          <w:docGrid w:linePitch="360"/>
        </w:sectPr>
      </w:pPr>
    </w:p>
    <w:p w14:paraId="0AB54672" w14:textId="77777777" w:rsidR="003A4FB0" w:rsidRPr="00A37BCE" w:rsidRDefault="003A4FB0" w:rsidP="003A4FB0">
      <w:pPr>
        <w:jc w:val="both"/>
        <w:rPr>
          <w:b/>
          <w:color w:val="2F5496" w:themeColor="accent1" w:themeShade="BF"/>
          <w:lang w:val="sr-Cyrl-RS"/>
        </w:rPr>
      </w:pPr>
      <w:r w:rsidRPr="00A37BCE">
        <w:rPr>
          <w:b/>
          <w:color w:val="2F5496" w:themeColor="accent1" w:themeShade="BF"/>
          <w:lang w:val="sr-Cyrl-RS"/>
        </w:rPr>
        <w:lastRenderedPageBreak/>
        <w:t>Стрес-тест анализа</w:t>
      </w:r>
    </w:p>
    <w:p w14:paraId="675C37B6" w14:textId="1D1A8951" w:rsidR="003A4FB0" w:rsidRPr="00FF289A" w:rsidRDefault="003A4FB0" w:rsidP="003A4FB0">
      <w:pPr>
        <w:spacing w:line="276" w:lineRule="auto"/>
        <w:jc w:val="both"/>
        <w:rPr>
          <w:rFonts w:cstheme="minorHAnsi"/>
          <w:bCs/>
          <w:color w:val="44546A" w:themeColor="text2"/>
          <w:spacing w:val="-4"/>
          <w:sz w:val="20"/>
          <w:szCs w:val="72"/>
          <w:lang w:val="sr-Cyrl-RS"/>
        </w:rPr>
      </w:pPr>
      <w:r w:rsidRPr="00FF289A">
        <w:rPr>
          <w:rFonts w:cstheme="minorHAnsi"/>
          <w:bCs/>
          <w:color w:val="44546A" w:themeColor="text2"/>
          <w:spacing w:val="-4"/>
          <w:sz w:val="20"/>
          <w:szCs w:val="72"/>
          <w:lang w:val="sr-Cyrl-RS"/>
        </w:rPr>
        <w:t>Фискално правило, дефинисано Законом о буџетском систему, прописује обавезу да јавни дуг општег нивоа државе не може бити већи од 45% БДП. У случају да износ дуга пређе тај ниво, Влада је дужна да донесе програм за смањење јавног дуга у односу на БДП, тј. за</w:t>
      </w:r>
      <w:r w:rsidR="00D82D2A" w:rsidRPr="00FF289A">
        <w:rPr>
          <w:rFonts w:cstheme="minorHAnsi"/>
          <w:bCs/>
          <w:color w:val="44546A" w:themeColor="text2"/>
          <w:spacing w:val="-4"/>
          <w:sz w:val="20"/>
          <w:szCs w:val="72"/>
          <w:lang w:val="sr-Cyrl-RS"/>
        </w:rPr>
        <w:t xml:space="preserve"> враћање дуга у законски оквир.</w:t>
      </w:r>
    </w:p>
    <w:p w14:paraId="57D23914" w14:textId="0C437724" w:rsidR="003A4FB0" w:rsidRDefault="003A4FB0" w:rsidP="003A4FB0">
      <w:pPr>
        <w:spacing w:line="276" w:lineRule="auto"/>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На крају 2017. године стање дуга централног нивоа власти достигло је 57,9% БДП, а опште државе 58,7% БДП. Рацио јавни дуг/БДП централног нивоа власти на крају септембра 2018. године износио је 55,9% БДП, а опште државе 56,7 %. Очекује се даљи пад рација до краја 2018. године на ниво од око 53,6% БДП на централном нивоу, односно 54,4% БДП на нивоу опште државе.</w:t>
      </w:r>
    </w:p>
    <w:p w14:paraId="133E4818" w14:textId="77777777" w:rsidR="00F757A5" w:rsidRPr="00A37BCE" w:rsidRDefault="00F757A5" w:rsidP="003A4FB0">
      <w:pPr>
        <w:spacing w:line="276" w:lineRule="auto"/>
        <w:jc w:val="both"/>
        <w:rPr>
          <w:rFonts w:cstheme="minorHAnsi"/>
          <w:bCs/>
          <w:color w:val="44546A" w:themeColor="text2"/>
          <w:sz w:val="20"/>
          <w:szCs w:val="72"/>
          <w:lang w:val="sr-Cyrl-RS"/>
        </w:rPr>
      </w:pPr>
    </w:p>
    <w:p w14:paraId="36E486B0" w14:textId="2FFB556C" w:rsidR="003A4FB0" w:rsidRPr="00A37BCE" w:rsidRDefault="003A4FB0" w:rsidP="003A4FB0">
      <w:pPr>
        <w:spacing w:line="276" w:lineRule="auto"/>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lastRenderedPageBreak/>
        <w:t>Због високог учешћа дуга деноминованог у страној валути (74,2%), евидентно је да ће девизни ризик детерминисати понашање рација јавни дуг/БДП у наредном периоду и битно условљавати успех мера фискалне политике на консолидацији јавних финансија и смањењу учешћа јавног дуга у БДП.</w:t>
      </w:r>
    </w:p>
    <w:p w14:paraId="780FE048" w14:textId="5F234156" w:rsidR="003A4FB0" w:rsidRPr="00A37BCE" w:rsidRDefault="003A4FB0" w:rsidP="003A4FB0">
      <w:pPr>
        <w:spacing w:line="276" w:lineRule="auto"/>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На основу планираног макроекономског оквира, а у случају изостанка утицаја могућих ризика (првенствено девизног ризика), јавни дуг централног нивоа власти, би до 2021. године требало</w:t>
      </w:r>
      <w:r w:rsidR="00D82D2A">
        <w:rPr>
          <w:rFonts w:cstheme="minorHAnsi"/>
          <w:bCs/>
          <w:color w:val="44546A" w:themeColor="text2"/>
          <w:sz w:val="20"/>
          <w:szCs w:val="72"/>
          <w:lang w:val="sr-Cyrl-RS"/>
        </w:rPr>
        <w:t xml:space="preserve"> да буде на нивоу од 45,7% БДП.</w:t>
      </w:r>
    </w:p>
    <w:p w14:paraId="15671635" w14:textId="2C16C841" w:rsidR="003A4FB0" w:rsidRPr="00A37BCE" w:rsidRDefault="003A4FB0" w:rsidP="003A4FB0">
      <w:pPr>
        <w:spacing w:line="276" w:lineRule="auto"/>
        <w:jc w:val="both"/>
        <w:rPr>
          <w:rFonts w:cstheme="minorHAnsi"/>
          <w:bCs/>
          <w:color w:val="44546A" w:themeColor="text2"/>
          <w:sz w:val="20"/>
          <w:szCs w:val="72"/>
          <w:lang w:val="sr-Cyrl-RS"/>
        </w:rPr>
        <w:sectPr w:rsidR="003A4FB0" w:rsidRPr="00A37BCE" w:rsidSect="004E661B">
          <w:type w:val="continuous"/>
          <w:pgSz w:w="12240" w:h="15840"/>
          <w:pgMar w:top="1440" w:right="1440" w:bottom="1440" w:left="1440" w:header="720" w:footer="720" w:gutter="0"/>
          <w:cols w:num="2" w:space="720"/>
          <w:docGrid w:linePitch="360"/>
        </w:sectPr>
      </w:pPr>
      <w:r w:rsidRPr="00A37BCE">
        <w:rPr>
          <w:rFonts w:cstheme="minorHAnsi"/>
          <w:bCs/>
          <w:color w:val="44546A" w:themeColor="text2"/>
          <w:sz w:val="20"/>
          <w:szCs w:val="72"/>
          <w:lang w:val="sr-Cyrl-RS"/>
        </w:rPr>
        <w:t xml:space="preserve">Основни фактори који утичу на стабилизацију рација јавни дуг/БДП су раст БДП, примарни резултат, курс динара према ино-валутама и висина камата. Планираним мерама фискалне политике очекује се примарни суфицит, па је тиме основни фактор раста дуга умањен, те се при </w:t>
      </w:r>
      <w:r w:rsidRPr="00A37BCE">
        <w:rPr>
          <w:rFonts w:cstheme="minorHAnsi"/>
          <w:bCs/>
          <w:color w:val="44546A" w:themeColor="text2"/>
          <w:sz w:val="20"/>
          <w:szCs w:val="72"/>
          <w:lang w:val="sr-Cyrl-RS"/>
        </w:rPr>
        <w:lastRenderedPageBreak/>
        <w:t xml:space="preserve">оваквим околностима очекује константан пад јавног дуга. </w:t>
      </w:r>
    </w:p>
    <w:p w14:paraId="55AA4C0B" w14:textId="2376D9C2" w:rsidR="003A4FB0" w:rsidRPr="00A37BCE" w:rsidRDefault="003A4FB0" w:rsidP="003A4FB0">
      <w:pPr>
        <w:jc w:val="center"/>
        <w:rPr>
          <w:b/>
          <w:color w:val="002060"/>
          <w:sz w:val="20"/>
          <w:lang w:val="sr-Cyrl-RS"/>
        </w:rPr>
      </w:pPr>
      <w:r w:rsidRPr="00A37BCE">
        <w:rPr>
          <w:b/>
          <w:color w:val="002060"/>
          <w:sz w:val="20"/>
          <w:lang w:val="sr-Cyrl-RS"/>
        </w:rPr>
        <w:lastRenderedPageBreak/>
        <w:t xml:space="preserve">Табела </w:t>
      </w:r>
      <w:r w:rsidR="005B01D9" w:rsidRPr="00A37BCE">
        <w:rPr>
          <w:b/>
          <w:color w:val="002060"/>
          <w:sz w:val="20"/>
          <w:lang w:val="sr-Cyrl-RS"/>
        </w:rPr>
        <w:t>31</w:t>
      </w:r>
      <w:r w:rsidRPr="00A37BCE">
        <w:rPr>
          <w:b/>
          <w:color w:val="002060"/>
          <w:sz w:val="20"/>
          <w:lang w:val="sr-Cyrl-RS"/>
        </w:rPr>
        <w:t>. Доприноси основних макроекономских варијабли на промену рација јавни дуг (централног нивоа државе) – БДП, у %</w:t>
      </w:r>
    </w:p>
    <w:tbl>
      <w:tblPr>
        <w:tblStyle w:val="LightShading-Accent12"/>
        <w:tblW w:w="5000" w:type="pct"/>
        <w:tblLayout w:type="fixed"/>
        <w:tblLook w:val="0420" w:firstRow="1" w:lastRow="0" w:firstColumn="0" w:lastColumn="0" w:noHBand="0" w:noVBand="1"/>
      </w:tblPr>
      <w:tblGrid>
        <w:gridCol w:w="3822"/>
        <w:gridCol w:w="923"/>
        <w:gridCol w:w="923"/>
        <w:gridCol w:w="923"/>
        <w:gridCol w:w="925"/>
        <w:gridCol w:w="923"/>
        <w:gridCol w:w="921"/>
      </w:tblGrid>
      <w:tr w:rsidR="003A4FB0" w:rsidRPr="00A37BCE" w14:paraId="07CA2BA6" w14:textId="77777777" w:rsidTr="00C0023B">
        <w:trPr>
          <w:cnfStyle w:val="100000000000" w:firstRow="1" w:lastRow="0" w:firstColumn="0" w:lastColumn="0" w:oddVBand="0" w:evenVBand="0" w:oddHBand="0" w:evenHBand="0" w:firstRowFirstColumn="0" w:firstRowLastColumn="0" w:lastRowFirstColumn="0" w:lastRowLastColumn="0"/>
          <w:trHeight w:val="196"/>
        </w:trPr>
        <w:tc>
          <w:tcPr>
            <w:tcW w:w="2042" w:type="pct"/>
            <w:tcBorders>
              <w:top w:val="single" w:sz="4" w:space="0" w:color="002060"/>
              <w:bottom w:val="single" w:sz="8" w:space="0" w:color="FFFFFF" w:themeColor="background1"/>
            </w:tcBorders>
            <w:shd w:val="clear" w:color="auto" w:fill="auto"/>
            <w:noWrap/>
            <w:hideMark/>
          </w:tcPr>
          <w:p w14:paraId="01342A00" w14:textId="77777777" w:rsidR="003A4FB0" w:rsidRPr="00A37BCE" w:rsidRDefault="003A4FB0" w:rsidP="004E661B">
            <w:pPr>
              <w:jc w:val="center"/>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 </w:t>
            </w:r>
          </w:p>
        </w:tc>
        <w:tc>
          <w:tcPr>
            <w:tcW w:w="493" w:type="pct"/>
            <w:tcBorders>
              <w:top w:val="single" w:sz="4" w:space="0" w:color="002060"/>
              <w:bottom w:val="single" w:sz="4" w:space="0" w:color="002060"/>
            </w:tcBorders>
            <w:shd w:val="clear" w:color="auto" w:fill="auto"/>
          </w:tcPr>
          <w:p w14:paraId="493BF9F9" w14:textId="77777777" w:rsidR="003A4FB0" w:rsidRPr="00A37BCE" w:rsidRDefault="003A4FB0" w:rsidP="004E661B">
            <w:pPr>
              <w:jc w:val="center"/>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2016</w:t>
            </w:r>
          </w:p>
        </w:tc>
        <w:tc>
          <w:tcPr>
            <w:tcW w:w="493" w:type="pct"/>
            <w:tcBorders>
              <w:top w:val="single" w:sz="4" w:space="0" w:color="002060"/>
              <w:bottom w:val="single" w:sz="4" w:space="0" w:color="002060"/>
            </w:tcBorders>
            <w:shd w:val="clear" w:color="auto" w:fill="auto"/>
          </w:tcPr>
          <w:p w14:paraId="1CF1933C" w14:textId="77777777" w:rsidR="003A4FB0" w:rsidRPr="00A37BCE" w:rsidRDefault="003A4FB0" w:rsidP="004E661B">
            <w:pPr>
              <w:jc w:val="center"/>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2017</w:t>
            </w:r>
          </w:p>
        </w:tc>
        <w:tc>
          <w:tcPr>
            <w:tcW w:w="493" w:type="pct"/>
            <w:tcBorders>
              <w:top w:val="single" w:sz="4" w:space="0" w:color="002060"/>
              <w:bottom w:val="single" w:sz="4" w:space="0" w:color="002060"/>
            </w:tcBorders>
            <w:shd w:val="clear" w:color="auto" w:fill="auto"/>
            <w:noWrap/>
            <w:hideMark/>
          </w:tcPr>
          <w:p w14:paraId="7AAA3890" w14:textId="0D90AD82" w:rsidR="003A4FB0" w:rsidRPr="00A37BCE" w:rsidRDefault="003A4FB0" w:rsidP="004E661B">
            <w:pPr>
              <w:jc w:val="center"/>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2018</w:t>
            </w:r>
            <w:r w:rsidR="00C0023B">
              <w:rPr>
                <w:rFonts w:asciiTheme="minorHAnsi" w:hAnsiTheme="minorHAnsi" w:cstheme="minorHAnsi"/>
                <w:b w:val="0"/>
                <w:color w:val="002060"/>
                <w:sz w:val="18"/>
                <w:szCs w:val="18"/>
                <w:lang w:val="sr-Cyrl-RS"/>
              </w:rPr>
              <w:t xml:space="preserve"> </w:t>
            </w:r>
            <w:r w:rsidRPr="00A37BCE">
              <w:rPr>
                <w:rFonts w:asciiTheme="minorHAnsi" w:hAnsiTheme="minorHAnsi" w:cstheme="minorHAnsi"/>
                <w:b w:val="0"/>
                <w:color w:val="002060"/>
                <w:sz w:val="18"/>
                <w:szCs w:val="18"/>
                <w:lang w:val="sr-Cyrl-RS"/>
              </w:rPr>
              <w:t>п</w:t>
            </w:r>
          </w:p>
        </w:tc>
        <w:tc>
          <w:tcPr>
            <w:tcW w:w="494" w:type="pct"/>
            <w:tcBorders>
              <w:top w:val="single" w:sz="4" w:space="0" w:color="002060"/>
              <w:bottom w:val="single" w:sz="4" w:space="0" w:color="002060"/>
            </w:tcBorders>
            <w:shd w:val="clear" w:color="auto" w:fill="auto"/>
            <w:noWrap/>
            <w:hideMark/>
          </w:tcPr>
          <w:p w14:paraId="6F48EF5C" w14:textId="4B6FA679" w:rsidR="003A4FB0" w:rsidRPr="00A37BCE" w:rsidRDefault="003A4FB0" w:rsidP="004E661B">
            <w:pPr>
              <w:jc w:val="center"/>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2019</w:t>
            </w:r>
            <w:r w:rsidR="00C0023B">
              <w:rPr>
                <w:rFonts w:asciiTheme="minorHAnsi" w:hAnsiTheme="minorHAnsi" w:cstheme="minorHAnsi"/>
                <w:b w:val="0"/>
                <w:color w:val="002060"/>
                <w:sz w:val="18"/>
                <w:szCs w:val="18"/>
                <w:lang w:val="sr-Cyrl-RS"/>
              </w:rPr>
              <w:t xml:space="preserve"> </w:t>
            </w:r>
            <w:r w:rsidRPr="00A37BCE">
              <w:rPr>
                <w:rFonts w:asciiTheme="minorHAnsi" w:hAnsiTheme="minorHAnsi" w:cstheme="minorHAnsi"/>
                <w:b w:val="0"/>
                <w:color w:val="002060"/>
                <w:sz w:val="18"/>
                <w:szCs w:val="18"/>
                <w:lang w:val="sr-Cyrl-RS"/>
              </w:rPr>
              <w:t>п</w:t>
            </w:r>
          </w:p>
        </w:tc>
        <w:tc>
          <w:tcPr>
            <w:tcW w:w="493" w:type="pct"/>
            <w:tcBorders>
              <w:top w:val="single" w:sz="4" w:space="0" w:color="002060"/>
              <w:bottom w:val="single" w:sz="4" w:space="0" w:color="002060"/>
            </w:tcBorders>
            <w:shd w:val="clear" w:color="auto" w:fill="auto"/>
            <w:noWrap/>
            <w:hideMark/>
          </w:tcPr>
          <w:p w14:paraId="5C1390C9" w14:textId="3B005005" w:rsidR="003A4FB0" w:rsidRPr="00A37BCE" w:rsidRDefault="003A4FB0" w:rsidP="004E661B">
            <w:pPr>
              <w:jc w:val="center"/>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2020</w:t>
            </w:r>
            <w:r w:rsidR="00C0023B">
              <w:rPr>
                <w:rFonts w:asciiTheme="minorHAnsi" w:hAnsiTheme="minorHAnsi" w:cstheme="minorHAnsi"/>
                <w:b w:val="0"/>
                <w:color w:val="002060"/>
                <w:sz w:val="18"/>
                <w:szCs w:val="18"/>
                <w:lang w:val="sr-Cyrl-RS"/>
              </w:rPr>
              <w:t xml:space="preserve"> </w:t>
            </w:r>
            <w:r w:rsidRPr="00A37BCE">
              <w:rPr>
                <w:rFonts w:asciiTheme="minorHAnsi" w:hAnsiTheme="minorHAnsi" w:cstheme="minorHAnsi"/>
                <w:b w:val="0"/>
                <w:color w:val="002060"/>
                <w:sz w:val="18"/>
                <w:szCs w:val="18"/>
                <w:lang w:val="sr-Cyrl-RS"/>
              </w:rPr>
              <w:t>п</w:t>
            </w:r>
          </w:p>
        </w:tc>
        <w:tc>
          <w:tcPr>
            <w:tcW w:w="492" w:type="pct"/>
            <w:tcBorders>
              <w:top w:val="single" w:sz="4" w:space="0" w:color="002060"/>
              <w:bottom w:val="single" w:sz="4" w:space="0" w:color="002060"/>
            </w:tcBorders>
            <w:shd w:val="clear" w:color="auto" w:fill="auto"/>
            <w:noWrap/>
            <w:hideMark/>
          </w:tcPr>
          <w:p w14:paraId="75A64C4D" w14:textId="2C12C0E5" w:rsidR="003A4FB0" w:rsidRPr="00A37BCE" w:rsidRDefault="003A4FB0" w:rsidP="004E661B">
            <w:pPr>
              <w:jc w:val="center"/>
              <w:rPr>
                <w:rFonts w:asciiTheme="minorHAnsi" w:hAnsiTheme="minorHAnsi" w:cstheme="minorHAnsi"/>
                <w:b w:val="0"/>
                <w:color w:val="002060"/>
                <w:sz w:val="18"/>
                <w:szCs w:val="18"/>
                <w:lang w:val="sr-Cyrl-RS"/>
              </w:rPr>
            </w:pPr>
            <w:r w:rsidRPr="00A37BCE">
              <w:rPr>
                <w:rFonts w:asciiTheme="minorHAnsi" w:hAnsiTheme="minorHAnsi" w:cstheme="minorHAnsi"/>
                <w:b w:val="0"/>
                <w:color w:val="002060"/>
                <w:sz w:val="18"/>
                <w:szCs w:val="18"/>
                <w:lang w:val="sr-Cyrl-RS"/>
              </w:rPr>
              <w:t>2021</w:t>
            </w:r>
            <w:r w:rsidR="00C0023B">
              <w:rPr>
                <w:rFonts w:asciiTheme="minorHAnsi" w:hAnsiTheme="minorHAnsi" w:cstheme="minorHAnsi"/>
                <w:b w:val="0"/>
                <w:color w:val="002060"/>
                <w:sz w:val="18"/>
                <w:szCs w:val="18"/>
                <w:lang w:val="sr-Cyrl-RS"/>
              </w:rPr>
              <w:t xml:space="preserve"> </w:t>
            </w:r>
            <w:r w:rsidRPr="00A37BCE">
              <w:rPr>
                <w:rFonts w:asciiTheme="minorHAnsi" w:hAnsiTheme="minorHAnsi" w:cstheme="minorHAnsi"/>
                <w:b w:val="0"/>
                <w:color w:val="002060"/>
                <w:sz w:val="18"/>
                <w:szCs w:val="18"/>
                <w:lang w:val="sr-Cyrl-RS"/>
              </w:rPr>
              <w:t>п</w:t>
            </w:r>
          </w:p>
        </w:tc>
      </w:tr>
      <w:tr w:rsidR="003A4FB0" w:rsidRPr="00A37BCE" w14:paraId="198DF2B7" w14:textId="77777777" w:rsidTr="00C0023B">
        <w:trPr>
          <w:cnfStyle w:val="000000100000" w:firstRow="0" w:lastRow="0" w:firstColumn="0" w:lastColumn="0" w:oddVBand="0" w:evenVBand="0" w:oddHBand="1" w:evenHBand="0" w:firstRowFirstColumn="0" w:firstRowLastColumn="0" w:lastRowFirstColumn="0" w:lastRowLastColumn="0"/>
          <w:trHeight w:val="284"/>
        </w:trPr>
        <w:tc>
          <w:tcPr>
            <w:tcW w:w="2042" w:type="pct"/>
            <w:tcBorders>
              <w:top w:val="single" w:sz="8" w:space="0" w:color="FFFFFF" w:themeColor="background1"/>
            </w:tcBorders>
            <w:shd w:val="clear" w:color="auto" w:fill="auto"/>
            <w:noWrap/>
            <w:hideMark/>
          </w:tcPr>
          <w:p w14:paraId="71F93493" w14:textId="77777777" w:rsidR="003A4FB0" w:rsidRPr="00A37BCE" w:rsidRDefault="003A4FB0" w:rsidP="004E661B">
            <w:pPr>
              <w:spacing w:line="240" w:lineRule="auto"/>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Дуг централне државе/БДП</w:t>
            </w:r>
          </w:p>
        </w:tc>
        <w:tc>
          <w:tcPr>
            <w:tcW w:w="493" w:type="pct"/>
            <w:tcBorders>
              <w:top w:val="single" w:sz="4" w:space="0" w:color="002060"/>
            </w:tcBorders>
            <w:shd w:val="clear" w:color="auto" w:fill="auto"/>
          </w:tcPr>
          <w:p w14:paraId="0062F13A"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67,8</w:t>
            </w:r>
          </w:p>
        </w:tc>
        <w:tc>
          <w:tcPr>
            <w:tcW w:w="493" w:type="pct"/>
            <w:tcBorders>
              <w:top w:val="single" w:sz="4" w:space="0" w:color="002060"/>
            </w:tcBorders>
            <w:shd w:val="clear" w:color="auto" w:fill="auto"/>
          </w:tcPr>
          <w:p w14:paraId="6ECD016E"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57,9</w:t>
            </w:r>
          </w:p>
        </w:tc>
        <w:tc>
          <w:tcPr>
            <w:tcW w:w="493" w:type="pct"/>
            <w:tcBorders>
              <w:top w:val="single" w:sz="4" w:space="0" w:color="002060"/>
            </w:tcBorders>
            <w:shd w:val="clear" w:color="auto" w:fill="auto"/>
            <w:noWrap/>
          </w:tcPr>
          <w:p w14:paraId="49BCBE1E"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53,6</w:t>
            </w:r>
          </w:p>
        </w:tc>
        <w:tc>
          <w:tcPr>
            <w:tcW w:w="494" w:type="pct"/>
            <w:tcBorders>
              <w:top w:val="single" w:sz="4" w:space="0" w:color="002060"/>
            </w:tcBorders>
            <w:shd w:val="clear" w:color="auto" w:fill="auto"/>
            <w:noWrap/>
          </w:tcPr>
          <w:p w14:paraId="68D64F00"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50,7</w:t>
            </w:r>
          </w:p>
        </w:tc>
        <w:tc>
          <w:tcPr>
            <w:tcW w:w="493" w:type="pct"/>
            <w:tcBorders>
              <w:top w:val="single" w:sz="4" w:space="0" w:color="002060"/>
            </w:tcBorders>
            <w:shd w:val="clear" w:color="auto" w:fill="auto"/>
            <w:noWrap/>
          </w:tcPr>
          <w:p w14:paraId="00A1A57F"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48,1</w:t>
            </w:r>
          </w:p>
        </w:tc>
        <w:tc>
          <w:tcPr>
            <w:tcW w:w="492" w:type="pct"/>
            <w:tcBorders>
              <w:top w:val="single" w:sz="4" w:space="0" w:color="002060"/>
            </w:tcBorders>
            <w:shd w:val="clear" w:color="auto" w:fill="auto"/>
            <w:noWrap/>
          </w:tcPr>
          <w:p w14:paraId="54569B3A"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45,7</w:t>
            </w:r>
          </w:p>
        </w:tc>
      </w:tr>
      <w:tr w:rsidR="003A4FB0" w:rsidRPr="00A37BCE" w14:paraId="4E05E2EC" w14:textId="77777777" w:rsidTr="004E661B">
        <w:trPr>
          <w:trHeight w:val="284"/>
        </w:trPr>
        <w:tc>
          <w:tcPr>
            <w:tcW w:w="2042" w:type="pct"/>
            <w:shd w:val="clear" w:color="auto" w:fill="auto"/>
            <w:noWrap/>
            <w:hideMark/>
          </w:tcPr>
          <w:p w14:paraId="75A511F8" w14:textId="77777777" w:rsidR="003A4FB0" w:rsidRPr="00A37BCE" w:rsidRDefault="003A4FB0" w:rsidP="004E661B">
            <w:pPr>
              <w:spacing w:line="240" w:lineRule="auto"/>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Промена у односу на претходну год.</w:t>
            </w:r>
          </w:p>
        </w:tc>
        <w:tc>
          <w:tcPr>
            <w:tcW w:w="493" w:type="pct"/>
            <w:shd w:val="clear" w:color="auto" w:fill="auto"/>
          </w:tcPr>
          <w:p w14:paraId="58AF5FD6"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-2,2</w:t>
            </w:r>
          </w:p>
        </w:tc>
        <w:tc>
          <w:tcPr>
            <w:tcW w:w="493" w:type="pct"/>
            <w:shd w:val="clear" w:color="auto" w:fill="auto"/>
          </w:tcPr>
          <w:p w14:paraId="5AFC819D"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-9,9</w:t>
            </w:r>
          </w:p>
        </w:tc>
        <w:tc>
          <w:tcPr>
            <w:tcW w:w="493" w:type="pct"/>
            <w:shd w:val="clear" w:color="auto" w:fill="auto"/>
            <w:noWrap/>
          </w:tcPr>
          <w:p w14:paraId="24053AF4"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-4,2</w:t>
            </w:r>
          </w:p>
        </w:tc>
        <w:tc>
          <w:tcPr>
            <w:tcW w:w="494" w:type="pct"/>
            <w:shd w:val="clear" w:color="auto" w:fill="auto"/>
            <w:noWrap/>
          </w:tcPr>
          <w:p w14:paraId="77B37116"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-2,9</w:t>
            </w:r>
          </w:p>
        </w:tc>
        <w:tc>
          <w:tcPr>
            <w:tcW w:w="493" w:type="pct"/>
            <w:shd w:val="clear" w:color="auto" w:fill="auto"/>
            <w:noWrap/>
          </w:tcPr>
          <w:p w14:paraId="3A066003"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-2,6</w:t>
            </w:r>
          </w:p>
        </w:tc>
        <w:tc>
          <w:tcPr>
            <w:tcW w:w="492" w:type="pct"/>
            <w:shd w:val="clear" w:color="auto" w:fill="auto"/>
            <w:noWrap/>
          </w:tcPr>
          <w:p w14:paraId="219E3938"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-2,3</w:t>
            </w:r>
          </w:p>
        </w:tc>
      </w:tr>
      <w:tr w:rsidR="003A4FB0" w:rsidRPr="00A37BCE" w14:paraId="08D6FCC0" w14:textId="77777777" w:rsidTr="004E661B">
        <w:trPr>
          <w:cnfStyle w:val="000000100000" w:firstRow="0" w:lastRow="0" w:firstColumn="0" w:lastColumn="0" w:oddVBand="0" w:evenVBand="0" w:oddHBand="1" w:evenHBand="0" w:firstRowFirstColumn="0" w:firstRowLastColumn="0" w:lastRowFirstColumn="0" w:lastRowLastColumn="0"/>
          <w:trHeight w:val="284"/>
        </w:trPr>
        <w:tc>
          <w:tcPr>
            <w:tcW w:w="2042" w:type="pct"/>
            <w:shd w:val="clear" w:color="auto" w:fill="auto"/>
            <w:noWrap/>
            <w:hideMark/>
          </w:tcPr>
          <w:p w14:paraId="52DF5FCF" w14:textId="77777777" w:rsidR="003A4FB0" w:rsidRPr="00A37BCE" w:rsidRDefault="003A4FB0" w:rsidP="004E661B">
            <w:pPr>
              <w:spacing w:line="240" w:lineRule="auto"/>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Утицај примарног дефицита/суфицита</w:t>
            </w:r>
          </w:p>
        </w:tc>
        <w:tc>
          <w:tcPr>
            <w:tcW w:w="493" w:type="pct"/>
            <w:shd w:val="clear" w:color="auto" w:fill="auto"/>
          </w:tcPr>
          <w:p w14:paraId="5E6B6D80"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-2,7</w:t>
            </w:r>
          </w:p>
        </w:tc>
        <w:tc>
          <w:tcPr>
            <w:tcW w:w="493" w:type="pct"/>
            <w:shd w:val="clear" w:color="auto" w:fill="auto"/>
          </w:tcPr>
          <w:p w14:paraId="5A54B784"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-3,2</w:t>
            </w:r>
          </w:p>
        </w:tc>
        <w:tc>
          <w:tcPr>
            <w:tcW w:w="493" w:type="pct"/>
            <w:shd w:val="clear" w:color="auto" w:fill="auto"/>
            <w:noWrap/>
          </w:tcPr>
          <w:p w14:paraId="7F1131FE"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-2,6</w:t>
            </w:r>
          </w:p>
        </w:tc>
        <w:tc>
          <w:tcPr>
            <w:tcW w:w="494" w:type="pct"/>
            <w:shd w:val="clear" w:color="auto" w:fill="auto"/>
            <w:noWrap/>
          </w:tcPr>
          <w:p w14:paraId="51B7E4D1"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-1,5</w:t>
            </w:r>
          </w:p>
        </w:tc>
        <w:tc>
          <w:tcPr>
            <w:tcW w:w="493" w:type="pct"/>
            <w:shd w:val="clear" w:color="auto" w:fill="auto"/>
            <w:noWrap/>
          </w:tcPr>
          <w:p w14:paraId="16D21665"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-1,3</w:t>
            </w:r>
          </w:p>
        </w:tc>
        <w:tc>
          <w:tcPr>
            <w:tcW w:w="492" w:type="pct"/>
            <w:shd w:val="clear" w:color="auto" w:fill="auto"/>
            <w:noWrap/>
          </w:tcPr>
          <w:p w14:paraId="14B1ECD2"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-1,1</w:t>
            </w:r>
          </w:p>
        </w:tc>
      </w:tr>
      <w:tr w:rsidR="003A4FB0" w:rsidRPr="00A37BCE" w14:paraId="457F3E15" w14:textId="77777777" w:rsidTr="004E661B">
        <w:trPr>
          <w:trHeight w:val="284"/>
        </w:trPr>
        <w:tc>
          <w:tcPr>
            <w:tcW w:w="2042" w:type="pct"/>
            <w:shd w:val="clear" w:color="auto" w:fill="auto"/>
            <w:noWrap/>
            <w:hideMark/>
          </w:tcPr>
          <w:p w14:paraId="3AAAF7AA" w14:textId="77777777" w:rsidR="003A4FB0" w:rsidRPr="00A37BCE" w:rsidRDefault="003A4FB0" w:rsidP="004E661B">
            <w:pPr>
              <w:spacing w:line="240" w:lineRule="auto"/>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Камата</w:t>
            </w:r>
          </w:p>
        </w:tc>
        <w:tc>
          <w:tcPr>
            <w:tcW w:w="493" w:type="pct"/>
            <w:shd w:val="clear" w:color="auto" w:fill="auto"/>
          </w:tcPr>
          <w:p w14:paraId="4BEC0B26"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2,8</w:t>
            </w:r>
          </w:p>
        </w:tc>
        <w:tc>
          <w:tcPr>
            <w:tcW w:w="493" w:type="pct"/>
            <w:shd w:val="clear" w:color="auto" w:fill="auto"/>
          </w:tcPr>
          <w:p w14:paraId="39749B34"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2,5</w:t>
            </w:r>
          </w:p>
        </w:tc>
        <w:tc>
          <w:tcPr>
            <w:tcW w:w="493" w:type="pct"/>
            <w:shd w:val="clear" w:color="auto" w:fill="auto"/>
            <w:noWrap/>
          </w:tcPr>
          <w:p w14:paraId="4972F108"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2,1</w:t>
            </w:r>
          </w:p>
        </w:tc>
        <w:tc>
          <w:tcPr>
            <w:tcW w:w="494" w:type="pct"/>
            <w:shd w:val="clear" w:color="auto" w:fill="auto"/>
            <w:noWrap/>
          </w:tcPr>
          <w:p w14:paraId="5995A343"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1,9</w:t>
            </w:r>
          </w:p>
        </w:tc>
        <w:tc>
          <w:tcPr>
            <w:tcW w:w="493" w:type="pct"/>
            <w:shd w:val="clear" w:color="auto" w:fill="auto"/>
            <w:noWrap/>
          </w:tcPr>
          <w:p w14:paraId="5CA515A2"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1,7</w:t>
            </w:r>
          </w:p>
        </w:tc>
        <w:tc>
          <w:tcPr>
            <w:tcW w:w="492" w:type="pct"/>
            <w:shd w:val="clear" w:color="auto" w:fill="auto"/>
            <w:noWrap/>
          </w:tcPr>
          <w:p w14:paraId="443BCEF4"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1,7</w:t>
            </w:r>
          </w:p>
        </w:tc>
      </w:tr>
      <w:tr w:rsidR="003A4FB0" w:rsidRPr="00A37BCE" w14:paraId="45A06040" w14:textId="77777777" w:rsidTr="00C0023B">
        <w:trPr>
          <w:cnfStyle w:val="000000100000" w:firstRow="0" w:lastRow="0" w:firstColumn="0" w:lastColumn="0" w:oddVBand="0" w:evenVBand="0" w:oddHBand="1" w:evenHBand="0" w:firstRowFirstColumn="0" w:firstRowLastColumn="0" w:lastRowFirstColumn="0" w:lastRowLastColumn="0"/>
          <w:trHeight w:val="284"/>
        </w:trPr>
        <w:tc>
          <w:tcPr>
            <w:tcW w:w="2042" w:type="pct"/>
            <w:tcBorders>
              <w:bottom w:val="nil"/>
            </w:tcBorders>
            <w:shd w:val="clear" w:color="auto" w:fill="auto"/>
            <w:hideMark/>
          </w:tcPr>
          <w:p w14:paraId="3D7D847F" w14:textId="77777777" w:rsidR="003A4FB0" w:rsidRPr="00A37BCE" w:rsidRDefault="003A4FB0" w:rsidP="004E661B">
            <w:pPr>
              <w:spacing w:line="240" w:lineRule="auto"/>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Раст номиналног БДП</w:t>
            </w:r>
          </w:p>
        </w:tc>
        <w:tc>
          <w:tcPr>
            <w:tcW w:w="493" w:type="pct"/>
            <w:tcBorders>
              <w:bottom w:val="nil"/>
            </w:tcBorders>
            <w:shd w:val="clear" w:color="auto" w:fill="auto"/>
          </w:tcPr>
          <w:p w14:paraId="1350BFF3"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-3,2</w:t>
            </w:r>
          </w:p>
        </w:tc>
        <w:tc>
          <w:tcPr>
            <w:tcW w:w="493" w:type="pct"/>
            <w:tcBorders>
              <w:bottom w:val="nil"/>
            </w:tcBorders>
            <w:shd w:val="clear" w:color="auto" w:fill="auto"/>
          </w:tcPr>
          <w:p w14:paraId="1BE08F84"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-3,3</w:t>
            </w:r>
          </w:p>
        </w:tc>
        <w:tc>
          <w:tcPr>
            <w:tcW w:w="493" w:type="pct"/>
            <w:tcBorders>
              <w:bottom w:val="nil"/>
            </w:tcBorders>
            <w:shd w:val="clear" w:color="auto" w:fill="auto"/>
            <w:noWrap/>
          </w:tcPr>
          <w:p w14:paraId="10EE8450"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-3,6</w:t>
            </w:r>
          </w:p>
        </w:tc>
        <w:tc>
          <w:tcPr>
            <w:tcW w:w="494" w:type="pct"/>
            <w:tcBorders>
              <w:bottom w:val="nil"/>
            </w:tcBorders>
            <w:shd w:val="clear" w:color="auto" w:fill="auto"/>
            <w:noWrap/>
          </w:tcPr>
          <w:p w14:paraId="29569DDF"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-3,5</w:t>
            </w:r>
          </w:p>
        </w:tc>
        <w:tc>
          <w:tcPr>
            <w:tcW w:w="493" w:type="pct"/>
            <w:tcBorders>
              <w:bottom w:val="nil"/>
            </w:tcBorders>
            <w:shd w:val="clear" w:color="auto" w:fill="auto"/>
            <w:noWrap/>
          </w:tcPr>
          <w:p w14:paraId="7AF33F50"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-3,5</w:t>
            </w:r>
          </w:p>
        </w:tc>
        <w:tc>
          <w:tcPr>
            <w:tcW w:w="492" w:type="pct"/>
            <w:tcBorders>
              <w:bottom w:val="nil"/>
            </w:tcBorders>
            <w:shd w:val="clear" w:color="auto" w:fill="auto"/>
            <w:noWrap/>
          </w:tcPr>
          <w:p w14:paraId="60D0CEF4"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-3,3</w:t>
            </w:r>
          </w:p>
        </w:tc>
      </w:tr>
      <w:tr w:rsidR="003A4FB0" w:rsidRPr="00A37BCE" w14:paraId="17DD93EF" w14:textId="77777777" w:rsidTr="00C0023B">
        <w:trPr>
          <w:trHeight w:val="80"/>
        </w:trPr>
        <w:tc>
          <w:tcPr>
            <w:tcW w:w="2042" w:type="pct"/>
            <w:tcBorders>
              <w:top w:val="nil"/>
              <w:bottom w:val="single" w:sz="4" w:space="0" w:color="002060"/>
            </w:tcBorders>
            <w:shd w:val="clear" w:color="auto" w:fill="auto"/>
          </w:tcPr>
          <w:p w14:paraId="34994986" w14:textId="77777777" w:rsidR="003A4FB0" w:rsidRPr="00A37BCE" w:rsidRDefault="003A4FB0" w:rsidP="004E661B">
            <w:pPr>
              <w:spacing w:line="240" w:lineRule="auto"/>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Остали фактори који утичу на рацио</w:t>
            </w:r>
          </w:p>
        </w:tc>
        <w:tc>
          <w:tcPr>
            <w:tcW w:w="493" w:type="pct"/>
            <w:tcBorders>
              <w:top w:val="nil"/>
              <w:bottom w:val="single" w:sz="4" w:space="0" w:color="002060"/>
            </w:tcBorders>
            <w:shd w:val="clear" w:color="auto" w:fill="auto"/>
          </w:tcPr>
          <w:p w14:paraId="77A65E16"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0,8</w:t>
            </w:r>
          </w:p>
        </w:tc>
        <w:tc>
          <w:tcPr>
            <w:tcW w:w="493" w:type="pct"/>
            <w:tcBorders>
              <w:top w:val="nil"/>
              <w:bottom w:val="single" w:sz="4" w:space="0" w:color="002060"/>
            </w:tcBorders>
            <w:shd w:val="clear" w:color="auto" w:fill="auto"/>
          </w:tcPr>
          <w:p w14:paraId="44746BFA"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-5,9</w:t>
            </w:r>
          </w:p>
        </w:tc>
        <w:tc>
          <w:tcPr>
            <w:tcW w:w="493" w:type="pct"/>
            <w:tcBorders>
              <w:top w:val="nil"/>
              <w:bottom w:val="single" w:sz="4" w:space="0" w:color="002060"/>
            </w:tcBorders>
            <w:shd w:val="clear" w:color="auto" w:fill="auto"/>
            <w:noWrap/>
          </w:tcPr>
          <w:p w14:paraId="415F2492"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-0,1</w:t>
            </w:r>
          </w:p>
        </w:tc>
        <w:tc>
          <w:tcPr>
            <w:tcW w:w="494" w:type="pct"/>
            <w:tcBorders>
              <w:top w:val="nil"/>
              <w:bottom w:val="single" w:sz="4" w:space="0" w:color="002060"/>
            </w:tcBorders>
            <w:shd w:val="clear" w:color="auto" w:fill="auto"/>
            <w:noWrap/>
          </w:tcPr>
          <w:p w14:paraId="7A0ACB34"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0,2</w:t>
            </w:r>
          </w:p>
        </w:tc>
        <w:tc>
          <w:tcPr>
            <w:tcW w:w="493" w:type="pct"/>
            <w:tcBorders>
              <w:top w:val="nil"/>
              <w:bottom w:val="single" w:sz="4" w:space="0" w:color="002060"/>
            </w:tcBorders>
            <w:shd w:val="clear" w:color="auto" w:fill="auto"/>
            <w:noWrap/>
          </w:tcPr>
          <w:p w14:paraId="0B2285C0"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0,4</w:t>
            </w:r>
          </w:p>
        </w:tc>
        <w:tc>
          <w:tcPr>
            <w:tcW w:w="492" w:type="pct"/>
            <w:tcBorders>
              <w:top w:val="nil"/>
              <w:bottom w:val="single" w:sz="4" w:space="0" w:color="002060"/>
            </w:tcBorders>
            <w:shd w:val="clear" w:color="auto" w:fill="auto"/>
            <w:noWrap/>
          </w:tcPr>
          <w:p w14:paraId="4671D3F7" w14:textId="77777777" w:rsidR="003A4FB0" w:rsidRPr="00A37BCE" w:rsidRDefault="003A4FB0" w:rsidP="004E661B">
            <w:pPr>
              <w:spacing w:line="240" w:lineRule="auto"/>
              <w:jc w:val="center"/>
              <w:rPr>
                <w:rFonts w:asciiTheme="minorHAnsi" w:hAnsiTheme="minorHAnsi" w:cstheme="minorHAnsi"/>
                <w:bCs/>
                <w:color w:val="002060"/>
                <w:sz w:val="18"/>
                <w:szCs w:val="18"/>
                <w:lang w:val="sr-Cyrl-RS"/>
              </w:rPr>
            </w:pPr>
            <w:r w:rsidRPr="00A37BCE">
              <w:rPr>
                <w:rFonts w:asciiTheme="minorHAnsi" w:hAnsiTheme="minorHAnsi" w:cstheme="minorHAnsi"/>
                <w:bCs/>
                <w:color w:val="002060"/>
                <w:sz w:val="18"/>
                <w:szCs w:val="18"/>
                <w:lang w:val="sr-Cyrl-RS"/>
              </w:rPr>
              <w:t>0,4</w:t>
            </w:r>
          </w:p>
        </w:tc>
      </w:tr>
    </w:tbl>
    <w:p w14:paraId="2A80EC33" w14:textId="77777777" w:rsidR="003A4FB0" w:rsidRPr="00A37BCE" w:rsidRDefault="003A4FB0" w:rsidP="003A4FB0">
      <w:pPr>
        <w:spacing w:line="276" w:lineRule="auto"/>
        <w:jc w:val="both"/>
        <w:rPr>
          <w:rFonts w:cstheme="minorHAnsi"/>
          <w:bCs/>
          <w:color w:val="44546A" w:themeColor="text2"/>
          <w:sz w:val="20"/>
          <w:szCs w:val="72"/>
          <w:lang w:val="sr-Cyrl-RS"/>
        </w:rPr>
        <w:sectPr w:rsidR="003A4FB0" w:rsidRPr="00A37BCE" w:rsidSect="004E661B">
          <w:type w:val="continuous"/>
          <w:pgSz w:w="12240" w:h="15840"/>
          <w:pgMar w:top="1440" w:right="1440" w:bottom="1440" w:left="1440" w:header="720" w:footer="720" w:gutter="0"/>
          <w:cols w:space="720"/>
          <w:docGrid w:linePitch="360"/>
        </w:sectPr>
      </w:pPr>
    </w:p>
    <w:p w14:paraId="2EF23918" w14:textId="77777777" w:rsidR="003A4FB0" w:rsidRPr="00A37BCE" w:rsidRDefault="003A4FB0" w:rsidP="003A4FB0">
      <w:pPr>
        <w:jc w:val="both"/>
        <w:rPr>
          <w:b/>
          <w:color w:val="002060"/>
          <w:sz w:val="20"/>
          <w:lang w:val="sr-Cyrl-RS"/>
        </w:rPr>
      </w:pPr>
      <w:r w:rsidRPr="00A37BCE">
        <w:rPr>
          <w:b/>
          <w:color w:val="002060"/>
          <w:sz w:val="20"/>
          <w:lang w:val="sr-Cyrl-RS"/>
        </w:rPr>
        <w:lastRenderedPageBreak/>
        <w:t>Утицај промене курса динара према корпи валута из портфолија јавног дуга централног нивоа државе на промену рација јавни дуг – БДП</w:t>
      </w:r>
    </w:p>
    <w:p w14:paraId="1D851C05" w14:textId="1FB7D985" w:rsidR="003A4FB0" w:rsidRPr="00A37BCE" w:rsidRDefault="00E94D44" w:rsidP="003A4FB0">
      <w:pPr>
        <w:jc w:val="both"/>
        <w:rPr>
          <w:b/>
          <w:color w:val="002060"/>
          <w:sz w:val="20"/>
          <w:highlight w:val="yellow"/>
          <w:lang w:val="sr-Cyrl-RS"/>
        </w:rPr>
      </w:pPr>
      <w:r>
        <w:rPr>
          <w:b/>
          <w:noProof/>
          <w:color w:val="002060"/>
          <w:sz w:val="20"/>
        </w:rPr>
        <w:drawing>
          <wp:inline distT="0" distB="0" distL="0" distR="0" wp14:anchorId="6B2084A7" wp14:editId="77A206F0">
            <wp:extent cx="2794754" cy="1526400"/>
            <wp:effectExtent l="0" t="0" r="571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04_str78_Promena kursa sa brojevima-01.png"/>
                    <pic:cNvPicPr/>
                  </pic:nvPicPr>
                  <pic:blipFill>
                    <a:blip r:embed="rId87" cstate="print">
                      <a:extLst>
                        <a:ext uri="{28A0092B-C50C-407E-A947-70E740481C1C}">
                          <a14:useLocalDpi xmlns:a14="http://schemas.microsoft.com/office/drawing/2010/main" val="0"/>
                        </a:ext>
                      </a:extLst>
                    </a:blip>
                    <a:stretch>
                      <a:fillRect/>
                    </a:stretch>
                  </pic:blipFill>
                  <pic:spPr>
                    <a:xfrm>
                      <a:off x="0" y="0"/>
                      <a:ext cx="2794754" cy="1526400"/>
                    </a:xfrm>
                    <a:prstGeom prst="rect">
                      <a:avLst/>
                    </a:prstGeom>
                  </pic:spPr>
                </pic:pic>
              </a:graphicData>
            </a:graphic>
          </wp:inline>
        </w:drawing>
      </w:r>
    </w:p>
    <w:p w14:paraId="1690BE8A" w14:textId="3C64F695"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На графикону је представљено кретање рација јавног дуга</w:t>
      </w:r>
      <w:r w:rsidR="00C601A3">
        <w:rPr>
          <w:rFonts w:cstheme="minorHAnsi"/>
          <w:bCs/>
          <w:color w:val="44546A" w:themeColor="text2"/>
          <w:sz w:val="20"/>
          <w:szCs w:val="72"/>
          <w:lang w:val="sr-Cyrl-RS"/>
        </w:rPr>
        <w:t xml:space="preserve"> централног нивоа државе и БДП</w:t>
      </w:r>
      <w:r w:rsidRPr="00A37BCE">
        <w:rPr>
          <w:rFonts w:cstheme="minorHAnsi"/>
          <w:bCs/>
          <w:color w:val="44546A" w:themeColor="text2"/>
          <w:sz w:val="20"/>
          <w:szCs w:val="72"/>
          <w:lang w:val="sr-Cyrl-RS"/>
        </w:rPr>
        <w:t xml:space="preserve"> у зависности од промене курса динара према одређеној корпи валута. Приказана је основна пројекција са алтернативним сценаријима у зависности од апрецијације, односно депрецијације курса динара у распону од 10% апрецијације до 20% депрецијације динара у односу на корпу валута. Применом наведених сценарија може се видети да би се рацио за 2021. годину кретао у распону од 42,6% до 51,9%, док би за основни сценарио био на нивоу од 45,7%.</w:t>
      </w:r>
    </w:p>
    <w:p w14:paraId="49EA7BFD" w14:textId="5016E9C6"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Главни ризици за остварење Стратегије, поред горе наведених фактора који су квантификовани, су и стабилност макроекономске ситуације у Републици Србији, потребе за додатним задуживањем како би се регулисали дугови на другим нивоима власти, јавном сектору и финансијском сектору Републике Србиј</w:t>
      </w:r>
      <w:r w:rsidR="00B4009D">
        <w:rPr>
          <w:rFonts w:cstheme="minorHAnsi"/>
          <w:bCs/>
          <w:color w:val="44546A" w:themeColor="text2"/>
          <w:sz w:val="20"/>
          <w:szCs w:val="72"/>
          <w:lang w:val="sr-Cyrl-RS"/>
        </w:rPr>
        <w:t>е и активирање датих гаранција.</w:t>
      </w:r>
    </w:p>
    <w:p w14:paraId="43A37A2B" w14:textId="364E068A"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lastRenderedPageBreak/>
        <w:t>Важно је напоменути да смањењу јавног дуга у односу на БДП доприноси и адекватна контрола издавања гаранција и унапређење процеса приоритизације инвестиционих пројеката, који се финансирају из кредитних линија мултилатералних и билатералних кредитора. Почев од 2015. године, гаранције се издају само за пројектне (инвестиционе) зајмове, односно прекинуто је издавање гаранција за зајмове за текућу ликвидност јавним предузећима, што је у претходне три године смањило стање гарантованог јавног дуга.</w:t>
      </w:r>
    </w:p>
    <w:p w14:paraId="7192949E" w14:textId="77777777" w:rsidR="003A4FB0" w:rsidRPr="00A37BCE" w:rsidRDefault="003A4FB0" w:rsidP="003A4FB0">
      <w:pPr>
        <w:jc w:val="both"/>
        <w:rPr>
          <w:b/>
          <w:color w:val="2F5496" w:themeColor="accent1" w:themeShade="BF"/>
          <w:lang w:val="sr-Cyrl-RS"/>
        </w:rPr>
      </w:pPr>
      <w:r w:rsidRPr="00A37BCE">
        <w:rPr>
          <w:b/>
          <w:color w:val="2F5496" w:themeColor="accent1" w:themeShade="BF"/>
          <w:lang w:val="sr-Cyrl-RS"/>
        </w:rPr>
        <w:t>Дугорочни стратешки оквир за управљање јавним дугом</w:t>
      </w:r>
    </w:p>
    <w:p w14:paraId="1F5C58CD"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Основни стратешки циљеви којима је потребно тежити у наредном дугорочном периоду, како би се минимизирали ризици повећања задужености и трошкова сервисирања јавног дуга су:</w:t>
      </w:r>
    </w:p>
    <w:p w14:paraId="34C77D6D" w14:textId="5DA19377" w:rsidR="003A4FB0" w:rsidRPr="0033359D" w:rsidRDefault="003A4FB0" w:rsidP="0033359D">
      <w:pPr>
        <w:pStyle w:val="ListParagraph"/>
        <w:numPr>
          <w:ilvl w:val="0"/>
          <w:numId w:val="13"/>
        </w:numPr>
        <w:ind w:left="142" w:hanging="142"/>
        <w:jc w:val="both"/>
        <w:rPr>
          <w:rFonts w:cstheme="minorHAnsi"/>
          <w:bCs/>
          <w:color w:val="44546A" w:themeColor="text2"/>
          <w:sz w:val="20"/>
          <w:szCs w:val="72"/>
          <w:lang w:val="sr-Cyrl-RS"/>
        </w:rPr>
      </w:pPr>
      <w:r w:rsidRPr="0033359D">
        <w:rPr>
          <w:rFonts w:cstheme="minorHAnsi"/>
          <w:bCs/>
          <w:color w:val="44546A" w:themeColor="text2"/>
          <w:sz w:val="20"/>
          <w:szCs w:val="72"/>
          <w:lang w:val="sr-Cyrl-RS"/>
        </w:rPr>
        <w:t>да учешће дуга деноминованог у динарима износи најмање 25% укупног јавног дуга на средњи рок;</w:t>
      </w:r>
    </w:p>
    <w:p w14:paraId="642386FA" w14:textId="18C74E71" w:rsidR="003A4FB0" w:rsidRPr="0033359D" w:rsidRDefault="003A4FB0" w:rsidP="0033359D">
      <w:pPr>
        <w:pStyle w:val="ListParagraph"/>
        <w:numPr>
          <w:ilvl w:val="0"/>
          <w:numId w:val="13"/>
        </w:numPr>
        <w:ind w:left="142" w:hanging="142"/>
        <w:jc w:val="both"/>
        <w:rPr>
          <w:rFonts w:cstheme="minorHAnsi"/>
          <w:bCs/>
          <w:color w:val="44546A" w:themeColor="text2"/>
          <w:sz w:val="20"/>
          <w:szCs w:val="72"/>
          <w:lang w:val="sr-Cyrl-RS"/>
        </w:rPr>
      </w:pPr>
      <w:r w:rsidRPr="0033359D">
        <w:rPr>
          <w:rFonts w:cstheme="minorHAnsi"/>
          <w:bCs/>
          <w:color w:val="44546A" w:themeColor="text2"/>
          <w:sz w:val="20"/>
          <w:szCs w:val="72"/>
          <w:lang w:val="sr-Cyrl-RS"/>
        </w:rPr>
        <w:t>да учешће дуга деноминованог у еврима у јавном дугу износи најмање 60 % дуга у ино-валути, укључујући будућа задуживања и трансакције;</w:t>
      </w:r>
    </w:p>
    <w:p w14:paraId="41FE107E" w14:textId="19068B87" w:rsidR="003A4FB0" w:rsidRPr="0033359D" w:rsidRDefault="003A4FB0" w:rsidP="0033359D">
      <w:pPr>
        <w:pStyle w:val="ListParagraph"/>
        <w:numPr>
          <w:ilvl w:val="0"/>
          <w:numId w:val="13"/>
        </w:numPr>
        <w:ind w:left="142" w:hanging="142"/>
        <w:jc w:val="both"/>
        <w:rPr>
          <w:rFonts w:cstheme="minorHAnsi"/>
          <w:bCs/>
          <w:color w:val="44546A" w:themeColor="text2"/>
          <w:sz w:val="20"/>
          <w:szCs w:val="72"/>
          <w:lang w:val="sr-Cyrl-RS"/>
        </w:rPr>
      </w:pPr>
      <w:r w:rsidRPr="0033359D">
        <w:rPr>
          <w:rFonts w:cstheme="minorHAnsi"/>
          <w:bCs/>
          <w:color w:val="44546A" w:themeColor="text2"/>
          <w:sz w:val="20"/>
          <w:szCs w:val="72"/>
          <w:lang w:val="sr-Cyrl-RS"/>
        </w:rPr>
        <w:t>да дође до смањења учешћа дуга са варијабилном каматном стопом на испод 20% у средњорочном интервалу;</w:t>
      </w:r>
    </w:p>
    <w:p w14:paraId="4ACB8C49" w14:textId="0ED7F8D0" w:rsidR="003A4FB0" w:rsidRPr="0033359D" w:rsidRDefault="003A4FB0" w:rsidP="0033359D">
      <w:pPr>
        <w:pStyle w:val="ListParagraph"/>
        <w:numPr>
          <w:ilvl w:val="0"/>
          <w:numId w:val="13"/>
        </w:numPr>
        <w:ind w:left="142" w:hanging="142"/>
        <w:jc w:val="both"/>
        <w:rPr>
          <w:rFonts w:cstheme="minorHAnsi"/>
          <w:bCs/>
          <w:color w:val="44546A" w:themeColor="text2"/>
          <w:sz w:val="20"/>
          <w:szCs w:val="72"/>
          <w:lang w:val="sr-Cyrl-RS"/>
        </w:rPr>
      </w:pPr>
      <w:r w:rsidRPr="0033359D">
        <w:rPr>
          <w:rFonts w:cstheme="minorHAnsi"/>
          <w:bCs/>
          <w:color w:val="44546A" w:themeColor="text2"/>
          <w:sz w:val="20"/>
          <w:szCs w:val="72"/>
          <w:lang w:val="sr-Cyrl-RS"/>
        </w:rPr>
        <w:t>да просечно време до промене каматне стопе (АТR) буде одржавано на нивоу од минимум 4,5 година, у складу са горе наведеном мером постепеног смањивања учешћа дуга са варијабилним каматним стопама;</w:t>
      </w:r>
    </w:p>
    <w:p w14:paraId="7DD1B68A" w14:textId="1B63CD11" w:rsidR="003A4FB0" w:rsidRPr="0033359D" w:rsidRDefault="003A4FB0" w:rsidP="0033359D">
      <w:pPr>
        <w:pStyle w:val="ListParagraph"/>
        <w:numPr>
          <w:ilvl w:val="0"/>
          <w:numId w:val="13"/>
        </w:numPr>
        <w:ind w:left="142" w:hanging="142"/>
        <w:jc w:val="both"/>
        <w:rPr>
          <w:rFonts w:cstheme="minorHAnsi"/>
          <w:bCs/>
          <w:color w:val="44546A" w:themeColor="text2"/>
          <w:sz w:val="20"/>
          <w:szCs w:val="72"/>
          <w:lang w:val="sr-Cyrl-RS"/>
        </w:rPr>
      </w:pPr>
      <w:r w:rsidRPr="0033359D">
        <w:rPr>
          <w:rFonts w:cstheme="minorHAnsi"/>
          <w:bCs/>
          <w:color w:val="44546A" w:themeColor="text2"/>
          <w:sz w:val="20"/>
          <w:szCs w:val="72"/>
          <w:lang w:val="sr-Cyrl-RS"/>
        </w:rPr>
        <w:lastRenderedPageBreak/>
        <w:t>да просечна пондерисана каматна стопа (WAIR) на унутрашњи јавни дуг не прелази 7,00%;</w:t>
      </w:r>
    </w:p>
    <w:p w14:paraId="7154CD28" w14:textId="2BFE7420" w:rsidR="003A4FB0" w:rsidRPr="0033359D" w:rsidRDefault="003A4FB0" w:rsidP="0033359D">
      <w:pPr>
        <w:pStyle w:val="ListParagraph"/>
        <w:numPr>
          <w:ilvl w:val="0"/>
          <w:numId w:val="13"/>
        </w:numPr>
        <w:ind w:left="142" w:hanging="142"/>
        <w:jc w:val="both"/>
        <w:rPr>
          <w:rFonts w:cstheme="minorHAnsi"/>
          <w:bCs/>
          <w:color w:val="44546A" w:themeColor="text2"/>
          <w:sz w:val="20"/>
          <w:szCs w:val="72"/>
          <w:lang w:val="sr-Cyrl-RS"/>
        </w:rPr>
      </w:pPr>
      <w:r w:rsidRPr="0033359D">
        <w:rPr>
          <w:rFonts w:cstheme="minorHAnsi"/>
          <w:bCs/>
          <w:color w:val="44546A" w:themeColor="text2"/>
          <w:sz w:val="20"/>
          <w:szCs w:val="72"/>
          <w:lang w:val="sr-Cyrl-RS"/>
        </w:rPr>
        <w:t>да учешће краткорочног дуга (чије је доспеће до годину дана) износи до 15 % укупног јавног дуга;</w:t>
      </w:r>
    </w:p>
    <w:p w14:paraId="5D4F6FA4" w14:textId="64063A1C" w:rsidR="003A4FB0" w:rsidRPr="0033359D" w:rsidRDefault="003A4FB0" w:rsidP="0033359D">
      <w:pPr>
        <w:pStyle w:val="ListParagraph"/>
        <w:numPr>
          <w:ilvl w:val="0"/>
          <w:numId w:val="13"/>
        </w:numPr>
        <w:ind w:left="142" w:hanging="142"/>
        <w:jc w:val="both"/>
        <w:rPr>
          <w:rFonts w:cstheme="minorHAnsi"/>
          <w:bCs/>
          <w:color w:val="44546A" w:themeColor="text2"/>
          <w:sz w:val="20"/>
          <w:szCs w:val="72"/>
          <w:lang w:val="sr-Cyrl-RS"/>
        </w:rPr>
      </w:pPr>
      <w:r w:rsidRPr="0033359D">
        <w:rPr>
          <w:rFonts w:cstheme="minorHAnsi"/>
          <w:bCs/>
          <w:color w:val="44546A" w:themeColor="text2"/>
          <w:sz w:val="20"/>
          <w:szCs w:val="72"/>
          <w:lang w:val="sr-Cyrl-RS"/>
        </w:rPr>
        <w:t xml:space="preserve">да просечно време до доспећа (АТМ) унутрашњег дуга буде на нивоу од најмање 4 године на средњи рок; </w:t>
      </w:r>
    </w:p>
    <w:p w14:paraId="4B7AC703" w14:textId="67303F9D" w:rsidR="003A4FB0" w:rsidRPr="0033359D" w:rsidRDefault="003A4FB0" w:rsidP="0033359D">
      <w:pPr>
        <w:pStyle w:val="ListParagraph"/>
        <w:numPr>
          <w:ilvl w:val="0"/>
          <w:numId w:val="13"/>
        </w:numPr>
        <w:ind w:left="142" w:hanging="142"/>
        <w:jc w:val="both"/>
        <w:rPr>
          <w:rFonts w:cstheme="minorHAnsi"/>
          <w:bCs/>
          <w:color w:val="44546A" w:themeColor="text2"/>
          <w:sz w:val="20"/>
          <w:szCs w:val="72"/>
          <w:lang w:val="sr-Cyrl-RS"/>
        </w:rPr>
      </w:pPr>
      <w:r w:rsidRPr="0033359D">
        <w:rPr>
          <w:rFonts w:cstheme="minorHAnsi"/>
          <w:bCs/>
          <w:color w:val="44546A" w:themeColor="text2"/>
          <w:sz w:val="20"/>
          <w:szCs w:val="72"/>
          <w:lang w:val="sr-Cyrl-RS"/>
        </w:rPr>
        <w:t>да се просечно време до доспећа (АТМ) спољног дуга одржава на нивоу од 6 ± 0,5 година у истом временском хоризонту.</w:t>
      </w:r>
    </w:p>
    <w:p w14:paraId="40318F2A" w14:textId="1872ADA1" w:rsidR="003A4FB0" w:rsidRPr="00A37BCE" w:rsidRDefault="003A4FB0" w:rsidP="003A4FB0">
      <w:pPr>
        <w:jc w:val="both"/>
        <w:rPr>
          <w:b/>
          <w:color w:val="002060"/>
          <w:sz w:val="20"/>
          <w:lang w:val="sr-Cyrl-RS"/>
        </w:rPr>
      </w:pPr>
      <w:r w:rsidRPr="00A37BCE">
        <w:rPr>
          <w:b/>
          <w:color w:val="002060"/>
          <w:sz w:val="20"/>
          <w:lang w:val="sr-Cyrl-RS"/>
        </w:rPr>
        <w:t xml:space="preserve">Кретање приноса до доспећа трогодишњих и седмогодишњих динарских </w:t>
      </w:r>
      <w:r w:rsidR="002745EB" w:rsidRPr="002745EB">
        <w:rPr>
          <w:rFonts w:cstheme="minorHAnsi"/>
          <w:b/>
          <w:bCs/>
          <w:color w:val="44546A" w:themeColor="text2"/>
          <w:sz w:val="20"/>
          <w:szCs w:val="72"/>
          <w:lang w:val="sr-Cyrl-RS"/>
        </w:rPr>
        <w:t>„</w:t>
      </w:r>
      <w:r w:rsidR="002745EB">
        <w:rPr>
          <w:b/>
          <w:color w:val="002060"/>
          <w:sz w:val="20"/>
          <w:lang w:val="sr-Cyrl-RS"/>
        </w:rPr>
        <w:t>бенчмаркˮ</w:t>
      </w:r>
      <w:r w:rsidRPr="00A37BCE">
        <w:rPr>
          <w:b/>
          <w:color w:val="002060"/>
          <w:sz w:val="20"/>
          <w:lang w:val="sr-Cyrl-RS"/>
        </w:rPr>
        <w:t xml:space="preserve"> емисија на секундарном трговању, %</w:t>
      </w:r>
    </w:p>
    <w:p w14:paraId="484E0644" w14:textId="77777777" w:rsidR="003A4FB0" w:rsidRPr="00A37BCE" w:rsidRDefault="003A4FB0" w:rsidP="003A4FB0">
      <w:pPr>
        <w:jc w:val="both"/>
        <w:rPr>
          <w:b/>
          <w:color w:val="002060"/>
          <w:sz w:val="20"/>
          <w:highlight w:val="yellow"/>
          <w:lang w:val="sr-Cyrl-RS"/>
        </w:rPr>
      </w:pPr>
      <w:r w:rsidRPr="00A37BCE">
        <w:rPr>
          <w:b/>
          <w:noProof/>
          <w:color w:val="002060"/>
          <w:sz w:val="20"/>
        </w:rPr>
        <w:drawing>
          <wp:inline distT="0" distB="0" distL="0" distR="0" wp14:anchorId="0F9AABA3" wp14:editId="3BB73833">
            <wp:extent cx="2743200" cy="122682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rinosi.PNG"/>
                    <pic:cNvPicPr/>
                  </pic:nvPicPr>
                  <pic:blipFill>
                    <a:blip r:embed="rId88" cstate="print">
                      <a:extLst>
                        <a:ext uri="{28A0092B-C50C-407E-A947-70E740481C1C}">
                          <a14:useLocalDpi xmlns:a14="http://schemas.microsoft.com/office/drawing/2010/main" val="0"/>
                        </a:ext>
                      </a:extLst>
                    </a:blip>
                    <a:stretch>
                      <a:fillRect/>
                    </a:stretch>
                  </pic:blipFill>
                  <pic:spPr>
                    <a:xfrm>
                      <a:off x="0" y="0"/>
                      <a:ext cx="2743200" cy="1226820"/>
                    </a:xfrm>
                    <a:prstGeom prst="rect">
                      <a:avLst/>
                    </a:prstGeom>
                  </pic:spPr>
                </pic:pic>
              </a:graphicData>
            </a:graphic>
          </wp:inline>
        </w:drawing>
      </w:r>
    </w:p>
    <w:p w14:paraId="74532788" w14:textId="13A2C41F" w:rsidR="003A4FB0" w:rsidRPr="00A37BCE" w:rsidRDefault="003A4FB0" w:rsidP="003A4FB0">
      <w:pPr>
        <w:jc w:val="both"/>
        <w:rPr>
          <w:b/>
          <w:bCs/>
          <w:color w:val="002060"/>
          <w:sz w:val="20"/>
          <w:lang w:val="sr-Cyrl-RS"/>
        </w:rPr>
      </w:pPr>
      <w:r w:rsidRPr="00A37BCE">
        <w:rPr>
          <w:b/>
          <w:bCs/>
          <w:color w:val="002060"/>
          <w:sz w:val="20"/>
          <w:lang w:val="sr-Cyrl-RS"/>
        </w:rPr>
        <w:t>Просечно време до доспећа (АТМ) државних хартија од вредности емитованих на домаћем финансијском тржишту у п</w:t>
      </w:r>
      <w:r w:rsidR="0078544E">
        <w:rPr>
          <w:b/>
          <w:bCs/>
          <w:color w:val="002060"/>
          <w:sz w:val="20"/>
          <w:lang w:val="sr-Cyrl-RS"/>
        </w:rPr>
        <w:t>ериоду 2012–</w:t>
      </w:r>
      <w:r w:rsidRPr="00A37BCE">
        <w:rPr>
          <w:b/>
          <w:bCs/>
          <w:color w:val="002060"/>
          <w:sz w:val="20"/>
          <w:lang w:val="sr-Cyrl-RS"/>
        </w:rPr>
        <w:t>30. септембар 2018. године</w:t>
      </w:r>
    </w:p>
    <w:p w14:paraId="35207B87" w14:textId="77777777" w:rsidR="003A4FB0" w:rsidRPr="00A37BCE" w:rsidRDefault="003A4FB0" w:rsidP="003A4FB0">
      <w:pPr>
        <w:jc w:val="both"/>
        <w:rPr>
          <w:b/>
          <w:color w:val="002060"/>
          <w:sz w:val="20"/>
          <w:highlight w:val="yellow"/>
          <w:lang w:val="sr-Cyrl-RS"/>
        </w:rPr>
      </w:pPr>
      <w:r w:rsidRPr="00A37BCE">
        <w:rPr>
          <w:b/>
          <w:noProof/>
          <w:color w:val="002060"/>
          <w:sz w:val="20"/>
        </w:rPr>
        <w:drawing>
          <wp:inline distT="0" distB="0" distL="0" distR="0" wp14:anchorId="7EF3C7E7" wp14:editId="6948DEC7">
            <wp:extent cx="2743200" cy="133604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Dospeće.PNG"/>
                    <pic:cNvPicPr/>
                  </pic:nvPicPr>
                  <pic:blipFill>
                    <a:blip r:embed="rId89" cstate="print">
                      <a:extLst>
                        <a:ext uri="{28A0092B-C50C-407E-A947-70E740481C1C}">
                          <a14:useLocalDpi xmlns:a14="http://schemas.microsoft.com/office/drawing/2010/main" val="0"/>
                        </a:ext>
                      </a:extLst>
                    </a:blip>
                    <a:stretch>
                      <a:fillRect/>
                    </a:stretch>
                  </pic:blipFill>
                  <pic:spPr>
                    <a:xfrm>
                      <a:off x="0" y="0"/>
                      <a:ext cx="2743200" cy="1336040"/>
                    </a:xfrm>
                    <a:prstGeom prst="rect">
                      <a:avLst/>
                    </a:prstGeom>
                  </pic:spPr>
                </pic:pic>
              </a:graphicData>
            </a:graphic>
          </wp:inline>
        </w:drawing>
      </w:r>
    </w:p>
    <w:p w14:paraId="3A2FABE8" w14:textId="00D1D29E" w:rsidR="003A4FB0" w:rsidRPr="00A37BCE" w:rsidRDefault="003A4FB0" w:rsidP="003A4FB0">
      <w:pPr>
        <w:jc w:val="both"/>
        <w:rPr>
          <w:b/>
          <w:color w:val="2F5496" w:themeColor="accent1" w:themeShade="BF"/>
          <w:lang w:val="sr-Cyrl-RS"/>
        </w:rPr>
      </w:pPr>
      <w:r w:rsidRPr="00A37BCE">
        <w:rPr>
          <w:b/>
          <w:color w:val="2F5496" w:themeColor="accent1" w:themeShade="BF"/>
          <w:lang w:val="sr-Cyrl-RS"/>
        </w:rPr>
        <w:t>Мере за унапређење тржишта динарских хартија од вредности у периоду 2018–2021. годин</w:t>
      </w:r>
      <w:r w:rsidR="0078544E">
        <w:rPr>
          <w:b/>
          <w:color w:val="2F5496" w:themeColor="accent1" w:themeShade="BF"/>
          <w:lang w:val="sr-Cyrl-RS"/>
        </w:rPr>
        <w:t>е</w:t>
      </w:r>
    </w:p>
    <w:p w14:paraId="51E2B028" w14:textId="646B84D9"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 xml:space="preserve">Тржиште државних хартија од вредности, у периоду од 2012. године до септембра 2018. године, карактерише испуњавање зацртаних стратешких циљева, првенствено у погледу инструмената финансирања, као и у развоју и одржавању стабилности диверсификоване базе инвеститора. Преласком са краткорочних извора финансирања који се везују за период до 2010. године, на средњорочне и дугорочне инструменте финансирања уз константно смањење трошкова </w:t>
      </w:r>
      <w:r w:rsidRPr="00A37BCE">
        <w:rPr>
          <w:rFonts w:cstheme="minorHAnsi"/>
          <w:bCs/>
          <w:color w:val="44546A" w:themeColor="text2"/>
          <w:sz w:val="20"/>
          <w:szCs w:val="72"/>
          <w:lang w:val="sr-Cyrl-RS"/>
        </w:rPr>
        <w:lastRenderedPageBreak/>
        <w:t xml:space="preserve">задуживања, утиче се на смањење ризика рефинансирања, као једног од примарних ризика у процесу управљања јавним дугом. На крају 2013. године учешће дугорочних динарских инструмената по оригиналној рочности од три и више година износило је 38,3% у стању динарских хартија од вредности, док је на крају септембра 2018. године износило </w:t>
      </w:r>
      <w:r w:rsidR="00D82D2A">
        <w:rPr>
          <w:rFonts w:cstheme="minorHAnsi"/>
          <w:bCs/>
          <w:color w:val="44546A" w:themeColor="text2"/>
          <w:sz w:val="20"/>
          <w:szCs w:val="72"/>
          <w:lang w:val="sr-Cyrl-RS"/>
        </w:rPr>
        <w:t>92,0%.</w:t>
      </w:r>
    </w:p>
    <w:p w14:paraId="008CD650" w14:textId="405F6313"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 xml:space="preserve">Транспарентност у раду и извештавању, као и присутност на међународном тржишту капитала, утиче на информисаност, а тиме и на заинтересованост нерезидената да инвестирају капитал у дужничке инструменте, првенствено у државне динарске дугорочне хартије од вредности, чиме се остварује раст стабилне базе инвеститора. У 2014. години по први пут су емитоване десетогодишње обвезнице чиме се заокружио развој рочности на криви приноса, како динарских тако и евро деноминованих државних хартија од вредности. У фебруару 2015. године по први пут је емитована </w:t>
      </w:r>
      <w:r w:rsidR="002745EB">
        <w:rPr>
          <w:rFonts w:cstheme="minorHAnsi"/>
          <w:bCs/>
          <w:color w:val="44546A" w:themeColor="text2"/>
          <w:sz w:val="20"/>
          <w:szCs w:val="72"/>
          <w:lang w:val="sr-Cyrl-RS"/>
        </w:rPr>
        <w:t>„бенчмаркˮ</w:t>
      </w:r>
      <w:r w:rsidRPr="00A37BCE">
        <w:rPr>
          <w:rFonts w:cstheme="minorHAnsi"/>
          <w:bCs/>
          <w:color w:val="44546A" w:themeColor="text2"/>
          <w:sz w:val="20"/>
          <w:szCs w:val="72"/>
          <w:lang w:val="sr-Cyrl-RS"/>
        </w:rPr>
        <w:t xml:space="preserve"> емисија на домаћем финансијском тржишту рочности седам година у износу од 50,0 млрд динара. Током 2015. године емитоване су и две трогодишње обвезнице у износу од по 50,0 млрд динара. Услед успешне реализације </w:t>
      </w:r>
      <w:r w:rsidR="004B69DB">
        <w:rPr>
          <w:rFonts w:cstheme="minorHAnsi"/>
          <w:bCs/>
          <w:color w:val="44546A" w:themeColor="text2"/>
          <w:sz w:val="20"/>
          <w:szCs w:val="72"/>
          <w:lang w:val="sr-Cyrl-RS"/>
        </w:rPr>
        <w:t>„</w:t>
      </w:r>
      <w:r w:rsidR="002745EB">
        <w:rPr>
          <w:rFonts w:cstheme="minorHAnsi"/>
          <w:bCs/>
          <w:color w:val="44546A" w:themeColor="text2"/>
          <w:sz w:val="20"/>
          <w:szCs w:val="72"/>
          <w:lang w:val="sr-Cyrl-RS"/>
        </w:rPr>
        <w:t>бенчмарк</w:t>
      </w:r>
      <w:r w:rsidR="004B69DB" w:rsidRPr="00A37BCE">
        <w:rPr>
          <w:rFonts w:cstheme="minorHAnsi"/>
          <w:bCs/>
          <w:color w:val="44546A" w:themeColor="text2"/>
          <w:sz w:val="20"/>
          <w:szCs w:val="72"/>
          <w:lang w:val="sr-Cyrl-RS"/>
        </w:rPr>
        <w:t>ˮ</w:t>
      </w:r>
      <w:r w:rsidRPr="00A37BCE">
        <w:rPr>
          <w:rFonts w:cstheme="minorHAnsi"/>
          <w:bCs/>
          <w:color w:val="44546A" w:themeColor="text2"/>
          <w:sz w:val="20"/>
          <w:szCs w:val="72"/>
          <w:lang w:val="sr-Cyrl-RS"/>
        </w:rPr>
        <w:t xml:space="preserve"> емисија током 2015. године, са истом праксом је настављено током 2016. године. У фебруару и јулу 2016. године емитоване су </w:t>
      </w:r>
      <w:r w:rsidR="004B69DB">
        <w:rPr>
          <w:rFonts w:cstheme="minorHAnsi"/>
          <w:bCs/>
          <w:color w:val="44546A" w:themeColor="text2"/>
          <w:sz w:val="20"/>
          <w:szCs w:val="72"/>
          <w:lang w:val="sr-Cyrl-RS"/>
        </w:rPr>
        <w:t>„</w:t>
      </w:r>
      <w:r w:rsidR="002745EB">
        <w:rPr>
          <w:rFonts w:cstheme="minorHAnsi"/>
          <w:bCs/>
          <w:color w:val="44546A" w:themeColor="text2"/>
          <w:sz w:val="20"/>
          <w:szCs w:val="72"/>
          <w:lang w:val="sr-Cyrl-RS"/>
        </w:rPr>
        <w:t>бенчмарк</w:t>
      </w:r>
      <w:r w:rsidR="004B69DB" w:rsidRPr="00A37BCE">
        <w:rPr>
          <w:rFonts w:cstheme="minorHAnsi"/>
          <w:bCs/>
          <w:color w:val="44546A" w:themeColor="text2"/>
          <w:sz w:val="20"/>
          <w:szCs w:val="72"/>
          <w:lang w:val="sr-Cyrl-RS"/>
        </w:rPr>
        <w:t>ˮ</w:t>
      </w:r>
      <w:r w:rsidRPr="00A37BCE">
        <w:rPr>
          <w:rFonts w:cstheme="minorHAnsi"/>
          <w:bCs/>
          <w:color w:val="44546A" w:themeColor="text2"/>
          <w:sz w:val="20"/>
          <w:szCs w:val="72"/>
          <w:lang w:val="sr-Cyrl-RS"/>
        </w:rPr>
        <w:t xml:space="preserve"> трогодишња и седмогодишња обвезница обима емисије по 110,0 млрд динара. У априлу 2017. године емитована је трогодишња </w:t>
      </w:r>
      <w:r w:rsidR="004B69DB">
        <w:rPr>
          <w:rFonts w:cstheme="minorHAnsi"/>
          <w:bCs/>
          <w:color w:val="44546A" w:themeColor="text2"/>
          <w:sz w:val="20"/>
          <w:szCs w:val="72"/>
          <w:lang w:val="sr-Cyrl-RS"/>
        </w:rPr>
        <w:t>„</w:t>
      </w:r>
      <w:r w:rsidR="002745EB">
        <w:rPr>
          <w:rFonts w:cstheme="minorHAnsi"/>
          <w:bCs/>
          <w:color w:val="44546A" w:themeColor="text2"/>
          <w:sz w:val="20"/>
          <w:szCs w:val="72"/>
          <w:lang w:val="sr-Cyrl-RS"/>
        </w:rPr>
        <w:t>бенчмарк</w:t>
      </w:r>
      <w:r w:rsidR="004B69DB" w:rsidRPr="00A37BCE">
        <w:rPr>
          <w:rFonts w:cstheme="minorHAnsi"/>
          <w:bCs/>
          <w:color w:val="44546A" w:themeColor="text2"/>
          <w:sz w:val="20"/>
          <w:szCs w:val="72"/>
          <w:lang w:val="sr-Cyrl-RS"/>
        </w:rPr>
        <w:t>ˮ</w:t>
      </w:r>
      <w:r w:rsidR="004B69DB">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t xml:space="preserve">обвезница обима емисије у износу од 110,0 млрд динара. У јануару и фебруару 2018. године емитоване су </w:t>
      </w:r>
      <w:r w:rsidR="002745EB">
        <w:rPr>
          <w:rFonts w:cstheme="minorHAnsi"/>
          <w:bCs/>
          <w:color w:val="44546A" w:themeColor="text2"/>
          <w:sz w:val="20"/>
          <w:szCs w:val="72"/>
          <w:lang w:val="sr-Cyrl-RS"/>
        </w:rPr>
        <w:t>„бенчмаркˮ</w:t>
      </w:r>
      <w:r w:rsidRPr="00A37BCE">
        <w:rPr>
          <w:rFonts w:cstheme="minorHAnsi"/>
          <w:bCs/>
          <w:color w:val="44546A" w:themeColor="text2"/>
          <w:sz w:val="20"/>
          <w:szCs w:val="72"/>
          <w:lang w:val="sr-Cyrl-RS"/>
        </w:rPr>
        <w:t xml:space="preserve"> петогодишња и десетогодишња обвезница обима емисије по 110,0 млрд динара. Овим емисијама знатно је повећан обим секундарног трговања ових инструмената што је допринело и паду извршних стопа приноса на </w:t>
      </w:r>
      <w:r w:rsidR="00D82D2A">
        <w:rPr>
          <w:rFonts w:cstheme="minorHAnsi"/>
          <w:bCs/>
          <w:color w:val="44546A" w:themeColor="text2"/>
          <w:sz w:val="20"/>
          <w:szCs w:val="72"/>
          <w:lang w:val="sr-Cyrl-RS"/>
        </w:rPr>
        <w:t>реотварањима поменутих емисија.</w:t>
      </w:r>
    </w:p>
    <w:p w14:paraId="36065E21" w14:textId="18C8F9DA"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 xml:space="preserve">У циљу даљег развоја секундарног тржишта државних хартија од вредности од 12. новембра 2015. године омогућено је трговање дугорочним државним хартијама од </w:t>
      </w:r>
      <w:r w:rsidR="00D82D2A">
        <w:rPr>
          <w:rFonts w:cstheme="minorHAnsi"/>
          <w:bCs/>
          <w:color w:val="44546A" w:themeColor="text2"/>
          <w:sz w:val="20"/>
          <w:szCs w:val="72"/>
          <w:lang w:val="sr-Cyrl-RS"/>
        </w:rPr>
        <w:t>вредности на Београдској берзи.</w:t>
      </w:r>
    </w:p>
    <w:p w14:paraId="2D55F221" w14:textId="58FCA528"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 xml:space="preserve"> У периоду за који се доноси ова Стратегија очекује се унапређење ефикасности примарног тржишта </w:t>
      </w:r>
      <w:r w:rsidRPr="00A37BCE">
        <w:rPr>
          <w:rFonts w:cstheme="minorHAnsi"/>
          <w:bCs/>
          <w:color w:val="44546A" w:themeColor="text2"/>
          <w:sz w:val="20"/>
          <w:szCs w:val="72"/>
          <w:lang w:val="sr-Cyrl-RS"/>
        </w:rPr>
        <w:lastRenderedPageBreak/>
        <w:t xml:space="preserve">кроз концепт примарних дилера, као механизма продаје државних хартија од вредности који директно, у дужем року, доприноси смањењу трошкова задуживања, као и смањењу ризика рефинансирања. Увођење система продаје државних хартија од вредности на домаћем финансијском тржишту преко примарних дилера, пружа добру основу за унапређење тржишне ефикасности секундарног тржишта државних хартија од вредности. Развојем секундарног тржишта, временом ће се успоставити концепт тржишне ефикасности у процесу вредновања државних хартија од вредности. Увођењем </w:t>
      </w:r>
      <w:r w:rsidR="002745EB">
        <w:rPr>
          <w:rFonts w:cstheme="minorHAnsi"/>
          <w:bCs/>
          <w:color w:val="44546A" w:themeColor="text2"/>
          <w:sz w:val="20"/>
          <w:szCs w:val="72"/>
          <w:lang w:val="sr-Cyrl-RS"/>
        </w:rPr>
        <w:t>„бенчмаркˮ</w:t>
      </w:r>
      <w:r w:rsidRPr="00A37BCE">
        <w:rPr>
          <w:rFonts w:cstheme="minorHAnsi"/>
          <w:bCs/>
          <w:color w:val="44546A" w:themeColor="text2"/>
          <w:sz w:val="20"/>
          <w:szCs w:val="72"/>
          <w:lang w:val="sr-Cyrl-RS"/>
        </w:rPr>
        <w:t xml:space="preserve"> емисија обвезница остварио се позитиван ефекат на обим и континуитет секундарног трговања, као и на унапређење тржишне ефикасности у поступку продаје државних хартија на примарном тржишту.</w:t>
      </w:r>
    </w:p>
    <w:p w14:paraId="5536AEA2" w14:textId="49A26455"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Као водеће факторе који утичу на криву приноса државних хартија од вредности потребно је издвојити фискални резултат, очекивану стопу инфлације и девизни курс. Као посебну групу фактора потребно је издвојити макроекономска кретања и очекивања, као и промене на међународном финансијском тржишту, које се рефл</w:t>
      </w:r>
      <w:r w:rsidR="00D82D2A">
        <w:rPr>
          <w:rFonts w:cstheme="minorHAnsi"/>
          <w:bCs/>
          <w:color w:val="44546A" w:themeColor="text2"/>
          <w:sz w:val="20"/>
          <w:szCs w:val="72"/>
          <w:lang w:val="sr-Cyrl-RS"/>
        </w:rPr>
        <w:t>ектују на премију ризика земље.</w:t>
      </w:r>
    </w:p>
    <w:p w14:paraId="2DD6641B"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 xml:space="preserve">На крају 2011. године просечна рочност динарских хартија од вредности је износила 272 дана (0,75 године), на крају 2012. године 394 дана (1,1 годину), на крају 2013. године 469 дана (1,3 године), на крају 2014. године 645 дана (1,8 годину), на крају 2015. године 749 дана (2,1 годину), на крају 2016. године 789 дана (2,2 године), на крају 2017. године 864 дана (2,4 године), док је на дан 30. септембар 2018. године </w:t>
      </w:r>
      <w:r w:rsidRPr="00A37BCE">
        <w:rPr>
          <w:rFonts w:cstheme="minorHAnsi"/>
          <w:bCs/>
          <w:color w:val="44546A" w:themeColor="text2"/>
          <w:sz w:val="20"/>
          <w:szCs w:val="72"/>
          <w:lang w:val="sr-Cyrl-RS"/>
        </w:rPr>
        <w:lastRenderedPageBreak/>
        <w:t>износила 1470 дана (4,1 годину). Развој домаћег тржишта државних хартија од вредности биће од стране Републике Србије потпомогнут следећим мерама:</w:t>
      </w:r>
    </w:p>
    <w:p w14:paraId="14CB1ED4"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 Укључивањем државних хартија од вредности деноминованих у домаћој валути у неки од глобалних индекса државних обвезница земаља у успону (Local Currency Government Bond Emerging Market Index). Укључивање обвезница Републике Србије у неки од глобалних индекса значајно би повећало базу инвеститора и поспешило секундарно трговање, што би допринело даљем смањењу трошкова задуживања путем емисија динарских државних хартија од вредности;</w:t>
      </w:r>
    </w:p>
    <w:p w14:paraId="4F6A5546"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 У циљу креирања што веће базе инвеститора и развоја секундарног тржишта хартија од вредности емитованих на домаћем тржишту, креиран је једнак порески третман домаћих и страних инвеститора крајем 2011. године, и у наредном периоду тежиће се уклањању свих евентуалних препрека за слободан проток капитала. Размотриће се у наредном периоду могућност да се клиринг и салдирање трансакција са домаћим хартијама од вредности врши преко међународног клиринг система:</w:t>
      </w:r>
    </w:p>
    <w:p w14:paraId="3D56495A" w14:textId="77777777" w:rsidR="003A4FB0" w:rsidRPr="00A37BCE" w:rsidRDefault="003A4FB0" w:rsidP="003A4FB0">
      <w:pPr>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 У наредном периоду радиће се на увођењу система примарних дилера;</w:t>
      </w:r>
    </w:p>
    <w:p w14:paraId="2FC6A823" w14:textId="38A138A4" w:rsidR="001E3C08" w:rsidRPr="00A37BCE" w:rsidRDefault="003A4FB0" w:rsidP="003A4FB0">
      <w:pPr>
        <w:jc w:val="both"/>
        <w:rPr>
          <w:rFonts w:cstheme="minorHAnsi"/>
          <w:bCs/>
          <w:color w:val="44546A" w:themeColor="text2"/>
          <w:sz w:val="20"/>
          <w:szCs w:val="72"/>
          <w:lang w:val="sr-Cyrl-RS"/>
        </w:rPr>
        <w:sectPr w:rsidR="001E3C08" w:rsidRPr="00A37BCE">
          <w:type w:val="continuous"/>
          <w:pgSz w:w="12240" w:h="15840"/>
          <w:pgMar w:top="1417" w:right="1417" w:bottom="1417" w:left="1417" w:header="720" w:footer="720" w:gutter="0"/>
          <w:cols w:num="2" w:space="720"/>
        </w:sectPr>
      </w:pPr>
      <w:r w:rsidRPr="00A37BCE">
        <w:rPr>
          <w:rFonts w:cstheme="minorHAnsi"/>
          <w:bCs/>
          <w:color w:val="44546A" w:themeColor="text2"/>
          <w:sz w:val="20"/>
          <w:szCs w:val="72"/>
          <w:lang w:val="sr-Cyrl-RS"/>
        </w:rPr>
        <w:t>• У циљу повећања улагања домаћих физичких лица учиниће се додатни напори у домену едукације становништва Републике Србије, како би инвестирали у штедне обвезнице Републике Србије чија je прва емисија била 27. децембра 2017. године.</w:t>
      </w:r>
    </w:p>
    <w:p w14:paraId="75D1B0FB" w14:textId="77777777" w:rsidR="001E3C08" w:rsidRPr="00A37BCE" w:rsidRDefault="001E3C08" w:rsidP="00163ABC">
      <w:pPr>
        <w:jc w:val="both"/>
        <w:rPr>
          <w:rFonts w:cstheme="minorHAnsi"/>
          <w:bCs/>
          <w:color w:val="44546A" w:themeColor="text2"/>
          <w:sz w:val="20"/>
          <w:szCs w:val="72"/>
          <w:lang w:val="sr-Cyrl-RS"/>
        </w:rPr>
        <w:sectPr w:rsidR="001E3C08" w:rsidRPr="00A37BCE" w:rsidSect="001E3C08">
          <w:type w:val="continuous"/>
          <w:pgSz w:w="12240" w:h="15840"/>
          <w:pgMar w:top="1440" w:right="1440" w:bottom="1440" w:left="1440" w:header="720" w:footer="720" w:gutter="0"/>
          <w:cols w:space="720"/>
          <w:docGrid w:linePitch="360"/>
        </w:sectPr>
      </w:pPr>
    </w:p>
    <w:p w14:paraId="69503183" w14:textId="535B6F82" w:rsidR="009877EB" w:rsidRPr="00A37BCE" w:rsidRDefault="009877EB" w:rsidP="00163ABC">
      <w:pPr>
        <w:jc w:val="both"/>
        <w:rPr>
          <w:rFonts w:cstheme="minorHAnsi"/>
          <w:bCs/>
          <w:color w:val="44546A" w:themeColor="text2"/>
          <w:sz w:val="20"/>
          <w:szCs w:val="72"/>
          <w:lang w:val="sr-Cyrl-RS"/>
        </w:rPr>
      </w:pPr>
    </w:p>
    <w:p w14:paraId="6B1CDCA1" w14:textId="77777777" w:rsidR="00342D1C" w:rsidRPr="00A37BCE" w:rsidRDefault="00342D1C" w:rsidP="00163ABC">
      <w:pPr>
        <w:jc w:val="both"/>
        <w:rPr>
          <w:rFonts w:cstheme="minorHAnsi"/>
          <w:bCs/>
          <w:color w:val="44546A" w:themeColor="text2"/>
          <w:sz w:val="20"/>
          <w:szCs w:val="72"/>
          <w:lang w:val="sr-Cyrl-RS"/>
        </w:rPr>
      </w:pPr>
    </w:p>
    <w:p w14:paraId="4D48F769" w14:textId="77777777" w:rsidR="00342D1C" w:rsidRPr="00A37BCE" w:rsidRDefault="00342D1C" w:rsidP="00163ABC">
      <w:pPr>
        <w:jc w:val="both"/>
        <w:rPr>
          <w:rFonts w:cstheme="minorHAnsi"/>
          <w:bCs/>
          <w:color w:val="44546A" w:themeColor="text2"/>
          <w:sz w:val="20"/>
          <w:szCs w:val="72"/>
          <w:lang w:val="sr-Cyrl-RS"/>
        </w:rPr>
      </w:pPr>
    </w:p>
    <w:p w14:paraId="034858C8" w14:textId="77777777" w:rsidR="00342D1C" w:rsidRPr="00A37BCE" w:rsidRDefault="00342D1C" w:rsidP="00163ABC">
      <w:pPr>
        <w:jc w:val="both"/>
        <w:rPr>
          <w:rFonts w:cstheme="minorHAnsi"/>
          <w:bCs/>
          <w:color w:val="44546A" w:themeColor="text2"/>
          <w:sz w:val="20"/>
          <w:szCs w:val="72"/>
          <w:lang w:val="sr-Cyrl-RS"/>
        </w:rPr>
      </w:pPr>
    </w:p>
    <w:p w14:paraId="098297C6" w14:textId="77777777" w:rsidR="00342D1C" w:rsidRPr="00A37BCE" w:rsidRDefault="00342D1C" w:rsidP="00163ABC">
      <w:pPr>
        <w:jc w:val="both"/>
        <w:rPr>
          <w:rFonts w:cstheme="minorHAnsi"/>
          <w:bCs/>
          <w:color w:val="44546A" w:themeColor="text2"/>
          <w:sz w:val="20"/>
          <w:szCs w:val="72"/>
          <w:lang w:val="sr-Cyrl-RS"/>
        </w:rPr>
      </w:pPr>
    </w:p>
    <w:p w14:paraId="7205335D" w14:textId="77777777" w:rsidR="00342D1C" w:rsidRPr="00A37BCE" w:rsidRDefault="00342D1C" w:rsidP="00163ABC">
      <w:pPr>
        <w:jc w:val="both"/>
        <w:rPr>
          <w:rFonts w:cstheme="minorHAnsi"/>
          <w:bCs/>
          <w:color w:val="44546A" w:themeColor="text2"/>
          <w:sz w:val="20"/>
          <w:szCs w:val="72"/>
          <w:lang w:val="sr-Cyrl-RS"/>
        </w:rPr>
      </w:pPr>
    </w:p>
    <w:p w14:paraId="4E0FEB72" w14:textId="77777777" w:rsidR="004B69DB" w:rsidRDefault="004B69DB">
      <w:pPr>
        <w:rPr>
          <w:rFonts w:cstheme="minorHAnsi"/>
          <w:b/>
          <w:bCs/>
          <w:color w:val="2F5496" w:themeColor="accent1" w:themeShade="BF"/>
          <w:sz w:val="26"/>
          <w:szCs w:val="26"/>
          <w:lang w:val="sr-Cyrl-RS"/>
        </w:rPr>
      </w:pPr>
      <w:bookmarkStart w:id="22" w:name="_Toc530042005"/>
      <w:r>
        <w:rPr>
          <w:rFonts w:cstheme="minorHAnsi"/>
          <w:b/>
          <w:bCs/>
          <w:color w:val="2F5496" w:themeColor="accent1" w:themeShade="BF"/>
          <w:sz w:val="26"/>
          <w:szCs w:val="26"/>
          <w:lang w:val="sr-Cyrl-RS"/>
        </w:rPr>
        <w:br w:type="page"/>
      </w:r>
    </w:p>
    <w:p w14:paraId="4FBA7EF2" w14:textId="67CA118B" w:rsidR="00342D1C" w:rsidRPr="00B01111" w:rsidRDefault="00342D1C" w:rsidP="00342D1C">
      <w:pPr>
        <w:keepNext/>
        <w:keepLines/>
        <w:spacing w:after="0" w:line="240" w:lineRule="auto"/>
        <w:jc w:val="center"/>
        <w:outlineLvl w:val="0"/>
        <w:rPr>
          <w:rFonts w:cstheme="minorHAnsi"/>
          <w:b/>
          <w:bCs/>
          <w:color w:val="44546A" w:themeColor="text2"/>
          <w:sz w:val="26"/>
          <w:szCs w:val="26"/>
          <w:lang w:val="sr-Cyrl-RS"/>
        </w:rPr>
      </w:pPr>
      <w:r w:rsidRPr="00B01111">
        <w:rPr>
          <w:rFonts w:cstheme="minorHAnsi"/>
          <w:b/>
          <w:bCs/>
          <w:color w:val="2F5496" w:themeColor="accent1" w:themeShade="BF"/>
          <w:sz w:val="26"/>
          <w:szCs w:val="26"/>
          <w:lang w:val="sr-Cyrl-RS"/>
        </w:rPr>
        <w:lastRenderedPageBreak/>
        <w:t>IV. ЗАВРШНЕ ОДРЕДБЕ</w:t>
      </w:r>
      <w:bookmarkEnd w:id="22"/>
    </w:p>
    <w:p w14:paraId="40A4DF1C" w14:textId="77777777" w:rsidR="00342D1C" w:rsidRPr="00DE7A6C" w:rsidRDefault="00342D1C" w:rsidP="00DE7A6C">
      <w:pPr>
        <w:spacing w:after="0"/>
        <w:ind w:firstLine="720"/>
        <w:jc w:val="both"/>
        <w:rPr>
          <w:rFonts w:cstheme="minorHAnsi"/>
          <w:bCs/>
          <w:color w:val="44546A" w:themeColor="text2"/>
          <w:sz w:val="20"/>
          <w:szCs w:val="72"/>
          <w:lang w:val="sr-Cyrl-RS"/>
        </w:rPr>
      </w:pPr>
    </w:p>
    <w:p w14:paraId="5E03EC39" w14:textId="77777777" w:rsidR="00B01111" w:rsidRDefault="00B01111" w:rsidP="00342D1C">
      <w:pPr>
        <w:spacing w:after="0"/>
        <w:ind w:firstLine="720"/>
        <w:jc w:val="both"/>
        <w:rPr>
          <w:rFonts w:cstheme="minorHAnsi"/>
          <w:bCs/>
          <w:color w:val="44546A" w:themeColor="text2"/>
          <w:sz w:val="20"/>
          <w:szCs w:val="72"/>
          <w:lang w:val="sr-Cyrl-RS"/>
        </w:rPr>
      </w:pPr>
    </w:p>
    <w:p w14:paraId="7A13824A" w14:textId="77777777" w:rsidR="00B01111" w:rsidRDefault="00B01111" w:rsidP="00342D1C">
      <w:pPr>
        <w:spacing w:after="0"/>
        <w:ind w:firstLine="720"/>
        <w:jc w:val="both"/>
        <w:rPr>
          <w:rFonts w:cstheme="minorHAnsi"/>
          <w:bCs/>
          <w:color w:val="44546A" w:themeColor="text2"/>
          <w:sz w:val="20"/>
          <w:szCs w:val="72"/>
          <w:lang w:val="sr-Cyrl-RS"/>
        </w:rPr>
      </w:pPr>
    </w:p>
    <w:p w14:paraId="100FFCCE" w14:textId="726DD1B8" w:rsidR="00342D1C" w:rsidRPr="00A37BCE" w:rsidRDefault="00342D1C" w:rsidP="00342D1C">
      <w:pPr>
        <w:spacing w:after="0"/>
        <w:ind w:firstLine="720"/>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Саставни део ове фискалне стратегије чине Прилог 1 – Пројекција основних макроекономских индикатора и Прилог 2 – Фискални оквир опште државе у 2019. години, који су одштамп</w:t>
      </w:r>
      <w:r w:rsidR="00710858">
        <w:rPr>
          <w:rFonts w:cstheme="minorHAnsi"/>
          <w:bCs/>
          <w:color w:val="44546A" w:themeColor="text2"/>
          <w:sz w:val="20"/>
          <w:szCs w:val="72"/>
          <w:lang w:val="sr-Cyrl-RS"/>
        </w:rPr>
        <w:t>ани уз ову фискалну стратегију.</w:t>
      </w:r>
    </w:p>
    <w:p w14:paraId="33431864" w14:textId="2E354AE2" w:rsidR="001441C8" w:rsidRDefault="00342D1C" w:rsidP="000544FF">
      <w:pPr>
        <w:spacing w:after="0"/>
        <w:ind w:firstLine="720"/>
        <w:jc w:val="both"/>
        <w:rPr>
          <w:rFonts w:cstheme="minorHAnsi"/>
          <w:bCs/>
          <w:color w:val="44546A" w:themeColor="text2"/>
          <w:sz w:val="20"/>
          <w:szCs w:val="72"/>
          <w:lang w:val="sr-Cyrl-RS"/>
        </w:rPr>
      </w:pPr>
      <w:r w:rsidRPr="00A37BCE">
        <w:rPr>
          <w:rFonts w:cstheme="minorHAnsi"/>
          <w:bCs/>
          <w:color w:val="44546A" w:themeColor="text2"/>
          <w:sz w:val="20"/>
          <w:szCs w:val="72"/>
          <w:lang w:val="sr-Cyrl-RS"/>
        </w:rPr>
        <w:t>Ову фискалну стратегију објавити у „Службеном гласнику Републике Србије”.</w:t>
      </w:r>
    </w:p>
    <w:p w14:paraId="206390ED" w14:textId="77777777" w:rsidR="00B01111" w:rsidRPr="00A37BCE" w:rsidRDefault="00B01111" w:rsidP="00543BEB">
      <w:pPr>
        <w:spacing w:after="0"/>
        <w:jc w:val="right"/>
        <w:rPr>
          <w:rFonts w:cstheme="minorHAnsi"/>
          <w:bCs/>
          <w:color w:val="44546A" w:themeColor="text2"/>
          <w:sz w:val="20"/>
          <w:szCs w:val="72"/>
          <w:lang w:val="sr-Cyrl-RS"/>
        </w:rPr>
      </w:pPr>
    </w:p>
    <w:p w14:paraId="12AE567C" w14:textId="7F8823A0" w:rsidR="00342D1C" w:rsidRPr="00A37BCE" w:rsidRDefault="00342D1C" w:rsidP="000544FF">
      <w:pPr>
        <w:spacing w:after="0"/>
        <w:rPr>
          <w:rFonts w:cstheme="minorHAnsi"/>
          <w:bCs/>
          <w:color w:val="44546A" w:themeColor="text2"/>
          <w:sz w:val="20"/>
          <w:szCs w:val="72"/>
          <w:lang w:val="sr-Cyrl-RS"/>
        </w:rPr>
      </w:pPr>
      <w:r w:rsidRPr="00A37BCE">
        <w:rPr>
          <w:rFonts w:cstheme="minorHAnsi"/>
          <w:bCs/>
          <w:color w:val="44546A" w:themeColor="text2"/>
          <w:sz w:val="20"/>
          <w:szCs w:val="72"/>
          <w:lang w:val="sr-Cyrl-RS"/>
        </w:rPr>
        <w:t>05 Број:</w:t>
      </w:r>
      <w:r w:rsidR="00DB0B29">
        <w:rPr>
          <w:rFonts w:cstheme="minorHAnsi"/>
          <w:bCs/>
          <w:color w:val="44546A" w:themeColor="text2"/>
          <w:sz w:val="20"/>
          <w:szCs w:val="72"/>
          <w:lang w:val="sr-Cyrl-RS"/>
        </w:rPr>
        <w:t xml:space="preserve"> 400-10928/2018-1</w:t>
      </w:r>
    </w:p>
    <w:p w14:paraId="45388C84" w14:textId="4F815009" w:rsidR="00342D1C" w:rsidRPr="00A37BCE" w:rsidRDefault="000544FF" w:rsidP="000544FF">
      <w:pPr>
        <w:spacing w:after="0"/>
        <w:rPr>
          <w:rFonts w:cstheme="minorHAnsi"/>
          <w:bCs/>
          <w:color w:val="44546A" w:themeColor="text2"/>
          <w:sz w:val="20"/>
          <w:szCs w:val="72"/>
          <w:lang w:val="sr-Cyrl-RS"/>
        </w:rPr>
      </w:pPr>
      <w:r>
        <w:rPr>
          <w:rFonts w:cstheme="minorHAnsi"/>
          <w:bCs/>
          <w:color w:val="44546A" w:themeColor="text2"/>
          <w:sz w:val="20"/>
          <w:szCs w:val="72"/>
          <w:lang w:val="sr-Cyrl-RS"/>
        </w:rPr>
        <w:t xml:space="preserve">У Београду,   </w:t>
      </w:r>
      <w:r w:rsidR="00DB0B29">
        <w:rPr>
          <w:rFonts w:cstheme="minorHAnsi"/>
          <w:bCs/>
          <w:color w:val="44546A" w:themeColor="text2"/>
          <w:sz w:val="20"/>
          <w:szCs w:val="72"/>
          <w:lang w:val="sr-Cyrl-RS"/>
        </w:rPr>
        <w:t xml:space="preserve">16. </w:t>
      </w:r>
      <w:bookmarkStart w:id="23" w:name="_GoBack"/>
      <w:bookmarkEnd w:id="23"/>
      <w:r w:rsidR="00342D1C" w:rsidRPr="00A37BCE">
        <w:rPr>
          <w:rFonts w:cstheme="minorHAnsi"/>
          <w:bCs/>
          <w:color w:val="44546A" w:themeColor="text2"/>
          <w:sz w:val="20"/>
          <w:szCs w:val="72"/>
          <w:lang w:val="sr-Cyrl-RS"/>
        </w:rPr>
        <w:t>новембра 2018. године</w:t>
      </w:r>
    </w:p>
    <w:p w14:paraId="25738A02" w14:textId="77777777" w:rsidR="00342D1C" w:rsidRPr="00A37BCE" w:rsidRDefault="00342D1C" w:rsidP="00543BEB">
      <w:pPr>
        <w:spacing w:after="0"/>
        <w:jc w:val="right"/>
        <w:rPr>
          <w:rFonts w:cstheme="minorHAnsi"/>
          <w:bCs/>
          <w:color w:val="44546A" w:themeColor="text2"/>
          <w:sz w:val="20"/>
          <w:szCs w:val="72"/>
          <w:lang w:val="sr-Cyrl-RS"/>
        </w:rPr>
      </w:pPr>
    </w:p>
    <w:p w14:paraId="5C823156" w14:textId="77777777" w:rsidR="00342D1C" w:rsidRPr="00A37BCE" w:rsidRDefault="00342D1C" w:rsidP="000544FF">
      <w:pPr>
        <w:spacing w:after="0"/>
        <w:jc w:val="center"/>
        <w:rPr>
          <w:rFonts w:cstheme="minorHAnsi"/>
          <w:bCs/>
          <w:color w:val="44546A" w:themeColor="text2"/>
          <w:sz w:val="20"/>
          <w:szCs w:val="72"/>
          <w:lang w:val="sr-Cyrl-RS"/>
        </w:rPr>
      </w:pPr>
      <w:r w:rsidRPr="00A37BCE">
        <w:rPr>
          <w:rFonts w:cstheme="minorHAnsi"/>
          <w:bCs/>
          <w:color w:val="44546A" w:themeColor="text2"/>
          <w:sz w:val="20"/>
          <w:szCs w:val="72"/>
          <w:lang w:val="sr-Cyrl-RS"/>
        </w:rPr>
        <w:t>В Л А Д А</w:t>
      </w:r>
    </w:p>
    <w:p w14:paraId="09AB9C71" w14:textId="77777777" w:rsidR="00342D1C" w:rsidRPr="00A37BCE" w:rsidRDefault="00342D1C" w:rsidP="00543BEB">
      <w:pPr>
        <w:spacing w:after="0"/>
        <w:jc w:val="right"/>
        <w:rPr>
          <w:rFonts w:cstheme="minorHAnsi"/>
          <w:bCs/>
          <w:color w:val="44546A" w:themeColor="text2"/>
          <w:sz w:val="20"/>
          <w:szCs w:val="72"/>
          <w:lang w:val="sr-Cyrl-RS"/>
        </w:rPr>
      </w:pPr>
    </w:p>
    <w:p w14:paraId="179D599E" w14:textId="6A7E11B0" w:rsidR="00342D1C" w:rsidRPr="00A37BCE" w:rsidRDefault="00342D1C" w:rsidP="000544FF">
      <w:pPr>
        <w:spacing w:after="0"/>
        <w:rPr>
          <w:rFonts w:cstheme="minorHAnsi"/>
          <w:bCs/>
          <w:color w:val="44546A" w:themeColor="text2"/>
          <w:sz w:val="20"/>
          <w:szCs w:val="72"/>
          <w:lang w:val="sr-Cyrl-RS"/>
        </w:rPr>
      </w:pPr>
      <w:r w:rsidRPr="00A37BCE">
        <w:rPr>
          <w:rFonts w:cstheme="minorHAnsi"/>
          <w:bCs/>
          <w:color w:val="44546A" w:themeColor="text2"/>
          <w:sz w:val="20"/>
          <w:szCs w:val="72"/>
          <w:lang w:val="sr-Cyrl-RS"/>
        </w:rPr>
        <w:t xml:space="preserve">                                                                        </w:t>
      </w:r>
      <w:r w:rsidR="000544FF">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t>ПРЕДСЕДНИК</w:t>
      </w:r>
    </w:p>
    <w:p w14:paraId="0A83CF94" w14:textId="77777777" w:rsidR="00342D1C" w:rsidRPr="00A37BCE" w:rsidRDefault="00342D1C" w:rsidP="000544FF">
      <w:pPr>
        <w:spacing w:after="0"/>
        <w:rPr>
          <w:rFonts w:cstheme="minorHAnsi"/>
          <w:bCs/>
          <w:color w:val="44546A" w:themeColor="text2"/>
          <w:sz w:val="20"/>
          <w:szCs w:val="72"/>
          <w:lang w:val="sr-Cyrl-RS"/>
        </w:rPr>
      </w:pPr>
    </w:p>
    <w:p w14:paraId="7DBF17AF" w14:textId="271BBF36" w:rsidR="00342D1C" w:rsidRPr="00A37BCE" w:rsidRDefault="00342D1C" w:rsidP="000544FF">
      <w:pPr>
        <w:spacing w:after="0"/>
        <w:rPr>
          <w:rFonts w:cstheme="minorHAnsi"/>
          <w:bCs/>
          <w:color w:val="44546A" w:themeColor="text2"/>
          <w:sz w:val="20"/>
          <w:szCs w:val="72"/>
          <w:lang w:val="sr-Cyrl-RS"/>
        </w:rPr>
      </w:pPr>
      <w:r w:rsidRPr="00A37BCE">
        <w:rPr>
          <w:rFonts w:cstheme="minorHAnsi"/>
          <w:bCs/>
          <w:color w:val="44546A" w:themeColor="text2"/>
          <w:sz w:val="20"/>
          <w:szCs w:val="72"/>
          <w:lang w:val="sr-Cyrl-RS"/>
        </w:rPr>
        <w:t xml:space="preserve">                                                                                                          </w:t>
      </w:r>
      <w:r w:rsidR="000544FF">
        <w:rPr>
          <w:rFonts w:cstheme="minorHAnsi"/>
          <w:bCs/>
          <w:color w:val="44546A" w:themeColor="text2"/>
          <w:sz w:val="20"/>
          <w:szCs w:val="72"/>
          <w:lang w:val="sr-Cyrl-RS"/>
        </w:rPr>
        <w:t xml:space="preserve">                                                    </w:t>
      </w:r>
      <w:r w:rsidRPr="00A37BCE">
        <w:rPr>
          <w:rFonts w:cstheme="minorHAnsi"/>
          <w:bCs/>
          <w:color w:val="44546A" w:themeColor="text2"/>
          <w:sz w:val="20"/>
          <w:szCs w:val="72"/>
          <w:lang w:val="sr-Cyrl-RS"/>
        </w:rPr>
        <w:t xml:space="preserve"> Ана Брнабић                  </w:t>
      </w:r>
    </w:p>
    <w:p w14:paraId="26FC9A40" w14:textId="77777777" w:rsidR="00342D1C" w:rsidRPr="00A37BCE" w:rsidRDefault="00342D1C" w:rsidP="00543BEB">
      <w:pPr>
        <w:spacing w:after="0"/>
        <w:jc w:val="right"/>
        <w:rPr>
          <w:rFonts w:cstheme="minorHAnsi"/>
          <w:bCs/>
          <w:color w:val="44546A" w:themeColor="text2"/>
          <w:sz w:val="20"/>
          <w:szCs w:val="72"/>
          <w:lang w:val="sr-Cyrl-RS"/>
        </w:rPr>
      </w:pPr>
    </w:p>
    <w:p w14:paraId="43B63E86" w14:textId="77777777" w:rsidR="00342D1C" w:rsidRPr="00A37BCE" w:rsidRDefault="00342D1C" w:rsidP="00342D1C">
      <w:pPr>
        <w:spacing w:after="0" w:line="240" w:lineRule="auto"/>
        <w:ind w:firstLine="720"/>
        <w:rPr>
          <w:rFonts w:cstheme="minorHAnsi"/>
          <w:bCs/>
          <w:color w:val="44546A" w:themeColor="text2"/>
          <w:sz w:val="20"/>
          <w:szCs w:val="72"/>
          <w:lang w:val="sr-Cyrl-RS"/>
        </w:rPr>
      </w:pPr>
    </w:p>
    <w:sectPr w:rsidR="00342D1C" w:rsidRPr="00A37BCE" w:rsidSect="001441C8">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B3E5248" w14:textId="77777777" w:rsidR="00B653E2" w:rsidRDefault="00B653E2" w:rsidP="00BF7F6A">
      <w:pPr>
        <w:spacing w:after="0" w:line="240" w:lineRule="auto"/>
      </w:pPr>
      <w:r>
        <w:separator/>
      </w:r>
    </w:p>
  </w:endnote>
  <w:endnote w:type="continuationSeparator" w:id="0">
    <w:p w14:paraId="74187EFF" w14:textId="77777777" w:rsidR="00B653E2" w:rsidRDefault="00B653E2" w:rsidP="00BF7F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PGothic">
    <w:panose1 w:val="020B0600070205080204"/>
    <w:charset w:val="80"/>
    <w:family w:val="swiss"/>
    <w:pitch w:val="variable"/>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6279ED" w14:textId="6E53DD94" w:rsidR="00E90149" w:rsidRDefault="00E90149" w:rsidP="00D20C27">
    <w:pPr>
      <w:pStyle w:val="Footer"/>
      <w:jc w:val="right"/>
    </w:pPr>
  </w:p>
  <w:p w14:paraId="2FBC4FFB" w14:textId="77777777" w:rsidR="00E90149" w:rsidRDefault="00E90149">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98488944"/>
      <w:docPartObj>
        <w:docPartGallery w:val="Page Numbers (Bottom of Page)"/>
        <w:docPartUnique/>
      </w:docPartObj>
    </w:sdtPr>
    <w:sdtEndPr>
      <w:rPr>
        <w:noProof/>
      </w:rPr>
    </w:sdtEndPr>
    <w:sdtContent>
      <w:p w14:paraId="1D6F5B0B" w14:textId="47DE7333" w:rsidR="00010C73" w:rsidRDefault="00010C73">
        <w:pPr>
          <w:pStyle w:val="Footer"/>
          <w:jc w:val="right"/>
        </w:pPr>
        <w:r>
          <w:fldChar w:fldCharType="begin"/>
        </w:r>
        <w:r>
          <w:instrText xml:space="preserve"> PAGE   \* MERGEFORMAT </w:instrText>
        </w:r>
        <w:r>
          <w:fldChar w:fldCharType="separate"/>
        </w:r>
        <w:r w:rsidR="00DB0B29">
          <w:rPr>
            <w:noProof/>
          </w:rPr>
          <w:t>20</w:t>
        </w:r>
        <w:r>
          <w:rPr>
            <w:noProof/>
          </w:rPr>
          <w:fldChar w:fldCharType="end"/>
        </w:r>
      </w:p>
    </w:sdtContent>
  </w:sdt>
  <w:p w14:paraId="684067A1" w14:textId="77777777" w:rsidR="00E90149" w:rsidRDefault="00E90149">
    <w:pPr>
      <w:pStyle w:val="Foote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85913035"/>
      <w:docPartObj>
        <w:docPartGallery w:val="Page Numbers (Bottom of Page)"/>
        <w:docPartUnique/>
      </w:docPartObj>
    </w:sdtPr>
    <w:sdtEndPr>
      <w:rPr>
        <w:noProof/>
      </w:rPr>
    </w:sdtEndPr>
    <w:sdtContent>
      <w:p w14:paraId="4C876073" w14:textId="109CAE79" w:rsidR="00E90149" w:rsidRDefault="00E90149" w:rsidP="00D20C27">
        <w:pPr>
          <w:pStyle w:val="Footer"/>
          <w:jc w:val="right"/>
        </w:pPr>
        <w:r w:rsidRPr="00C92056">
          <w:rPr>
            <w:noProof/>
            <w:sz w:val="14"/>
            <w:lang w:val="sr-Cyrl-RS"/>
          </w:rPr>
          <w:t>ВЛАДА РЕПУБЛИКЕ СРБИЈЕ</w:t>
        </w:r>
        <w:r w:rsidRPr="00C92056">
          <w:t xml:space="preserve"> </w:t>
        </w:r>
        <w:r>
          <w:fldChar w:fldCharType="begin"/>
        </w:r>
        <w:r>
          <w:instrText xml:space="preserve"> PAGE   \* MERGEFORMAT </w:instrText>
        </w:r>
        <w:r>
          <w:fldChar w:fldCharType="separate"/>
        </w:r>
        <w:r>
          <w:rPr>
            <w:noProof/>
          </w:rPr>
          <w:t>28</w:t>
        </w:r>
        <w:r>
          <w:rPr>
            <w:noProof/>
          </w:rPr>
          <w:fldChar w:fldCharType="end"/>
        </w:r>
      </w:p>
    </w:sdtContent>
  </w:sdt>
  <w:p w14:paraId="008C0774" w14:textId="77777777" w:rsidR="00E90149" w:rsidRDefault="00E90149">
    <w:pPr>
      <w:pStyle w:val="Foote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9874572"/>
      <w:docPartObj>
        <w:docPartGallery w:val="Page Numbers (Bottom of Page)"/>
        <w:docPartUnique/>
      </w:docPartObj>
    </w:sdtPr>
    <w:sdtEndPr>
      <w:rPr>
        <w:noProof/>
      </w:rPr>
    </w:sdtEndPr>
    <w:sdtContent>
      <w:p w14:paraId="0A3845EC" w14:textId="409B59EE" w:rsidR="00A17140" w:rsidRDefault="00A17140">
        <w:pPr>
          <w:pStyle w:val="Footer"/>
          <w:jc w:val="right"/>
        </w:pPr>
        <w:r>
          <w:fldChar w:fldCharType="begin"/>
        </w:r>
        <w:r>
          <w:instrText xml:space="preserve"> PAGE   \* MERGEFORMAT </w:instrText>
        </w:r>
        <w:r>
          <w:fldChar w:fldCharType="separate"/>
        </w:r>
        <w:r w:rsidR="00DB0B29">
          <w:rPr>
            <w:noProof/>
          </w:rPr>
          <w:t>28</w:t>
        </w:r>
        <w:r>
          <w:rPr>
            <w:noProof/>
          </w:rPr>
          <w:fldChar w:fldCharType="end"/>
        </w:r>
      </w:p>
    </w:sdtContent>
  </w:sdt>
  <w:p w14:paraId="1AF91373" w14:textId="77777777" w:rsidR="00E90149" w:rsidRPr="004F72C4" w:rsidRDefault="00E90149" w:rsidP="004F72C4">
    <w:pPr>
      <w:pStyle w:val="Foote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15C507" w14:textId="77777777" w:rsidR="00E90149" w:rsidRPr="00231623" w:rsidRDefault="00E90149" w:rsidP="00231623">
    <w:pPr>
      <w:pStyle w:val="Footer"/>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42287518"/>
      <w:docPartObj>
        <w:docPartGallery w:val="Page Numbers (Bottom of Page)"/>
        <w:docPartUnique/>
      </w:docPartObj>
    </w:sdtPr>
    <w:sdtEndPr>
      <w:rPr>
        <w:noProof/>
      </w:rPr>
    </w:sdtEndPr>
    <w:sdtContent>
      <w:p w14:paraId="3116F5FB" w14:textId="3A85EC68" w:rsidR="00A17140" w:rsidRDefault="00A17140">
        <w:pPr>
          <w:pStyle w:val="Footer"/>
          <w:jc w:val="right"/>
        </w:pPr>
        <w:r>
          <w:fldChar w:fldCharType="begin"/>
        </w:r>
        <w:r>
          <w:instrText xml:space="preserve"> PAGE   \* MERGEFORMAT </w:instrText>
        </w:r>
        <w:r>
          <w:fldChar w:fldCharType="separate"/>
        </w:r>
        <w:r w:rsidR="00DB0B29">
          <w:rPr>
            <w:noProof/>
          </w:rPr>
          <w:t>35</w:t>
        </w:r>
        <w:r>
          <w:rPr>
            <w:noProof/>
          </w:rPr>
          <w:fldChar w:fldCharType="end"/>
        </w:r>
      </w:p>
    </w:sdtContent>
  </w:sdt>
  <w:p w14:paraId="1BE3345B" w14:textId="77777777" w:rsidR="00E90149" w:rsidRPr="00725FF8" w:rsidRDefault="00E90149" w:rsidP="00725FF8">
    <w:pPr>
      <w:pStyle w:val="Footer"/>
    </w:pP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CA5977" w14:textId="77777777" w:rsidR="00E90149" w:rsidRPr="00956C60" w:rsidRDefault="00E90149" w:rsidP="00956C60">
    <w:pPr>
      <w:pStyle w:val="Footer"/>
    </w:pP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00062743"/>
      <w:docPartObj>
        <w:docPartGallery w:val="Page Numbers (Bottom of Page)"/>
        <w:docPartUnique/>
      </w:docPartObj>
    </w:sdtPr>
    <w:sdtEndPr>
      <w:rPr>
        <w:noProof/>
      </w:rPr>
    </w:sdtEndPr>
    <w:sdtContent>
      <w:p w14:paraId="3EF15CBD" w14:textId="5D0CD353" w:rsidR="00A17140" w:rsidRDefault="00A17140">
        <w:pPr>
          <w:pStyle w:val="Footer"/>
          <w:jc w:val="right"/>
        </w:pPr>
        <w:r>
          <w:fldChar w:fldCharType="begin"/>
        </w:r>
        <w:r>
          <w:instrText xml:space="preserve"> PAGE   \* MERGEFORMAT </w:instrText>
        </w:r>
        <w:r>
          <w:fldChar w:fldCharType="separate"/>
        </w:r>
        <w:r w:rsidR="00DB0B29">
          <w:rPr>
            <w:noProof/>
          </w:rPr>
          <w:t>65</w:t>
        </w:r>
        <w:r>
          <w:rPr>
            <w:noProof/>
          </w:rPr>
          <w:fldChar w:fldCharType="end"/>
        </w:r>
      </w:p>
    </w:sdtContent>
  </w:sdt>
  <w:p w14:paraId="60E34582" w14:textId="77777777" w:rsidR="00E90149" w:rsidRPr="00956C60" w:rsidRDefault="00E90149" w:rsidP="00956C60">
    <w:pPr>
      <w:pStyle w:val="Footer"/>
    </w:pP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06593643"/>
      <w:docPartObj>
        <w:docPartGallery w:val="Page Numbers (Bottom of Page)"/>
        <w:docPartUnique/>
      </w:docPartObj>
    </w:sdtPr>
    <w:sdtEndPr>
      <w:rPr>
        <w:noProof/>
      </w:rPr>
    </w:sdtEndPr>
    <w:sdtContent>
      <w:p w14:paraId="1B97CFAE" w14:textId="0E34ED19" w:rsidR="007E66F5" w:rsidRDefault="007E66F5">
        <w:pPr>
          <w:pStyle w:val="Footer"/>
          <w:jc w:val="right"/>
        </w:pPr>
        <w:r>
          <w:fldChar w:fldCharType="begin"/>
        </w:r>
        <w:r>
          <w:instrText xml:space="preserve"> PAGE   \* MERGEFORMAT </w:instrText>
        </w:r>
        <w:r>
          <w:fldChar w:fldCharType="separate"/>
        </w:r>
        <w:r w:rsidR="00010C73">
          <w:rPr>
            <w:noProof/>
          </w:rPr>
          <w:t>80</w:t>
        </w:r>
        <w:r>
          <w:rPr>
            <w:noProof/>
          </w:rPr>
          <w:fldChar w:fldCharType="end"/>
        </w:r>
      </w:p>
    </w:sdtContent>
  </w:sdt>
  <w:p w14:paraId="164D7CF2" w14:textId="77777777" w:rsidR="00E90149" w:rsidRPr="00EB0EE8" w:rsidRDefault="00E90149" w:rsidP="00EB0EE8">
    <w:pPr>
      <w:pStyle w:val="Footer"/>
    </w:pP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796933"/>
      <w:docPartObj>
        <w:docPartGallery w:val="Page Numbers (Bottom of Page)"/>
        <w:docPartUnique/>
      </w:docPartObj>
    </w:sdtPr>
    <w:sdtEndPr>
      <w:rPr>
        <w:noProof/>
      </w:rPr>
    </w:sdtEndPr>
    <w:sdtContent>
      <w:p w14:paraId="59D62260" w14:textId="35053F20" w:rsidR="00305241" w:rsidRDefault="00305241">
        <w:pPr>
          <w:pStyle w:val="Footer"/>
          <w:jc w:val="right"/>
        </w:pPr>
        <w:r>
          <w:fldChar w:fldCharType="begin"/>
        </w:r>
        <w:r>
          <w:instrText xml:space="preserve"> PAGE   \* MERGEFORMAT </w:instrText>
        </w:r>
        <w:r>
          <w:fldChar w:fldCharType="separate"/>
        </w:r>
        <w:r w:rsidR="00DB0B29">
          <w:rPr>
            <w:noProof/>
          </w:rPr>
          <w:t>81</w:t>
        </w:r>
        <w:r>
          <w:rPr>
            <w:noProof/>
          </w:rPr>
          <w:fldChar w:fldCharType="end"/>
        </w:r>
      </w:p>
    </w:sdtContent>
  </w:sdt>
  <w:p w14:paraId="15737FE2" w14:textId="77777777" w:rsidR="00E90149" w:rsidRPr="00EB0EE8" w:rsidRDefault="00E90149" w:rsidP="00EB0EE8">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F17F036" w14:textId="77777777" w:rsidR="00B653E2" w:rsidRDefault="00B653E2" w:rsidP="00BF7F6A">
      <w:pPr>
        <w:spacing w:after="0" w:line="240" w:lineRule="auto"/>
      </w:pPr>
      <w:r>
        <w:separator/>
      </w:r>
    </w:p>
  </w:footnote>
  <w:footnote w:type="continuationSeparator" w:id="0">
    <w:p w14:paraId="78523F6F" w14:textId="77777777" w:rsidR="00B653E2" w:rsidRDefault="00B653E2" w:rsidP="00BF7F6A">
      <w:pPr>
        <w:spacing w:after="0" w:line="240" w:lineRule="auto"/>
      </w:pPr>
      <w:r>
        <w:continuationSeparator/>
      </w:r>
    </w:p>
  </w:footnote>
  <w:footnote w:id="1">
    <w:p w14:paraId="7CA0676A" w14:textId="77777777" w:rsidR="00E90149" w:rsidRPr="00C336AD" w:rsidRDefault="00E90149" w:rsidP="00132FA9">
      <w:pPr>
        <w:pStyle w:val="FootnoteText"/>
        <w:jc w:val="both"/>
        <w:rPr>
          <w:rFonts w:cstheme="minorHAnsi"/>
          <w:color w:val="44546A" w:themeColor="text2"/>
          <w:sz w:val="16"/>
          <w:szCs w:val="16"/>
          <w:lang w:val="sr-Cyrl-RS"/>
        </w:rPr>
      </w:pPr>
      <w:r w:rsidRPr="001D6C6B">
        <w:rPr>
          <w:rStyle w:val="FootnoteReference"/>
          <w:rFonts w:cstheme="minorHAnsi"/>
          <w:color w:val="44546A" w:themeColor="text2"/>
          <w:sz w:val="16"/>
          <w:szCs w:val="16"/>
          <w:lang w:val="sr-Cyrl-RS"/>
        </w:rPr>
        <w:footnoteRef/>
      </w:r>
      <w:r w:rsidRPr="001D6C6B">
        <w:rPr>
          <w:rFonts w:cstheme="minorHAnsi"/>
          <w:color w:val="44546A" w:themeColor="text2"/>
          <w:sz w:val="16"/>
          <w:szCs w:val="16"/>
          <w:lang w:val="sr-Cyrl-RS"/>
        </w:rPr>
        <w:t xml:space="preserve"> </w:t>
      </w:r>
      <w:r w:rsidRPr="002E1612">
        <w:rPr>
          <w:rStyle w:val="FootnoteReference"/>
          <w:rFonts w:cstheme="minorHAnsi"/>
          <w:color w:val="44546A" w:themeColor="text2"/>
          <w:sz w:val="16"/>
          <w:szCs w:val="16"/>
          <w:vertAlign w:val="baseline"/>
          <w:lang w:val="sr-Cyrl-RS"/>
        </w:rPr>
        <w:t>Просечна цена нафте типа „Брент”, „Дубаи Фатекс” и „Западни Тексас”.</w:t>
      </w:r>
    </w:p>
  </w:footnote>
  <w:footnote w:id="2">
    <w:p w14:paraId="0EC5669A" w14:textId="0DBDB61E" w:rsidR="00E90149" w:rsidRPr="002E51AD" w:rsidRDefault="00E90149" w:rsidP="00256C5B">
      <w:pPr>
        <w:pStyle w:val="FootnoteText"/>
        <w:rPr>
          <w:rFonts w:cstheme="minorHAnsi"/>
          <w:color w:val="44546A" w:themeColor="text2"/>
          <w:sz w:val="16"/>
          <w:szCs w:val="16"/>
          <w:lang w:val="sr-Cyrl-RS"/>
        </w:rPr>
      </w:pPr>
      <w:r w:rsidRPr="00C336AD">
        <w:rPr>
          <w:rStyle w:val="FootnoteReference"/>
          <w:rFonts w:cstheme="minorHAnsi"/>
          <w:color w:val="44546A" w:themeColor="text2"/>
          <w:sz w:val="16"/>
          <w:szCs w:val="16"/>
          <w:lang w:val="sr-Cyrl-RS"/>
        </w:rPr>
        <w:footnoteRef/>
      </w:r>
      <w:r w:rsidRPr="00C336AD">
        <w:rPr>
          <w:rFonts w:cstheme="minorHAnsi"/>
          <w:color w:val="44546A" w:themeColor="text2"/>
          <w:sz w:val="16"/>
          <w:szCs w:val="16"/>
          <w:lang w:val="sr-Cyrl-RS"/>
        </w:rPr>
        <w:t xml:space="preserve"> Видети: Фискална стратегија за 2018. годину са пројекцијама за 2019. и 2020. годину, стр.30;</w:t>
      </w:r>
      <w:r w:rsidRPr="00C336AD">
        <w:rPr>
          <w:rFonts w:cstheme="minorHAnsi"/>
          <w:color w:val="44546A" w:themeColor="text2"/>
          <w:sz w:val="16"/>
          <w:szCs w:val="16"/>
        </w:rPr>
        <w:br/>
      </w:r>
      <w:hyperlink r:id="rId1" w:history="1">
        <w:r w:rsidRPr="002E51AD">
          <w:rPr>
            <w:rStyle w:val="Hyperlink"/>
            <w:rFonts w:cstheme="minorHAnsi"/>
            <w:color w:val="44546A" w:themeColor="text2"/>
            <w:sz w:val="16"/>
            <w:szCs w:val="16"/>
            <w:u w:val="none"/>
            <w:lang w:val="sr-Cyrl-RS"/>
          </w:rPr>
          <w:t>http://www.mfin.gov.rs/UserFiles/File/strategije/2018/Fiskalna%20strategija%202018.pdf</w:t>
        </w:r>
      </w:hyperlink>
    </w:p>
    <w:p w14:paraId="45FDE8C1" w14:textId="77777777" w:rsidR="00E90149" w:rsidRPr="00C336AD" w:rsidRDefault="00E90149" w:rsidP="00132FA9">
      <w:pPr>
        <w:pStyle w:val="FootnoteText"/>
        <w:jc w:val="both"/>
        <w:rPr>
          <w:rFonts w:cstheme="minorHAnsi"/>
          <w:color w:val="44546A" w:themeColor="text2"/>
          <w:sz w:val="16"/>
          <w:szCs w:val="16"/>
          <w:lang w:val="sr-Cyrl-RS"/>
        </w:rPr>
      </w:pPr>
    </w:p>
  </w:footnote>
  <w:footnote w:id="3">
    <w:p w14:paraId="63C76582" w14:textId="6280A00E" w:rsidR="00E90149" w:rsidRPr="00A63FD1" w:rsidRDefault="00E90149" w:rsidP="00132FA9">
      <w:pPr>
        <w:pStyle w:val="FootnoteText"/>
        <w:jc w:val="both"/>
        <w:rPr>
          <w:rFonts w:cstheme="minorHAnsi"/>
          <w:color w:val="44546A" w:themeColor="text2"/>
          <w:sz w:val="16"/>
          <w:szCs w:val="16"/>
          <w:lang w:val="sr-Cyrl-RS"/>
        </w:rPr>
      </w:pPr>
      <w:r w:rsidRPr="00C336AD">
        <w:rPr>
          <w:rStyle w:val="FootnoteReference"/>
          <w:rFonts w:cstheme="minorHAnsi"/>
          <w:color w:val="44546A" w:themeColor="text2"/>
          <w:sz w:val="16"/>
          <w:szCs w:val="16"/>
        </w:rPr>
        <w:footnoteRef/>
      </w:r>
      <w:r w:rsidRPr="00C336AD">
        <w:rPr>
          <w:rFonts w:cstheme="minorHAnsi"/>
          <w:color w:val="44546A" w:themeColor="text2"/>
          <w:sz w:val="16"/>
          <w:szCs w:val="16"/>
        </w:rPr>
        <w:t xml:space="preserve"> </w:t>
      </w:r>
      <w:r w:rsidRPr="000628F2">
        <w:rPr>
          <w:rFonts w:cstheme="minorHAnsi"/>
          <w:color w:val="44546A" w:themeColor="text2"/>
          <w:sz w:val="16"/>
          <w:szCs w:val="16"/>
        </w:rPr>
        <w:t xml:space="preserve">Програм иновационих ваучера се имплементира као једна од услуга Канцеларије за </w:t>
      </w:r>
      <w:r w:rsidR="00AE606D">
        <w:rPr>
          <w:rFonts w:cstheme="minorHAnsi"/>
          <w:color w:val="44546A" w:themeColor="text2"/>
          <w:sz w:val="16"/>
          <w:szCs w:val="16"/>
          <w:lang w:val="sr-Cyrl-RS"/>
        </w:rPr>
        <w:t xml:space="preserve">информационе </w:t>
      </w:r>
      <w:r w:rsidRPr="000628F2">
        <w:rPr>
          <w:rFonts w:cstheme="minorHAnsi"/>
          <w:color w:val="44546A" w:themeColor="text2"/>
          <w:sz w:val="16"/>
          <w:szCs w:val="16"/>
        </w:rPr>
        <w:t>технологије</w:t>
      </w:r>
      <w:r w:rsidR="00AE606D">
        <w:rPr>
          <w:rFonts w:cstheme="minorHAnsi"/>
          <w:color w:val="44546A" w:themeColor="text2"/>
          <w:sz w:val="16"/>
          <w:szCs w:val="16"/>
          <w:lang w:val="sr-Cyrl-RS"/>
        </w:rPr>
        <w:t xml:space="preserve"> и електронску управу</w:t>
      </w:r>
      <w:r w:rsidRPr="000628F2">
        <w:rPr>
          <w:rFonts w:cstheme="minorHAnsi"/>
          <w:color w:val="44546A" w:themeColor="text2"/>
          <w:sz w:val="16"/>
          <w:szCs w:val="16"/>
        </w:rPr>
        <w:t>, чија је сврха да подстакне преношење резултата јавног истраживања у приватни сектор како би се креирали производи и услуге којима ће се унапредити привреда. Дизајн и процедуре за имплементацију Програма су припремљене у оквиру пројекта „Подршка истраживању, иновацијама и трансферу технологије</w:t>
      </w:r>
      <w:r w:rsidRPr="00A63FD1">
        <w:rPr>
          <w:rFonts w:cstheme="minorHAnsi"/>
          <w:color w:val="44546A" w:themeColor="text2"/>
          <w:sz w:val="16"/>
          <w:szCs w:val="16"/>
        </w:rPr>
        <w:t>ˮ</w:t>
      </w:r>
      <w:r w:rsidRPr="000628F2">
        <w:rPr>
          <w:rFonts w:cstheme="minorHAnsi"/>
          <w:color w:val="44546A" w:themeColor="text2"/>
          <w:sz w:val="16"/>
          <w:szCs w:val="16"/>
        </w:rPr>
        <w:t>, који се финансира из Претприступних фондова Европске Уније (ИПА 2013), а њиме администрира Светска банка, док су средства за реализацију Програма обезбеђена из буџета Републике Србије са раздела Министарства просвете, науке и технолошког развоја кроз „Пројекат за унапређење конкурентности и запошљавања</w:t>
      </w:r>
      <w:r w:rsidRPr="00A63FD1">
        <w:rPr>
          <w:rFonts w:cstheme="minorHAnsi"/>
          <w:color w:val="44546A" w:themeColor="text2"/>
          <w:sz w:val="16"/>
          <w:szCs w:val="16"/>
        </w:rPr>
        <w:t>ˮ</w:t>
      </w:r>
      <w:r w:rsidRPr="000628F2">
        <w:rPr>
          <w:rFonts w:cstheme="minorHAnsi"/>
          <w:color w:val="44546A" w:themeColor="text2"/>
          <w:sz w:val="16"/>
          <w:szCs w:val="16"/>
        </w:rPr>
        <w:t xml:space="preserve"> (споразум о зајму Републике Србије са Светском банком).</w:t>
      </w:r>
      <w:r w:rsidRPr="00C336AD">
        <w:rPr>
          <w:rFonts w:cstheme="minorHAnsi"/>
          <w:color w:val="44546A" w:themeColor="text2"/>
          <w:sz w:val="16"/>
          <w:szCs w:val="16"/>
        </w:rPr>
        <w:t xml:space="preserve"> http://www.inovacionifond.rs/program-inovacionih-vaucera/</w:t>
      </w:r>
    </w:p>
  </w:footnote>
  <w:footnote w:id="4">
    <w:p w14:paraId="59B754DE" w14:textId="74D2D962" w:rsidR="00E90149" w:rsidRPr="00C336AD" w:rsidRDefault="00E90149" w:rsidP="00132FA9">
      <w:pPr>
        <w:pStyle w:val="FootnoteText"/>
        <w:jc w:val="both"/>
        <w:rPr>
          <w:rStyle w:val="Hyperlink1"/>
          <w:rFonts w:cstheme="minorHAnsi"/>
          <w:color w:val="44546A" w:themeColor="text2"/>
          <w:sz w:val="16"/>
          <w:szCs w:val="16"/>
          <w:u w:val="none"/>
          <w:lang w:val="sr-Cyrl-RS"/>
        </w:rPr>
      </w:pPr>
      <w:r w:rsidRPr="008D2DC7">
        <w:rPr>
          <w:rStyle w:val="Hyperlink1"/>
          <w:rFonts w:cstheme="minorHAnsi"/>
          <w:color w:val="44546A" w:themeColor="text2"/>
          <w:sz w:val="16"/>
          <w:szCs w:val="16"/>
          <w:u w:val="none"/>
          <w:vertAlign w:val="superscript"/>
          <w:lang w:val="sr-Cyrl-RS"/>
        </w:rPr>
        <w:footnoteRef/>
      </w:r>
      <w:r w:rsidRPr="00C336AD">
        <w:rPr>
          <w:rStyle w:val="Hyperlink1"/>
          <w:rFonts w:cstheme="minorHAnsi"/>
          <w:color w:val="44546A" w:themeColor="text2"/>
          <w:sz w:val="16"/>
          <w:szCs w:val="16"/>
          <w:u w:val="none"/>
          <w:lang w:val="sr-Cyrl-RS"/>
        </w:rPr>
        <w:t xml:space="preserve"> У складу са најбољом међународном праксом, са увођењем режима циљања инфлације у јануару 2009. године, Народна банка Србије је почела да прати и анализира и инфлациона очекивања економских субјеката. У поменуте сврхе, као извор података се користи анкета о инфлационим очекивањима коју од јануара 2018, за Народну банку Србије, спроводи агенција</w:t>
      </w:r>
      <w:r w:rsidRPr="00C336AD">
        <w:rPr>
          <w:rFonts w:cstheme="minorHAnsi"/>
          <w:color w:val="44546A" w:themeColor="text2"/>
          <w:sz w:val="16"/>
          <w:szCs w:val="16"/>
          <w:lang w:val="sr-Cyrl-RS"/>
        </w:rPr>
        <w:t xml:space="preserve"> </w:t>
      </w:r>
      <w:r w:rsidRPr="00C336AD">
        <w:rPr>
          <w:rStyle w:val="Hyperlink1"/>
          <w:rFonts w:cstheme="minorHAnsi"/>
          <w:color w:val="44546A" w:themeColor="text2"/>
          <w:sz w:val="16"/>
          <w:szCs w:val="16"/>
          <w:u w:val="none"/>
          <w:lang w:val="sr-Cyrl-RS"/>
        </w:rPr>
        <w:t>Ипсос. Учесници анкете који су класификовани у четири институционална сектора (финансијски сектор, привреда, синдикати и становништво) се изјашњавају о очекиваном међугодишњем расту цена за годину дана унапред, а, од марта 2014, и о очекиваном међугодишњем расту цена у средњем року, тј. за две године унапред.</w:t>
      </w:r>
    </w:p>
  </w:footnote>
  <w:footnote w:id="5">
    <w:p w14:paraId="4FCF3898" w14:textId="0C73BA1A" w:rsidR="00E90149" w:rsidRPr="004201B0" w:rsidRDefault="00E90149" w:rsidP="000B282B">
      <w:pPr>
        <w:pStyle w:val="FootnoteText"/>
        <w:jc w:val="both"/>
        <w:rPr>
          <w:sz w:val="16"/>
          <w:szCs w:val="16"/>
          <w:lang w:val="sr-Cyrl-RS"/>
        </w:rPr>
      </w:pPr>
      <w:r w:rsidRPr="004201B0">
        <w:rPr>
          <w:rStyle w:val="FootnoteReference"/>
          <w:color w:val="44546A" w:themeColor="text2"/>
          <w:sz w:val="16"/>
          <w:szCs w:val="16"/>
        </w:rPr>
        <w:footnoteRef/>
      </w:r>
      <w:r w:rsidRPr="004201B0">
        <w:rPr>
          <w:color w:val="44546A" w:themeColor="text2"/>
          <w:sz w:val="16"/>
          <w:szCs w:val="16"/>
        </w:rPr>
        <w:t xml:space="preserve"> </w:t>
      </w:r>
      <w:r w:rsidRPr="004201B0">
        <w:rPr>
          <w:rFonts w:eastAsia="Calibri" w:cs="Times New Roman"/>
          <w:color w:val="44546A" w:themeColor="text2"/>
          <w:sz w:val="16"/>
          <w:szCs w:val="16"/>
          <w:lang w:val="sr-Cyrl-RS"/>
        </w:rPr>
        <w:t>Детаљнија дефиниција S0 индикатора као и опис коришћене методологије и резултата могу се пронаћи у Фискалној стратегији за 2018. годину са пројекцијама за 2019. и 2020. годину путем линка</w:t>
      </w:r>
      <w:r w:rsidRPr="004201B0">
        <w:rPr>
          <w:rFonts w:eastAsia="Calibri" w:cs="Times New Roman"/>
          <w:color w:val="44546A" w:themeColor="text2"/>
          <w:sz w:val="16"/>
          <w:szCs w:val="16"/>
        </w:rPr>
        <w:t xml:space="preserve"> </w:t>
      </w:r>
      <w:hyperlink r:id="rId2" w:history="1">
        <w:r w:rsidRPr="00A70F3C">
          <w:rPr>
            <w:rFonts w:eastAsia="Calibri" w:cs="Times New Roman"/>
            <w:color w:val="44546A" w:themeColor="text2"/>
            <w:sz w:val="16"/>
            <w:szCs w:val="16"/>
          </w:rPr>
          <w:t>http://www.mfin.gov.rs/pages/issue.php?id=8382</w:t>
        </w:r>
      </w:hyperlink>
      <w:r w:rsidRPr="004201B0">
        <w:rPr>
          <w:rFonts w:eastAsia="Calibri" w:cs="Times New Roman"/>
          <w:color w:val="44546A" w:themeColor="text2"/>
          <w:sz w:val="16"/>
          <w:szCs w:val="16"/>
          <w:lang w:val="sr-Cyrl-RS"/>
        </w:rPr>
        <w:t xml:space="preserve"> и извештају Европске комисије </w:t>
      </w:r>
      <w:r w:rsidRPr="004201B0">
        <w:rPr>
          <w:rFonts w:eastAsia="Calibri" w:cs="Times New Roman"/>
          <w:color w:val="44546A" w:themeColor="text2"/>
          <w:sz w:val="16"/>
          <w:szCs w:val="16"/>
          <w:lang w:val="en-GB"/>
        </w:rPr>
        <w:t>“</w:t>
      </w:r>
      <w:r w:rsidRPr="004201B0">
        <w:rPr>
          <w:rFonts w:eastAsia="Calibri" w:cs="Times New Roman"/>
          <w:color w:val="44546A" w:themeColor="text2"/>
          <w:sz w:val="16"/>
          <w:szCs w:val="16"/>
          <w:lang w:val="sr-Cyrl-RS"/>
        </w:rPr>
        <w:t>Fiscal Sustainability report 2015</w:t>
      </w:r>
      <w:r w:rsidRPr="004201B0">
        <w:rPr>
          <w:rFonts w:eastAsia="Calibri" w:cs="Times New Roman"/>
          <w:color w:val="44546A" w:themeColor="text2"/>
          <w:sz w:val="16"/>
          <w:szCs w:val="16"/>
          <w:lang w:val="en-GB"/>
        </w:rPr>
        <w:t>”</w:t>
      </w:r>
      <w:r w:rsidRPr="004201B0">
        <w:rPr>
          <w:rFonts w:eastAsia="Calibri" w:cs="Times New Roman"/>
          <w:color w:val="44546A" w:themeColor="text2"/>
          <w:sz w:val="16"/>
          <w:szCs w:val="16"/>
          <w:lang w:val="sr-Cyrl-RS"/>
        </w:rPr>
        <w:t xml:space="preserve"> 25, Јануар 2016, 157</w:t>
      </w:r>
      <w:r>
        <w:rPr>
          <w:rFonts w:eastAsia="Calibri" w:cs="Times New Roman"/>
          <w:color w:val="44546A" w:themeColor="text2"/>
          <w:sz w:val="16"/>
          <w:szCs w:val="16"/>
          <w:lang w:val="sr-Cyrl-RS"/>
        </w:rPr>
        <w:t>–</w:t>
      </w:r>
      <w:r w:rsidRPr="004201B0">
        <w:rPr>
          <w:rFonts w:eastAsia="Calibri" w:cs="Times New Roman"/>
          <w:color w:val="44546A" w:themeColor="text2"/>
          <w:sz w:val="16"/>
          <w:szCs w:val="16"/>
          <w:lang w:val="sr-Cyrl-RS"/>
        </w:rPr>
        <w:t>158.</w:t>
      </w:r>
    </w:p>
  </w:footnote>
  <w:footnote w:id="6">
    <w:p w14:paraId="368974B6" w14:textId="77777777" w:rsidR="00E90149" w:rsidRPr="00C336AD" w:rsidRDefault="00E90149" w:rsidP="00132FA9">
      <w:pPr>
        <w:pStyle w:val="FootnoteText"/>
        <w:jc w:val="both"/>
        <w:rPr>
          <w:rFonts w:cstheme="minorHAnsi"/>
          <w:color w:val="44546A" w:themeColor="text2"/>
          <w:sz w:val="16"/>
          <w:szCs w:val="16"/>
          <w:lang w:val="sr-Cyrl-RS"/>
        </w:rPr>
      </w:pPr>
      <w:r w:rsidRPr="00C336AD">
        <w:rPr>
          <w:rStyle w:val="FootnoteReference"/>
          <w:rFonts w:cstheme="minorHAnsi"/>
          <w:color w:val="44546A" w:themeColor="text2"/>
          <w:sz w:val="16"/>
          <w:szCs w:val="16"/>
          <w:lang w:val="sr-Cyrl-RS"/>
        </w:rPr>
        <w:footnoteRef/>
      </w:r>
      <w:r w:rsidRPr="00C336AD">
        <w:rPr>
          <w:rFonts w:cstheme="minorHAnsi"/>
          <w:color w:val="44546A" w:themeColor="text2"/>
          <w:sz w:val="16"/>
          <w:szCs w:val="16"/>
          <w:lang w:val="sr-Cyrl-RS"/>
        </w:rPr>
        <w:t xml:space="preserve"> Детаљнији приказ структурних реформи по приоритетним областима биће саставни део Програма економских реформи у периоду 2019–2021.</w:t>
      </w:r>
    </w:p>
    <w:p w14:paraId="524F2EAD" w14:textId="77777777" w:rsidR="00E90149" w:rsidRPr="00C336AD" w:rsidRDefault="00E90149" w:rsidP="00132FA9">
      <w:pPr>
        <w:pStyle w:val="FootnoteText"/>
        <w:jc w:val="both"/>
        <w:rPr>
          <w:rFonts w:cstheme="minorHAnsi"/>
          <w:color w:val="44546A" w:themeColor="text2"/>
          <w:sz w:val="16"/>
          <w:szCs w:val="16"/>
          <w:lang w:val="sr-Cyrl-RS"/>
        </w:rPr>
      </w:pPr>
    </w:p>
  </w:footnote>
  <w:footnote w:id="7">
    <w:p w14:paraId="42BE8468" w14:textId="77777777" w:rsidR="00E90149" w:rsidRPr="00C336AD" w:rsidRDefault="00E90149" w:rsidP="00132FA9">
      <w:pPr>
        <w:pStyle w:val="FootnoteText"/>
        <w:jc w:val="both"/>
        <w:rPr>
          <w:rFonts w:cstheme="minorHAnsi"/>
          <w:color w:val="44546A" w:themeColor="text2"/>
          <w:sz w:val="16"/>
          <w:szCs w:val="16"/>
          <w:lang w:val="sr-Cyrl-RS"/>
        </w:rPr>
      </w:pPr>
      <w:r w:rsidRPr="00C336AD">
        <w:rPr>
          <w:rStyle w:val="FootnoteReference"/>
          <w:rFonts w:cstheme="minorHAnsi"/>
          <w:color w:val="44546A" w:themeColor="text2"/>
          <w:sz w:val="16"/>
          <w:szCs w:val="16"/>
          <w:lang w:val="sr-Cyrl-RS"/>
        </w:rPr>
        <w:footnoteRef/>
      </w:r>
      <w:r w:rsidRPr="00C336AD">
        <w:rPr>
          <w:rFonts w:cstheme="minorHAnsi"/>
          <w:color w:val="44546A" w:themeColor="text2"/>
          <w:sz w:val="16"/>
          <w:szCs w:val="16"/>
          <w:lang w:val="sr-Cyrl-RS"/>
        </w:rPr>
        <w:t xml:space="preserve"> Фискална стратегија за 2018. годину са пројекцијама за 2019. и 2020. годину.</w:t>
      </w:r>
    </w:p>
  </w:footnote>
  <w:footnote w:id="8">
    <w:p w14:paraId="43FC86CF" w14:textId="3E8BFC25" w:rsidR="00E90149" w:rsidRPr="001A06AE" w:rsidRDefault="00E90149">
      <w:pPr>
        <w:pStyle w:val="FootnoteText"/>
        <w:rPr>
          <w:color w:val="44546A" w:themeColor="text2"/>
          <w:sz w:val="16"/>
          <w:lang w:val="sr-Cyrl-RS"/>
        </w:rPr>
      </w:pPr>
      <w:r w:rsidRPr="00326508">
        <w:rPr>
          <w:rStyle w:val="FootnoteReference"/>
          <w:color w:val="44546A" w:themeColor="text2"/>
          <w:sz w:val="16"/>
        </w:rPr>
        <w:footnoteRef/>
      </w:r>
      <w:r w:rsidRPr="00326508">
        <w:rPr>
          <w:color w:val="44546A" w:themeColor="text2"/>
          <w:sz w:val="16"/>
        </w:rPr>
        <w:t xml:space="preserve"> </w:t>
      </w:r>
      <w:r w:rsidRPr="00326508">
        <w:rPr>
          <w:color w:val="44546A" w:themeColor="text2"/>
          <w:sz w:val="16"/>
          <w:lang w:val="sr-Cyrl-RS"/>
        </w:rPr>
        <w:t>Износи су прерачунати на основу ревизије података серије БДП од 2015. до 2017. године.</w:t>
      </w:r>
    </w:p>
  </w:footnote>
  <w:footnote w:id="9">
    <w:p w14:paraId="21EA504A" w14:textId="69C3E4E1" w:rsidR="00E90149" w:rsidRPr="00C336AD" w:rsidRDefault="00E90149" w:rsidP="00132FA9">
      <w:pPr>
        <w:pStyle w:val="FootnoteText"/>
        <w:jc w:val="both"/>
        <w:rPr>
          <w:rFonts w:eastAsia="Times New Roman" w:cstheme="minorHAnsi"/>
          <w:color w:val="44546A" w:themeColor="text2"/>
          <w:sz w:val="16"/>
          <w:szCs w:val="16"/>
          <w:lang w:val="sr-Cyrl-RS"/>
        </w:rPr>
      </w:pPr>
      <w:r w:rsidRPr="00C336AD">
        <w:rPr>
          <w:rStyle w:val="FootnoteReference"/>
          <w:rFonts w:cstheme="minorHAnsi"/>
          <w:color w:val="44546A" w:themeColor="text2"/>
          <w:sz w:val="16"/>
          <w:szCs w:val="16"/>
          <w:lang w:val="sr-Cyrl-RS"/>
        </w:rPr>
        <w:footnoteRef/>
      </w:r>
      <w:r w:rsidRPr="002E51AD">
        <w:rPr>
          <w:rStyle w:val="Hyperlink2"/>
          <w:rFonts w:cstheme="minorHAnsi"/>
          <w:color w:val="44546A" w:themeColor="text2"/>
          <w:sz w:val="16"/>
          <w:szCs w:val="16"/>
          <w:u w:val="none"/>
          <w:lang w:val="sr-Latn-RS"/>
        </w:rPr>
        <w:t xml:space="preserve"> </w:t>
      </w:r>
      <w:r w:rsidRPr="00A70F3C">
        <w:rPr>
          <w:rStyle w:val="Hyperlink2"/>
          <w:rFonts w:cstheme="minorHAnsi"/>
          <w:color w:val="44546A" w:themeColor="text2"/>
          <w:sz w:val="16"/>
          <w:szCs w:val="16"/>
          <w:u w:val="none"/>
          <w:lang w:val="sr-Cyrl-RS"/>
        </w:rPr>
        <w:t>http://www.obnova.gov.rs/uploads/useruploads/Documents/Kancelarija-za-pomoc-poplavljenih-podrucja-infograf-15-04-2016-srb.pdf</w:t>
      </w:r>
    </w:p>
  </w:footnote>
  <w:footnote w:id="10">
    <w:p w14:paraId="3516FDCD" w14:textId="2EADF074" w:rsidR="00E90149" w:rsidRPr="00C336AD" w:rsidRDefault="00E90149" w:rsidP="00132FA9">
      <w:pPr>
        <w:pStyle w:val="FootnoteText"/>
        <w:jc w:val="both"/>
        <w:rPr>
          <w:rFonts w:cstheme="minorHAnsi"/>
          <w:color w:val="44546A" w:themeColor="text2"/>
          <w:sz w:val="16"/>
          <w:szCs w:val="16"/>
          <w:lang w:val="sr-Cyrl-RS"/>
        </w:rPr>
      </w:pPr>
      <w:r w:rsidRPr="00C336AD">
        <w:rPr>
          <w:rStyle w:val="FootnoteReference"/>
          <w:rFonts w:cstheme="minorHAnsi"/>
          <w:color w:val="44546A" w:themeColor="text2"/>
          <w:sz w:val="16"/>
          <w:szCs w:val="16"/>
          <w:lang w:val="sr-Cyrl-RS"/>
        </w:rPr>
        <w:footnoteRef/>
      </w:r>
      <w:r w:rsidRPr="00C336AD">
        <w:rPr>
          <w:rFonts w:cstheme="minorHAnsi"/>
          <w:color w:val="44546A" w:themeColor="text2"/>
          <w:sz w:val="16"/>
          <w:szCs w:val="16"/>
          <w:lang w:val="sr-Cyrl-RS"/>
        </w:rPr>
        <w:t xml:space="preserve"> Закон о јавном дугу </w:t>
      </w:r>
      <w:r>
        <w:rPr>
          <w:rFonts w:cstheme="minorHAnsi"/>
          <w:color w:val="44546A" w:themeColor="text2"/>
          <w:sz w:val="16"/>
          <w:szCs w:val="16"/>
          <w:lang w:val="sr-Cyrl-RS"/>
        </w:rPr>
        <w:t>„</w:t>
      </w:r>
      <w:r w:rsidRPr="00C336AD">
        <w:rPr>
          <w:rFonts w:cstheme="minorHAnsi"/>
          <w:color w:val="44546A" w:themeColor="text2"/>
          <w:sz w:val="16"/>
          <w:szCs w:val="16"/>
          <w:lang w:val="sr-Cyrl-RS"/>
        </w:rPr>
        <w:t>Сл. гласник РС</w:t>
      </w:r>
      <w:r w:rsidRPr="00956C60">
        <w:rPr>
          <w:rFonts w:cstheme="minorHAnsi"/>
          <w:color w:val="44546A" w:themeColor="text2"/>
          <w:sz w:val="16"/>
          <w:szCs w:val="16"/>
          <w:lang w:val="sr-Cyrl-RS"/>
        </w:rPr>
        <w:t>ˮ</w:t>
      </w:r>
      <w:r w:rsidRPr="00C336AD">
        <w:rPr>
          <w:rFonts w:cstheme="minorHAnsi"/>
          <w:color w:val="44546A" w:themeColor="text2"/>
          <w:sz w:val="16"/>
          <w:szCs w:val="16"/>
          <w:lang w:val="sr-Cyrl-RS"/>
        </w:rPr>
        <w:t>, бр.61/05, 107/09, 78/11 и 68/15.</w:t>
      </w:r>
    </w:p>
  </w:footnote>
  <w:footnote w:id="11">
    <w:p w14:paraId="4E136FEC" w14:textId="0F4C9305" w:rsidR="00E90149" w:rsidRPr="00C336AD" w:rsidRDefault="00E90149" w:rsidP="00132FA9">
      <w:pPr>
        <w:pStyle w:val="FootnoteText"/>
        <w:jc w:val="both"/>
        <w:rPr>
          <w:rFonts w:cstheme="minorHAnsi"/>
          <w:color w:val="44546A" w:themeColor="text2"/>
          <w:sz w:val="16"/>
          <w:szCs w:val="16"/>
          <w:lang w:val="sr-Cyrl-RS"/>
        </w:rPr>
      </w:pPr>
      <w:r w:rsidRPr="00C336AD">
        <w:rPr>
          <w:rStyle w:val="FootnoteReference"/>
          <w:rFonts w:cstheme="minorHAnsi"/>
          <w:color w:val="44546A" w:themeColor="text2"/>
          <w:sz w:val="16"/>
          <w:szCs w:val="16"/>
          <w:lang w:val="sr-Cyrl-RS"/>
        </w:rPr>
        <w:footnoteRef/>
      </w:r>
      <w:r w:rsidRPr="00C336AD">
        <w:rPr>
          <w:rFonts w:cstheme="minorHAnsi"/>
          <w:color w:val="44546A" w:themeColor="text2"/>
          <w:sz w:val="16"/>
          <w:szCs w:val="16"/>
          <w:lang w:val="sr-Cyrl-RS"/>
        </w:rPr>
        <w:t xml:space="preserve"> Дефиниција дуга, према критеријумима из Мастрихта, између осталог, различито третира издате гаранције, у односу на дефиницију јавног дуга према домаћем законодавству. У јавни дуг (дуг опште државе) улазе, према критеријумима из Мастрихта, само активиране гаранције. Домаће законодавство, по овом питању има конзервативнији приступ, и све издате </w:t>
      </w:r>
      <w:r>
        <w:rPr>
          <w:rFonts w:cstheme="minorHAnsi"/>
          <w:color w:val="44546A" w:themeColor="text2"/>
          <w:sz w:val="16"/>
          <w:szCs w:val="16"/>
          <w:lang w:val="sr-Cyrl-RS"/>
        </w:rPr>
        <w:t>гаранције укључује у јавни дуг.</w:t>
      </w:r>
    </w:p>
  </w:footnote>
  <w:footnote w:id="12">
    <w:p w14:paraId="5AB99164" w14:textId="57AF93E0" w:rsidR="00E90149" w:rsidRPr="00C336AD" w:rsidRDefault="00E90149" w:rsidP="00132FA9">
      <w:pPr>
        <w:pStyle w:val="FootnoteText"/>
        <w:jc w:val="both"/>
        <w:rPr>
          <w:rFonts w:cstheme="minorHAnsi"/>
          <w:color w:val="44546A" w:themeColor="text2"/>
          <w:sz w:val="16"/>
          <w:szCs w:val="16"/>
          <w:lang w:val="sr-Cyrl-RS"/>
        </w:rPr>
      </w:pPr>
      <w:r w:rsidRPr="00C336AD">
        <w:rPr>
          <w:rStyle w:val="FootnoteReference"/>
          <w:rFonts w:cstheme="minorHAnsi"/>
          <w:color w:val="44546A" w:themeColor="text2"/>
          <w:sz w:val="16"/>
          <w:szCs w:val="16"/>
          <w:lang w:val="sr-Cyrl-RS"/>
        </w:rPr>
        <w:footnoteRef/>
      </w:r>
      <w:r w:rsidRPr="00C336AD">
        <w:rPr>
          <w:rFonts w:cstheme="minorHAnsi"/>
          <w:color w:val="44546A" w:themeColor="text2"/>
          <w:sz w:val="16"/>
          <w:szCs w:val="16"/>
          <w:lang w:val="sr-Cyrl-RS"/>
        </w:rPr>
        <w:t xml:space="preserve"> Отплата по основу гаранција из републичког буџета је у расходе укључена по готовинској основи. Међународни стандарди, који се заснивају на обрачунској основи, у расходе укључују цео износ преосталог дуга, у моменту активирања гаранције, док се сама отплата дуга по том основу трети</w:t>
      </w:r>
      <w:r>
        <w:rPr>
          <w:rFonts w:cstheme="minorHAnsi"/>
          <w:color w:val="44546A" w:themeColor="text2"/>
          <w:sz w:val="16"/>
          <w:szCs w:val="16"/>
          <w:lang w:val="sr-Cyrl-RS"/>
        </w:rPr>
        <w:t>ра као финансијска трансакција.</w:t>
      </w:r>
    </w:p>
  </w:footnote>
  <w:footnote w:id="13">
    <w:p w14:paraId="1C0B8F4F" w14:textId="15ED93D5" w:rsidR="00E90149" w:rsidRPr="00C336AD" w:rsidRDefault="00E90149" w:rsidP="00132FA9">
      <w:pPr>
        <w:pStyle w:val="FootnoteText"/>
        <w:jc w:val="both"/>
        <w:rPr>
          <w:rFonts w:cstheme="minorHAnsi"/>
          <w:color w:val="44546A" w:themeColor="text2"/>
          <w:sz w:val="16"/>
          <w:szCs w:val="16"/>
          <w:lang w:val="sr-Cyrl-RS"/>
        </w:rPr>
      </w:pPr>
      <w:r w:rsidRPr="00C336AD">
        <w:rPr>
          <w:rStyle w:val="FootnoteReference"/>
          <w:rFonts w:cstheme="minorHAnsi"/>
          <w:color w:val="44546A" w:themeColor="text2"/>
          <w:sz w:val="16"/>
          <w:szCs w:val="16"/>
          <w:lang w:val="sr-Cyrl-RS"/>
        </w:rPr>
        <w:footnoteRef/>
      </w:r>
      <w:r w:rsidRPr="00C336AD">
        <w:rPr>
          <w:rFonts w:cstheme="minorHAnsi"/>
          <w:color w:val="44546A" w:themeColor="text2"/>
          <w:sz w:val="16"/>
          <w:szCs w:val="16"/>
          <w:lang w:val="sr-Cyrl-RS"/>
        </w:rPr>
        <w:t xml:space="preserve"> Део расхода по основу отплате по гаранцијама за ЈП „Путеви Србије</w:t>
      </w:r>
      <w:r w:rsidRPr="00956C60">
        <w:rPr>
          <w:rFonts w:cstheme="minorHAnsi"/>
          <w:color w:val="44546A" w:themeColor="text2"/>
          <w:sz w:val="16"/>
          <w:szCs w:val="16"/>
          <w:lang w:val="sr-Cyrl-RS"/>
        </w:rPr>
        <w:t>ˮ</w:t>
      </w:r>
      <w:r>
        <w:rPr>
          <w:rFonts w:cstheme="minorHAnsi"/>
          <w:color w:val="44546A" w:themeColor="text2"/>
          <w:sz w:val="16"/>
          <w:szCs w:val="16"/>
          <w:lang w:val="sr-Cyrl-RS"/>
        </w:rPr>
        <w:t xml:space="preserve"> </w:t>
      </w:r>
      <w:r w:rsidRPr="00C336AD">
        <w:rPr>
          <w:rFonts w:cstheme="minorHAnsi"/>
          <w:color w:val="44546A" w:themeColor="text2"/>
          <w:sz w:val="16"/>
          <w:szCs w:val="16"/>
          <w:lang w:val="sr-Cyrl-RS"/>
        </w:rPr>
        <w:t>не укључује се у расходе буџета, јер је ово предузеће део сектора опште државе, те су расходи који су финансирани гарантованим кредитима били део расхода опште државе у моменту трошења средстава, док се сама отплата третира као финансиј</w:t>
      </w:r>
      <w:r>
        <w:rPr>
          <w:rFonts w:cstheme="minorHAnsi"/>
          <w:color w:val="44546A" w:themeColor="text2"/>
          <w:sz w:val="16"/>
          <w:szCs w:val="16"/>
          <w:lang w:val="sr-Cyrl-RS"/>
        </w:rPr>
        <w:t>ска трансакција („испод црте</w:t>
      </w:r>
      <w:r w:rsidRPr="00956C60">
        <w:rPr>
          <w:rFonts w:cstheme="minorHAnsi"/>
          <w:color w:val="44546A" w:themeColor="text2"/>
          <w:sz w:val="16"/>
          <w:szCs w:val="16"/>
          <w:lang w:val="sr-Cyrl-RS"/>
        </w:rPr>
        <w:t>ˮ</w:t>
      </w:r>
      <w:r>
        <w:rPr>
          <w:rFonts w:cstheme="minorHAnsi"/>
          <w:color w:val="44546A" w:themeColor="text2"/>
          <w:sz w:val="16"/>
          <w:szCs w:val="16"/>
          <w:lang w:val="sr-Cyrl-RS"/>
        </w:rPr>
        <w:t>).</w:t>
      </w:r>
    </w:p>
  </w:footnote>
  <w:footnote w:id="14">
    <w:p w14:paraId="02858559" w14:textId="77777777" w:rsidR="00E90149" w:rsidRPr="00C336AD" w:rsidRDefault="00E90149" w:rsidP="00132FA9">
      <w:pPr>
        <w:pStyle w:val="FootnoteText"/>
        <w:jc w:val="both"/>
        <w:rPr>
          <w:rFonts w:cstheme="minorHAnsi"/>
          <w:color w:val="44546A" w:themeColor="text2"/>
          <w:sz w:val="16"/>
          <w:szCs w:val="16"/>
          <w:lang w:val="sr-Cyrl-RS"/>
        </w:rPr>
      </w:pPr>
      <w:r w:rsidRPr="00C336AD">
        <w:rPr>
          <w:rStyle w:val="FootnoteReference"/>
          <w:rFonts w:cstheme="minorHAnsi"/>
          <w:color w:val="44546A" w:themeColor="text2"/>
          <w:sz w:val="16"/>
          <w:szCs w:val="16"/>
          <w:lang w:val="sr-Cyrl-RS"/>
        </w:rPr>
        <w:footnoteRef/>
      </w:r>
      <w:r w:rsidRPr="00C336AD">
        <w:rPr>
          <w:rFonts w:cstheme="minorHAnsi"/>
          <w:color w:val="44546A" w:themeColor="text2"/>
          <w:sz w:val="16"/>
          <w:szCs w:val="16"/>
          <w:lang w:val="sr-Cyrl-RS"/>
        </w:rPr>
        <w:t xml:space="preserve"> Евро деноминовани кредити резидуалне рочности испод две године од 18.11.2016. године имају каматну стопу 1,75% + тромесечни Еурибор; евро деноминовани кредити резидуалне рочности изнад две године од 18.11.2016. године имају каматну стопу 2,75% + тромесечни Еурибор; кредити деноминовани у америчким доларима од 18.11.2016. године имају каматну стопу 3,00% + тромесечни УСД Либор.</w:t>
      </w:r>
    </w:p>
  </w:footnote>
  <w:footnote w:id="15">
    <w:p w14:paraId="57594AEC" w14:textId="77777777" w:rsidR="00E90149" w:rsidRPr="00C336AD" w:rsidRDefault="00E90149" w:rsidP="00132FA9">
      <w:pPr>
        <w:pStyle w:val="FootnoteText"/>
        <w:jc w:val="both"/>
        <w:rPr>
          <w:rFonts w:cstheme="minorHAnsi"/>
          <w:color w:val="44546A" w:themeColor="text2"/>
          <w:sz w:val="16"/>
          <w:szCs w:val="16"/>
          <w:lang w:val="sr-Cyrl-RS"/>
        </w:rPr>
      </w:pPr>
      <w:r w:rsidRPr="00C336AD">
        <w:rPr>
          <w:rStyle w:val="FootnoteReference"/>
          <w:rFonts w:cstheme="minorHAnsi"/>
          <w:color w:val="44546A" w:themeColor="text2"/>
          <w:sz w:val="16"/>
          <w:szCs w:val="16"/>
          <w:lang w:val="sr-Cyrl-RS"/>
        </w:rPr>
        <w:footnoteRef/>
      </w:r>
      <w:r w:rsidRPr="00C336AD">
        <w:rPr>
          <w:rFonts w:cstheme="minorHAnsi"/>
          <w:color w:val="44546A" w:themeColor="text2"/>
          <w:sz w:val="16"/>
          <w:szCs w:val="16"/>
          <w:lang w:val="sr-Cyrl-RS"/>
        </w:rPr>
        <w:t xml:space="preserve"> У табели 16. су приказана ЈП према резултату пословања у првој половини 2018. године. У том периоду ЈП Путеви Србије остварују нето добитак, јер </w:t>
      </w:r>
      <w:r w:rsidRPr="00C336AD">
        <w:rPr>
          <w:rFonts w:eastAsia="MS PGothic" w:cstheme="minorHAnsi"/>
          <w:color w:val="44546A" w:themeColor="text2"/>
          <w:sz w:val="16"/>
          <w:szCs w:val="16"/>
          <w:lang w:val="sr-Cyrl-RS"/>
        </w:rPr>
        <w:t>предузеће трошкове амортизације књижи тек на крају године у целокупном износу за дату годину.</w:t>
      </w:r>
    </w:p>
  </w:footnote>
  <w:footnote w:id="16">
    <w:p w14:paraId="577F06AB" w14:textId="656BE3BC" w:rsidR="00E90149" w:rsidRPr="00585AB5" w:rsidRDefault="00E90149" w:rsidP="00585AB5">
      <w:pPr>
        <w:pStyle w:val="FootnoteText"/>
        <w:jc w:val="both"/>
        <w:rPr>
          <w:sz w:val="16"/>
          <w:szCs w:val="16"/>
          <w:lang w:val="sr-Cyrl-RS"/>
        </w:rPr>
      </w:pPr>
      <w:r w:rsidRPr="00585AB5">
        <w:rPr>
          <w:rStyle w:val="FootnoteReference"/>
          <w:color w:val="44546A" w:themeColor="text2"/>
          <w:sz w:val="16"/>
          <w:szCs w:val="16"/>
        </w:rPr>
        <w:footnoteRef/>
      </w:r>
      <w:r w:rsidRPr="00585AB5">
        <w:rPr>
          <w:color w:val="44546A" w:themeColor="text2"/>
          <w:sz w:val="16"/>
          <w:szCs w:val="16"/>
        </w:rPr>
        <w:t xml:space="preserve"> </w:t>
      </w:r>
      <w:r>
        <w:rPr>
          <w:color w:val="44546A" w:themeColor="text2"/>
          <w:sz w:val="16"/>
          <w:szCs w:val="16"/>
          <w:lang w:val="sr-Cyrl-RS"/>
        </w:rPr>
        <w:t>„</w:t>
      </w:r>
      <w:r w:rsidRPr="00585AB5">
        <w:rPr>
          <w:color w:val="44546A" w:themeColor="text2"/>
          <w:sz w:val="16"/>
          <w:szCs w:val="16"/>
          <w:lang w:val="sr-Cyrl-CS"/>
        </w:rPr>
        <w:t>Инфраструктура железнице Србије</w:t>
      </w:r>
      <w:r w:rsidRPr="00EB0EE8">
        <w:rPr>
          <w:color w:val="44546A" w:themeColor="text2"/>
          <w:sz w:val="16"/>
          <w:szCs w:val="16"/>
          <w:lang w:val="sr-Cyrl-CS"/>
        </w:rPr>
        <w:t>ˮ</w:t>
      </w:r>
      <w:r w:rsidRPr="00585AB5">
        <w:rPr>
          <w:color w:val="44546A" w:themeColor="text2"/>
          <w:sz w:val="16"/>
          <w:szCs w:val="16"/>
          <w:lang w:val="sr-Cyrl-CS"/>
        </w:rPr>
        <w:t xml:space="preserve"> а.</w:t>
      </w:r>
      <w:r>
        <w:rPr>
          <w:color w:val="44546A" w:themeColor="text2"/>
          <w:sz w:val="16"/>
          <w:szCs w:val="16"/>
          <w:lang w:val="sr-Cyrl-CS"/>
        </w:rPr>
        <w:t xml:space="preserve"> </w:t>
      </w:r>
      <w:r w:rsidRPr="00585AB5">
        <w:rPr>
          <w:color w:val="44546A" w:themeColor="text2"/>
          <w:sz w:val="16"/>
          <w:szCs w:val="16"/>
          <w:lang w:val="sr-Cyrl-CS"/>
        </w:rPr>
        <w:t>д. је смањила губитак за 35% у односу на исти период претходне године и 36,5% у односу на планиране вредности. Наведени резултат предузећа „Инфраструктура железнице Србије</w:t>
      </w:r>
      <w:r w:rsidRPr="00EB0EE8">
        <w:rPr>
          <w:color w:val="44546A" w:themeColor="text2"/>
          <w:sz w:val="16"/>
          <w:szCs w:val="16"/>
          <w:lang w:val="sr-Cyrl-CS"/>
        </w:rPr>
        <w:t>ˮ</w:t>
      </w:r>
      <w:r w:rsidRPr="00585AB5">
        <w:rPr>
          <w:color w:val="44546A" w:themeColor="text2"/>
          <w:sz w:val="16"/>
          <w:szCs w:val="16"/>
          <w:lang w:val="sr-Cyrl-CS"/>
        </w:rPr>
        <w:t xml:space="preserve"> је условљен, првенствено, билансном позицијом: Губитак пословања који се обуставља, у износу од око 760 милиона динара, а услед неопходног рачуноводственог исказивања активности демонтаже пруге Мала Крсна</w:t>
      </w:r>
      <w:r>
        <w:rPr>
          <w:color w:val="44546A" w:themeColor="text2"/>
          <w:sz w:val="16"/>
          <w:szCs w:val="16"/>
          <w:lang w:val="sr-Cyrl-CS"/>
        </w:rPr>
        <w:t>–</w:t>
      </w:r>
      <w:r w:rsidRPr="00585AB5">
        <w:rPr>
          <w:color w:val="44546A" w:themeColor="text2"/>
          <w:sz w:val="16"/>
          <w:szCs w:val="16"/>
          <w:lang w:val="sr-Cyrl-CS"/>
        </w:rPr>
        <w:t>Велика Плана, у оквиру пројекта реконструкције „северних деоница“ саобраћајног коридора Х из руског кредита. Пословна промена је настала претходних година, али је адекватна документација тек у 2018. години, достављена на књижење. Након утврђивања прага материјалности, већи део овог износа биће до краја 2018. године прокњижен на губитак ранијих година</w:t>
      </w:r>
      <w:r>
        <w:rPr>
          <w:color w:val="44546A" w:themeColor="text2"/>
          <w:sz w:val="16"/>
          <w:szCs w:val="16"/>
          <w:lang w:val="sr-Cyrl-CS"/>
        </w:rPr>
        <w:t>.</w:t>
      </w:r>
    </w:p>
  </w:footnote>
  <w:footnote w:id="17">
    <w:p w14:paraId="179C244B" w14:textId="770C85AD" w:rsidR="00E90149" w:rsidRPr="00C336AD" w:rsidRDefault="00E90149" w:rsidP="00132FA9">
      <w:pPr>
        <w:pStyle w:val="FootnoteText"/>
        <w:jc w:val="both"/>
        <w:rPr>
          <w:rFonts w:cstheme="minorHAnsi"/>
          <w:color w:val="44546A" w:themeColor="text2"/>
          <w:sz w:val="16"/>
          <w:szCs w:val="16"/>
          <w:lang w:val="sr-Cyrl-RS"/>
        </w:rPr>
      </w:pPr>
      <w:r w:rsidRPr="00C336AD">
        <w:rPr>
          <w:rStyle w:val="FootnoteReference"/>
          <w:rFonts w:eastAsia="MS PGothic" w:cstheme="minorHAnsi"/>
          <w:color w:val="44546A" w:themeColor="text2"/>
          <w:sz w:val="16"/>
          <w:szCs w:val="16"/>
          <w:lang w:val="sr-Cyrl-RS"/>
        </w:rPr>
        <w:footnoteRef/>
      </w:r>
      <w:r w:rsidRPr="00C336AD">
        <w:rPr>
          <w:rFonts w:cstheme="minorHAnsi"/>
          <w:color w:val="44546A" w:themeColor="text2"/>
          <w:sz w:val="16"/>
          <w:szCs w:val="16"/>
          <w:lang w:val="sr-Cyrl-RS"/>
        </w:rPr>
        <w:t>„Железнице Србије</w:t>
      </w:r>
      <w:r w:rsidRPr="00EB0EE8">
        <w:rPr>
          <w:rFonts w:cstheme="minorHAnsi"/>
          <w:color w:val="44546A" w:themeColor="text2"/>
          <w:sz w:val="16"/>
          <w:szCs w:val="16"/>
          <w:lang w:val="sr-Cyrl-RS"/>
        </w:rPr>
        <w:t>ˮ</w:t>
      </w:r>
      <w:r w:rsidRPr="00C336AD">
        <w:rPr>
          <w:rFonts w:cstheme="minorHAnsi"/>
          <w:color w:val="44546A" w:themeColor="text2"/>
          <w:sz w:val="16"/>
          <w:szCs w:val="16"/>
          <w:lang w:val="sr-Cyrl-RS"/>
        </w:rPr>
        <w:t xml:space="preserve"> а.д, </w:t>
      </w:r>
      <w:r w:rsidRPr="00C336AD">
        <w:rPr>
          <w:rFonts w:eastAsia="MS PGothic" w:cstheme="minorHAnsi"/>
          <w:color w:val="44546A" w:themeColor="text2"/>
          <w:sz w:val="16"/>
          <w:szCs w:val="16"/>
          <w:lang w:val="sr-Cyrl-RS" w:eastAsia="ja-JP"/>
        </w:rPr>
        <w:t>„Инфраструктура железнице Србијеˮ а.д, „Србија Возˮ а.д и „Србија Каргоˮ а.</w:t>
      </w:r>
      <w:r>
        <w:rPr>
          <w:rFonts w:eastAsia="MS PGothic" w:cstheme="minorHAnsi"/>
          <w:color w:val="44546A" w:themeColor="text2"/>
          <w:sz w:val="16"/>
          <w:szCs w:val="16"/>
          <w:lang w:val="sr-Cyrl-RS" w:eastAsia="ja-JP"/>
        </w:rPr>
        <w:t xml:space="preserve"> </w:t>
      </w:r>
      <w:r w:rsidRPr="00C336AD">
        <w:rPr>
          <w:rFonts w:eastAsia="MS PGothic" w:cstheme="minorHAnsi"/>
          <w:color w:val="44546A" w:themeColor="text2"/>
          <w:sz w:val="16"/>
          <w:szCs w:val="16"/>
          <w:lang w:val="sr-Cyrl-RS" w:eastAsia="ja-JP"/>
        </w:rPr>
        <w:t>д.</w:t>
      </w:r>
    </w:p>
  </w:footnote>
  <w:footnote w:id="18">
    <w:p w14:paraId="5C291295" w14:textId="58B76821" w:rsidR="00E90149" w:rsidRPr="00C336AD" w:rsidRDefault="00E90149" w:rsidP="00132FA9">
      <w:pPr>
        <w:pStyle w:val="FootnoteText"/>
        <w:jc w:val="both"/>
        <w:rPr>
          <w:rFonts w:cstheme="minorHAnsi"/>
          <w:color w:val="44546A" w:themeColor="text2"/>
          <w:sz w:val="16"/>
          <w:szCs w:val="16"/>
          <w:lang w:val="sr-Cyrl-RS"/>
        </w:rPr>
      </w:pPr>
      <w:r w:rsidRPr="00C336AD">
        <w:rPr>
          <w:rStyle w:val="FootnoteReference"/>
          <w:rFonts w:cstheme="minorHAnsi"/>
          <w:color w:val="44546A" w:themeColor="text2"/>
          <w:sz w:val="16"/>
          <w:szCs w:val="16"/>
          <w:lang w:val="sr-Cyrl-RS"/>
        </w:rPr>
        <w:footnoteRef/>
      </w:r>
      <w:r w:rsidRPr="00C336AD">
        <w:rPr>
          <w:rFonts w:cstheme="minorHAnsi"/>
          <w:color w:val="44546A" w:themeColor="text2"/>
          <w:sz w:val="16"/>
          <w:szCs w:val="16"/>
          <w:lang w:val="sr-Cyrl-RS"/>
        </w:rPr>
        <w:t xml:space="preserve"> Укупно уплаћена добит јавних предузећа, јавних агенција и дивиденде друштава капитала, у којим држава има власништво, у 2017. години, износила је 21,2 млрд динара. Овде се задржавамо на добити јавних предузећа са становишт</w:t>
      </w:r>
      <w:r>
        <w:rPr>
          <w:rFonts w:cstheme="minorHAnsi"/>
          <w:color w:val="44546A" w:themeColor="text2"/>
          <w:sz w:val="16"/>
          <w:szCs w:val="16"/>
          <w:lang w:val="sr-Cyrl-RS"/>
        </w:rPr>
        <w:t>а сагледавања фискалних ризика.</w:t>
      </w:r>
    </w:p>
  </w:footnote>
  <w:footnote w:id="19">
    <w:p w14:paraId="2EBAC6F4" w14:textId="77777777" w:rsidR="00E90149" w:rsidRPr="00C336AD" w:rsidRDefault="00E90149" w:rsidP="00132FA9">
      <w:pPr>
        <w:pStyle w:val="FootnoteText"/>
        <w:jc w:val="both"/>
        <w:rPr>
          <w:rFonts w:cstheme="minorHAnsi"/>
          <w:color w:val="44546A" w:themeColor="text2"/>
          <w:sz w:val="16"/>
          <w:szCs w:val="16"/>
          <w:lang w:val="sr-Cyrl-RS"/>
        </w:rPr>
      </w:pPr>
      <w:r w:rsidRPr="00C336AD">
        <w:rPr>
          <w:rStyle w:val="FootnoteReference"/>
          <w:rFonts w:cstheme="minorHAnsi"/>
          <w:color w:val="44546A" w:themeColor="text2"/>
          <w:sz w:val="16"/>
          <w:szCs w:val="16"/>
          <w:lang w:val="sr-Cyrl-RS"/>
        </w:rPr>
        <w:footnoteRef/>
      </w:r>
      <w:r w:rsidRPr="00C336AD">
        <w:rPr>
          <w:rFonts w:cstheme="minorHAnsi"/>
          <w:color w:val="44546A" w:themeColor="text2"/>
          <w:sz w:val="16"/>
          <w:szCs w:val="16"/>
          <w:lang w:val="sr-Cyrl-RS"/>
        </w:rPr>
        <w:t xml:space="preserve"> Народна скупштина усвојила је измене и допуне Закона о Народној банци Србије и Закона о банкама, као и нови Закон о Агенцији за осигурање депозита, Закон о осигурању депозита, Закон о стечају и ликвидацији банака и друштава за осигурање. Са изменом сета финансијских закона, наметнуло се и усвајање допуне Закона о министарствима.</w:t>
      </w:r>
    </w:p>
  </w:footnote>
  <w:footnote w:id="20">
    <w:p w14:paraId="4E6F5CE6" w14:textId="08741133" w:rsidR="00E90149" w:rsidRPr="00C336AD" w:rsidRDefault="00E90149" w:rsidP="00132FA9">
      <w:pPr>
        <w:pStyle w:val="FootnoteText"/>
        <w:jc w:val="both"/>
        <w:rPr>
          <w:rFonts w:cstheme="minorHAnsi"/>
          <w:color w:val="44546A" w:themeColor="text2"/>
          <w:sz w:val="16"/>
          <w:szCs w:val="16"/>
          <w:lang w:val="sr-Cyrl-RS"/>
        </w:rPr>
      </w:pPr>
      <w:r w:rsidRPr="00C336AD">
        <w:rPr>
          <w:rStyle w:val="FootnoteReference"/>
          <w:rFonts w:cstheme="minorHAnsi"/>
          <w:color w:val="44546A" w:themeColor="text2"/>
          <w:sz w:val="16"/>
          <w:szCs w:val="16"/>
          <w:lang w:val="sr-Cyrl-RS"/>
        </w:rPr>
        <w:footnoteRef/>
      </w:r>
      <w:r w:rsidRPr="00C336AD">
        <w:rPr>
          <w:rFonts w:cstheme="minorHAnsi"/>
          <w:color w:val="44546A" w:themeColor="text2"/>
          <w:sz w:val="16"/>
          <w:szCs w:val="16"/>
          <w:lang w:val="sr-Cyrl-RS"/>
        </w:rPr>
        <w:t xml:space="preserve"> Заштићени депоненти су: физичка лица (резиденти и нерезиденти), предузетници (резиденти), микро, мала и </w:t>
      </w:r>
      <w:r>
        <w:rPr>
          <w:rFonts w:cstheme="minorHAnsi"/>
          <w:color w:val="44546A" w:themeColor="text2"/>
          <w:sz w:val="16"/>
          <w:szCs w:val="16"/>
          <w:lang w:val="sr-Cyrl-RS"/>
        </w:rPr>
        <w:t>средња правна лица (резиденти).</w:t>
      </w:r>
    </w:p>
  </w:footnote>
  <w:footnote w:id="21">
    <w:p w14:paraId="214BD0BA" w14:textId="47237B52" w:rsidR="00E90149" w:rsidRPr="00C336AD" w:rsidRDefault="00E90149" w:rsidP="00132FA9">
      <w:pPr>
        <w:pStyle w:val="FootnoteText"/>
        <w:jc w:val="both"/>
        <w:rPr>
          <w:rFonts w:cstheme="minorHAnsi"/>
          <w:color w:val="44546A" w:themeColor="text2"/>
          <w:sz w:val="16"/>
          <w:szCs w:val="16"/>
          <w:lang w:val="sr-Cyrl-RS"/>
        </w:rPr>
      </w:pPr>
      <w:r w:rsidRPr="00C336AD">
        <w:rPr>
          <w:rStyle w:val="FootnoteReference"/>
          <w:rFonts w:cstheme="minorHAnsi"/>
          <w:color w:val="44546A" w:themeColor="text2"/>
          <w:sz w:val="16"/>
          <w:szCs w:val="16"/>
          <w:lang w:val="sr-Cyrl-RS"/>
        </w:rPr>
        <w:footnoteRef/>
      </w:r>
      <w:r w:rsidRPr="00C336AD">
        <w:rPr>
          <w:rFonts w:cstheme="minorHAnsi"/>
          <w:color w:val="44546A" w:themeColor="text2"/>
          <w:sz w:val="16"/>
          <w:szCs w:val="16"/>
          <w:lang w:val="sr-Cyrl-RS"/>
        </w:rPr>
        <w:t xml:space="preserve"> Обухваћени су расходи на контима: новчане казне и пенали по решењу судова и судских тела и накнада штете за повреде или штету на</w:t>
      </w:r>
      <w:r>
        <w:rPr>
          <w:rFonts w:cstheme="minorHAnsi"/>
          <w:color w:val="44546A" w:themeColor="text2"/>
          <w:sz w:val="16"/>
          <w:szCs w:val="16"/>
          <w:lang w:val="sr-Cyrl-RS"/>
        </w:rPr>
        <w:t>нету од стране државних органа.</w:t>
      </w:r>
    </w:p>
  </w:footnote>
  <w:footnote w:id="22">
    <w:p w14:paraId="74933BFF" w14:textId="6F0F5A8C" w:rsidR="00E90149" w:rsidRPr="00C336AD" w:rsidRDefault="00E90149" w:rsidP="00132FA9">
      <w:pPr>
        <w:pStyle w:val="FootnoteText"/>
        <w:jc w:val="both"/>
        <w:rPr>
          <w:rFonts w:cstheme="minorHAnsi"/>
          <w:color w:val="44546A" w:themeColor="text2"/>
          <w:sz w:val="16"/>
          <w:szCs w:val="16"/>
          <w:lang w:val="sr-Cyrl-RS"/>
        </w:rPr>
      </w:pPr>
      <w:r w:rsidRPr="00C336AD">
        <w:rPr>
          <w:rStyle w:val="FootnoteReference"/>
          <w:rFonts w:cstheme="minorHAnsi"/>
          <w:color w:val="44546A" w:themeColor="text2"/>
          <w:sz w:val="16"/>
          <w:szCs w:val="16"/>
          <w:lang w:val="sr-Cyrl-RS"/>
        </w:rPr>
        <w:footnoteRef/>
      </w:r>
      <w:r w:rsidRPr="002E51AD">
        <w:rPr>
          <w:rStyle w:val="Hyperlink"/>
          <w:rFonts w:cstheme="minorHAnsi"/>
          <w:color w:val="44546A" w:themeColor="text2"/>
          <w:sz w:val="16"/>
          <w:szCs w:val="16"/>
          <w:u w:val="none"/>
          <w:lang w:val="sr-Latn-RS"/>
        </w:rPr>
        <w:t xml:space="preserve"> </w:t>
      </w:r>
      <w:hyperlink r:id="rId3" w:history="1">
        <w:r w:rsidRPr="003050C6">
          <w:rPr>
            <w:rStyle w:val="Hyperlink"/>
            <w:rFonts w:cstheme="minorHAnsi"/>
            <w:color w:val="44546A" w:themeColor="text2"/>
            <w:sz w:val="16"/>
            <w:szCs w:val="16"/>
            <w:u w:val="none"/>
            <w:lang w:val="sr-Cyrl-RS"/>
          </w:rPr>
          <w:t>http://www.obnova.gov.rs/uploads/useruploads/Documents/Kancelarija-za-pomoc-poplavljenih-podrucja-infograf-15-04-2016-srb.pdf</w:t>
        </w:r>
      </w:hyperlink>
    </w:p>
  </w:footnote>
  <w:footnote w:id="23">
    <w:p w14:paraId="35226B51" w14:textId="0071F9A2" w:rsidR="00E90149" w:rsidRPr="003050C6" w:rsidRDefault="00E90149" w:rsidP="00132FA9">
      <w:pPr>
        <w:jc w:val="both"/>
        <w:rPr>
          <w:rFonts w:cstheme="minorHAnsi"/>
          <w:color w:val="44546A" w:themeColor="text2"/>
          <w:sz w:val="16"/>
          <w:szCs w:val="16"/>
          <w:lang w:val="sr-Latn-RS"/>
        </w:rPr>
      </w:pPr>
      <w:r w:rsidRPr="00C336AD">
        <w:rPr>
          <w:rStyle w:val="FootnoteReference"/>
          <w:rFonts w:cstheme="minorHAnsi"/>
          <w:color w:val="44546A" w:themeColor="text2"/>
          <w:sz w:val="16"/>
          <w:szCs w:val="16"/>
        </w:rPr>
        <w:footnoteRef/>
      </w:r>
      <w:r w:rsidRPr="00C336AD">
        <w:rPr>
          <w:rFonts w:cstheme="minorHAnsi"/>
          <w:color w:val="44546A" w:themeColor="text2"/>
          <w:sz w:val="16"/>
          <w:szCs w:val="16"/>
        </w:rPr>
        <w:t xml:space="preserve"> </w:t>
      </w:r>
      <w:r w:rsidRPr="00C336AD">
        <w:rPr>
          <w:rFonts w:eastAsia="Times New Roman" w:cstheme="minorHAnsi"/>
          <w:bCs/>
          <w:color w:val="44546A" w:themeColor="text2"/>
          <w:sz w:val="16"/>
          <w:szCs w:val="16"/>
          <w:lang w:val="sr-Cyrl-CS"/>
        </w:rPr>
        <w:t>Детаљнији опис коришћене методологије и резултата могу се пронаћи у Фискалној стратегији за 2013. годину са пројекцијама за 2014. и 2015. годину или путем линка</w:t>
      </w:r>
      <w:r w:rsidRPr="00C336AD">
        <w:rPr>
          <w:rFonts w:cstheme="minorHAnsi"/>
          <w:color w:val="44546A" w:themeColor="text2"/>
          <w:sz w:val="16"/>
          <w:szCs w:val="16"/>
          <w:lang w:val="sr-Cyrl-CS"/>
        </w:rPr>
        <w:t xml:space="preserve"> </w:t>
      </w:r>
      <w:hyperlink r:id="rId4" w:history="1">
        <w:r w:rsidRPr="003050C6">
          <w:rPr>
            <w:rStyle w:val="Hyperlink"/>
            <w:rFonts w:eastAsia="Times New Roman" w:cstheme="minorHAnsi"/>
            <w:bCs/>
            <w:color w:val="44546A" w:themeColor="text2"/>
            <w:sz w:val="16"/>
            <w:szCs w:val="16"/>
            <w:u w:val="none"/>
            <w:lang w:val="sr-Cyrl-CS"/>
          </w:rPr>
          <w:t>http://www.mfin.gov.rs/pages/article.php?id=8626</w:t>
        </w:r>
      </w:hyperlink>
    </w:p>
  </w:footnote>
  <w:footnote w:id="24">
    <w:p w14:paraId="047BD36D" w14:textId="66672FE7" w:rsidR="00E90149" w:rsidRPr="00C336AD" w:rsidRDefault="00E90149" w:rsidP="00132FA9">
      <w:pPr>
        <w:pStyle w:val="FootnoteText"/>
        <w:jc w:val="both"/>
        <w:rPr>
          <w:rFonts w:cstheme="minorHAnsi"/>
          <w:color w:val="44546A" w:themeColor="text2"/>
          <w:sz w:val="16"/>
          <w:szCs w:val="16"/>
          <w:lang w:val="sr-Cyrl-RS"/>
        </w:rPr>
      </w:pPr>
      <w:r w:rsidRPr="00C336AD">
        <w:rPr>
          <w:rStyle w:val="FootnoteReference"/>
          <w:rFonts w:cstheme="minorHAnsi"/>
          <w:color w:val="44546A" w:themeColor="text2"/>
          <w:sz w:val="16"/>
          <w:szCs w:val="16"/>
          <w:lang w:val="sr-Cyrl-RS"/>
        </w:rPr>
        <w:footnoteRef/>
      </w:r>
      <w:r w:rsidRPr="00C336AD">
        <w:rPr>
          <w:rFonts w:cstheme="minorHAnsi"/>
          <w:color w:val="44546A" w:themeColor="text2"/>
          <w:sz w:val="16"/>
          <w:szCs w:val="16"/>
          <w:lang w:val="sr-Cyrl-RS"/>
        </w:rPr>
        <w:t xml:space="preserve"> Јавни дуг у овом документу не обухвата дуг по основу реституције у складу са дефиницијом дуга</w:t>
      </w:r>
      <w:r>
        <w:rPr>
          <w:rFonts w:cstheme="minorHAnsi"/>
          <w:color w:val="44546A" w:themeColor="text2"/>
          <w:sz w:val="16"/>
          <w:szCs w:val="16"/>
          <w:lang w:val="sr-Cyrl-RS"/>
        </w:rPr>
        <w:t xml:space="preserve"> из Закона о буџетском систему.</w:t>
      </w:r>
    </w:p>
  </w:footnote>
  <w:footnote w:id="25">
    <w:p w14:paraId="40FFAC39" w14:textId="77777777" w:rsidR="00E90149" w:rsidRPr="00B4009D" w:rsidRDefault="00E90149" w:rsidP="00132FA9">
      <w:pPr>
        <w:pStyle w:val="FootnoteText"/>
        <w:jc w:val="both"/>
        <w:rPr>
          <w:rStyle w:val="FootnoteReference"/>
          <w:color w:val="44546A" w:themeColor="text2"/>
          <w:sz w:val="16"/>
          <w:szCs w:val="16"/>
          <w:vertAlign w:val="baseline"/>
          <w:lang w:val="sr-Cyrl-RS"/>
        </w:rPr>
      </w:pPr>
      <w:r w:rsidRPr="00B4009D">
        <w:rPr>
          <w:rStyle w:val="FootnoteReference"/>
          <w:color w:val="44546A" w:themeColor="text2"/>
          <w:sz w:val="16"/>
          <w:szCs w:val="16"/>
          <w:lang w:val="sr-Cyrl-RS"/>
        </w:rPr>
        <w:footnoteRef/>
      </w:r>
      <w:r w:rsidRPr="00B4009D">
        <w:rPr>
          <w:rStyle w:val="FootnoteReference"/>
          <w:color w:val="44546A" w:themeColor="text2"/>
          <w:sz w:val="16"/>
          <w:szCs w:val="16"/>
          <w:lang w:val="sr-Cyrl-RS"/>
        </w:rPr>
        <w:t xml:space="preserve"> </w:t>
      </w:r>
      <w:r w:rsidRPr="00B4009D">
        <w:rPr>
          <w:rStyle w:val="FootnoteReference"/>
          <w:color w:val="44546A" w:themeColor="text2"/>
          <w:sz w:val="16"/>
          <w:szCs w:val="16"/>
          <w:vertAlign w:val="baseline"/>
          <w:lang w:val="sr-Cyrl-RS"/>
        </w:rPr>
        <w:t>АТМ (</w:t>
      </w:r>
      <w:r w:rsidRPr="00FF289A">
        <w:rPr>
          <w:rStyle w:val="FootnoteReference"/>
          <w:i/>
          <w:color w:val="44546A" w:themeColor="text2"/>
          <w:sz w:val="16"/>
          <w:szCs w:val="16"/>
          <w:vertAlign w:val="baseline"/>
          <w:lang w:val="sr-Cyrl-RS"/>
        </w:rPr>
        <w:t>Average Time to Maturity</w:t>
      </w:r>
      <w:r w:rsidRPr="00B4009D">
        <w:rPr>
          <w:rStyle w:val="FootnoteReference"/>
          <w:color w:val="44546A" w:themeColor="text2"/>
          <w:sz w:val="16"/>
          <w:szCs w:val="16"/>
          <w:vertAlign w:val="baseline"/>
          <w:lang w:val="sr-Cyrl-RS"/>
        </w:rPr>
        <w:t>) – енглеска скраћеница за просечно време до доспећа.</w:t>
      </w:r>
    </w:p>
  </w:footnote>
  <w:footnote w:id="26">
    <w:p w14:paraId="2B7ED156" w14:textId="77777777" w:rsidR="00E90149" w:rsidRPr="00B4009D" w:rsidRDefault="00E90149" w:rsidP="00132FA9">
      <w:pPr>
        <w:pStyle w:val="FootnoteText"/>
        <w:jc w:val="both"/>
        <w:rPr>
          <w:sz w:val="16"/>
          <w:szCs w:val="16"/>
        </w:rPr>
      </w:pPr>
      <w:r w:rsidRPr="00B4009D">
        <w:rPr>
          <w:rStyle w:val="FootnoteReference"/>
          <w:color w:val="44546A" w:themeColor="text2"/>
          <w:sz w:val="16"/>
          <w:szCs w:val="16"/>
          <w:lang w:val="sr-Cyrl-RS"/>
        </w:rPr>
        <w:footnoteRef/>
      </w:r>
      <w:r w:rsidRPr="00B4009D">
        <w:rPr>
          <w:rStyle w:val="FootnoteReference"/>
          <w:color w:val="44546A" w:themeColor="text2"/>
          <w:sz w:val="16"/>
          <w:szCs w:val="16"/>
          <w:lang w:val="sr-Cyrl-RS"/>
        </w:rPr>
        <w:t xml:space="preserve"> </w:t>
      </w:r>
      <w:r w:rsidRPr="00B4009D">
        <w:rPr>
          <w:rStyle w:val="FootnoteReference"/>
          <w:color w:val="44546A" w:themeColor="text2"/>
          <w:sz w:val="16"/>
          <w:szCs w:val="16"/>
          <w:vertAlign w:val="baseline"/>
          <w:lang w:val="sr-Cyrl-RS"/>
        </w:rPr>
        <w:t>АТR (</w:t>
      </w:r>
      <w:r w:rsidRPr="00FF289A">
        <w:rPr>
          <w:rStyle w:val="FootnoteReference"/>
          <w:i/>
          <w:color w:val="44546A" w:themeColor="text2"/>
          <w:sz w:val="16"/>
          <w:szCs w:val="16"/>
          <w:vertAlign w:val="baseline"/>
          <w:lang w:val="sr-Cyrl-RS"/>
        </w:rPr>
        <w:t>Average Time to Refixing</w:t>
      </w:r>
      <w:r w:rsidRPr="00B4009D">
        <w:rPr>
          <w:rStyle w:val="FootnoteReference"/>
          <w:color w:val="44546A" w:themeColor="text2"/>
          <w:sz w:val="16"/>
          <w:szCs w:val="16"/>
          <w:vertAlign w:val="baseline"/>
          <w:lang w:val="sr-Cyrl-RS"/>
        </w:rPr>
        <w:t>) – енглеска скраћеница за просечно време до промене каматних стопа.</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D01572" w14:textId="03DBF01E" w:rsidR="00E90149" w:rsidRPr="00BF7F6A" w:rsidRDefault="00E90149" w:rsidP="00BF7F6A">
    <w:pPr>
      <w:pStyle w:val="Header"/>
      <w:jc w:val="center"/>
      <w:rPr>
        <w:lang w:val="sr-Cyrl-RS"/>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69053A" w14:textId="77777777" w:rsidR="00E90149" w:rsidRPr="00BF7F6A" w:rsidRDefault="00E90149" w:rsidP="00BD7EB6">
    <w:pPr>
      <w:pStyle w:val="Header"/>
      <w:jc w:val="center"/>
      <w:rPr>
        <w:lang w:val="sr-Cyrl-RS"/>
      </w:rPr>
    </w:pPr>
    <w:r>
      <w:rPr>
        <w:lang w:val="sr-Cyrl-RS"/>
      </w:rPr>
      <w:t>Фискална стратегија за 2019. годину са пројекцијама за 2020. и 2021. годину</w:t>
    </w:r>
  </w:p>
  <w:p w14:paraId="5BFA6353" w14:textId="77777777" w:rsidR="00E90149" w:rsidRDefault="00E90149">
    <w:pPr>
      <w:pStyle w:val="Heade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53AEFE" w14:textId="24BFE7DE" w:rsidR="00E90149" w:rsidRPr="009F4789" w:rsidRDefault="00E90149" w:rsidP="009F4789">
    <w:pPr>
      <w:pStyle w:val="Header"/>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FE822A" w14:textId="77777777" w:rsidR="00E90149" w:rsidRPr="00BF7F6A" w:rsidRDefault="00E90149" w:rsidP="00BD7EB6">
    <w:pPr>
      <w:pStyle w:val="Header"/>
      <w:jc w:val="center"/>
      <w:rPr>
        <w:lang w:val="sr-Cyrl-RS"/>
      </w:rPr>
    </w:pPr>
    <w:r>
      <w:rPr>
        <w:lang w:val="sr-Cyrl-RS"/>
      </w:rPr>
      <w:t>Фискална стратегија за 2019. годину са пројекцијама за 2020. и 2021. годину</w:t>
    </w:r>
  </w:p>
  <w:p w14:paraId="52D45581" w14:textId="77777777" w:rsidR="00E90149" w:rsidRDefault="00E90149">
    <w:pPr>
      <w:pStyle w:val="Header"/>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118522" w14:textId="77777777" w:rsidR="00E90149" w:rsidRPr="004F72C4" w:rsidRDefault="00E90149" w:rsidP="004F72C4">
    <w:pPr>
      <w:pStyle w:val="Header"/>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AAE720" w14:textId="235F0AA5" w:rsidR="00E90149" w:rsidRPr="00A473B0" w:rsidRDefault="00E90149" w:rsidP="00A473B0">
    <w:pPr>
      <w:pStyle w:val="Header"/>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40C8C8" w14:textId="77777777" w:rsidR="00E90149" w:rsidRPr="00BF7F6A" w:rsidRDefault="00E90149" w:rsidP="00BD7EB6">
    <w:pPr>
      <w:pStyle w:val="Header"/>
      <w:jc w:val="center"/>
      <w:rPr>
        <w:lang w:val="sr-Cyrl-RS"/>
      </w:rPr>
    </w:pPr>
    <w:r>
      <w:rPr>
        <w:lang w:val="sr-Cyrl-RS"/>
      </w:rPr>
      <w:t>Фискална стратегија за 2019. годину са пројекцијама за 2020. и 2021. годину</w:t>
    </w:r>
  </w:p>
  <w:p w14:paraId="2663824A" w14:textId="77777777" w:rsidR="00E90149" w:rsidRDefault="00E90149">
    <w:pPr>
      <w:pStyle w:val="Header"/>
    </w:pP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85FF3A" w14:textId="77777777" w:rsidR="00E90149" w:rsidRDefault="00E90149">
    <w:pPr>
      <w:pStyle w:val="Header"/>
    </w:pP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3D99CE" w14:textId="119AE705" w:rsidR="00E90149" w:rsidRPr="00956C60" w:rsidRDefault="00E90149" w:rsidP="00956C60">
    <w:pPr>
      <w:pStyle w:val="Header"/>
    </w:pPr>
  </w:p>
</w:hdr>
</file>

<file path=word/header1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DCCB34" w14:textId="77777777" w:rsidR="00E90149" w:rsidRPr="00BF7F6A" w:rsidRDefault="00E90149" w:rsidP="00BD7EB6">
    <w:pPr>
      <w:pStyle w:val="Header"/>
      <w:jc w:val="center"/>
      <w:rPr>
        <w:lang w:val="sr-Cyrl-RS"/>
      </w:rPr>
    </w:pPr>
    <w:r>
      <w:rPr>
        <w:lang w:val="sr-Cyrl-RS"/>
      </w:rPr>
      <w:t>Фискална стратегија за 2019. годину са пројекцијама за 2020. и 2021. годину</w:t>
    </w:r>
  </w:p>
  <w:p w14:paraId="466C4EAD" w14:textId="77777777" w:rsidR="00E90149" w:rsidRDefault="00E90149">
    <w:pPr>
      <w:pStyle w:val="Header"/>
    </w:pPr>
  </w:p>
</w:hdr>
</file>

<file path=word/header1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1E82D3" w14:textId="77777777" w:rsidR="00E90149" w:rsidRPr="00EB0EE8" w:rsidRDefault="00E90149" w:rsidP="00EB0EE8">
    <w:pPr>
      <w:pStyle w:val="Header"/>
    </w:pPr>
  </w:p>
</w:hdr>
</file>

<file path=word/header1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477A79" w14:textId="2AA73981" w:rsidR="00E90149" w:rsidRPr="000312CC" w:rsidRDefault="00E90149" w:rsidP="000312CC">
    <w:pPr>
      <w:pStyle w:val="Header"/>
    </w:pPr>
  </w:p>
</w:hdr>
</file>

<file path=word/header1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02580F" w14:textId="77777777" w:rsidR="00E90149" w:rsidRPr="00BF7F6A" w:rsidRDefault="00E90149" w:rsidP="00BD7EB6">
    <w:pPr>
      <w:pStyle w:val="Header"/>
      <w:jc w:val="center"/>
      <w:rPr>
        <w:lang w:val="sr-Cyrl-RS"/>
      </w:rPr>
    </w:pPr>
    <w:r>
      <w:rPr>
        <w:lang w:val="sr-Cyrl-RS"/>
      </w:rPr>
      <w:t>Фискална стратегија за 2019. годину са пројекцијама за 2020. и 2021. годину</w:t>
    </w:r>
  </w:p>
  <w:p w14:paraId="4BF8FF74" w14:textId="77777777" w:rsidR="00E90149" w:rsidRDefault="00E90149">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B2519C"/>
    <w:multiLevelType w:val="hybridMultilevel"/>
    <w:tmpl w:val="14EC1DC0"/>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57E3294"/>
    <w:multiLevelType w:val="hybridMultilevel"/>
    <w:tmpl w:val="1354E35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196F9C"/>
    <w:multiLevelType w:val="hybridMultilevel"/>
    <w:tmpl w:val="03588D7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360" w:hanging="360"/>
      </w:pPr>
      <w:rPr>
        <w:rFonts w:ascii="Courier New" w:hAnsi="Courier New" w:cs="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3" w15:restartNumberingAfterBreak="0">
    <w:nsid w:val="1AA27DE4"/>
    <w:multiLevelType w:val="hybridMultilevel"/>
    <w:tmpl w:val="FA80B2E8"/>
    <w:lvl w:ilvl="0" w:tplc="71B0D9DA">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F077B37"/>
    <w:multiLevelType w:val="hybridMultilevel"/>
    <w:tmpl w:val="81503CA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0BA37CC"/>
    <w:multiLevelType w:val="hybridMultilevel"/>
    <w:tmpl w:val="BA2A7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6640D2D"/>
    <w:multiLevelType w:val="hybridMultilevel"/>
    <w:tmpl w:val="B7501ECE"/>
    <w:lvl w:ilvl="0" w:tplc="06960124">
      <w:start w:val="1"/>
      <w:numFmt w:val="decimal"/>
      <w:lvlText w:val="%1)"/>
      <w:lvlJc w:val="left"/>
      <w:pPr>
        <w:ind w:left="2160" w:hanging="360"/>
      </w:pPr>
      <w:rPr>
        <w:rFonts w:ascii="Cambria" w:eastAsia="Times New Roman" w:hAnsi="Cambria" w:cs="Tahoma" w:hint="default"/>
      </w:rPr>
    </w:lvl>
    <w:lvl w:ilvl="1" w:tplc="04090019">
      <w:start w:val="1"/>
      <w:numFmt w:val="lowerLetter"/>
      <w:lvlText w:val="%2."/>
      <w:lvlJc w:val="left"/>
      <w:pPr>
        <w:ind w:left="2880" w:hanging="360"/>
      </w:pPr>
    </w:lvl>
    <w:lvl w:ilvl="2" w:tplc="0409001B">
      <w:start w:val="1"/>
      <w:numFmt w:val="lowerRoman"/>
      <w:lvlText w:val="%3."/>
      <w:lvlJc w:val="right"/>
      <w:pPr>
        <w:ind w:left="3600" w:hanging="180"/>
      </w:pPr>
    </w:lvl>
    <w:lvl w:ilvl="3" w:tplc="0409000F">
      <w:start w:val="1"/>
      <w:numFmt w:val="decimal"/>
      <w:lvlText w:val="%4."/>
      <w:lvlJc w:val="left"/>
      <w:pPr>
        <w:ind w:left="4320" w:hanging="360"/>
      </w:pPr>
    </w:lvl>
    <w:lvl w:ilvl="4" w:tplc="04090019">
      <w:start w:val="1"/>
      <w:numFmt w:val="lowerLetter"/>
      <w:lvlText w:val="%5."/>
      <w:lvlJc w:val="left"/>
      <w:pPr>
        <w:ind w:left="5040" w:hanging="360"/>
      </w:pPr>
    </w:lvl>
    <w:lvl w:ilvl="5" w:tplc="0409001B">
      <w:start w:val="1"/>
      <w:numFmt w:val="lowerRoman"/>
      <w:lvlText w:val="%6."/>
      <w:lvlJc w:val="right"/>
      <w:pPr>
        <w:ind w:left="5760" w:hanging="180"/>
      </w:pPr>
    </w:lvl>
    <w:lvl w:ilvl="6" w:tplc="0409000F">
      <w:start w:val="1"/>
      <w:numFmt w:val="decimal"/>
      <w:lvlText w:val="%7."/>
      <w:lvlJc w:val="left"/>
      <w:pPr>
        <w:ind w:left="6480" w:hanging="360"/>
      </w:pPr>
    </w:lvl>
    <w:lvl w:ilvl="7" w:tplc="04090019">
      <w:start w:val="1"/>
      <w:numFmt w:val="lowerLetter"/>
      <w:lvlText w:val="%8."/>
      <w:lvlJc w:val="left"/>
      <w:pPr>
        <w:ind w:left="7200" w:hanging="360"/>
      </w:pPr>
    </w:lvl>
    <w:lvl w:ilvl="8" w:tplc="0409001B">
      <w:start w:val="1"/>
      <w:numFmt w:val="lowerRoman"/>
      <w:lvlText w:val="%9."/>
      <w:lvlJc w:val="right"/>
      <w:pPr>
        <w:ind w:left="7920" w:hanging="180"/>
      </w:pPr>
    </w:lvl>
  </w:abstractNum>
  <w:abstractNum w:abstractNumId="7" w15:restartNumberingAfterBreak="0">
    <w:nsid w:val="287E3366"/>
    <w:multiLevelType w:val="hybridMultilevel"/>
    <w:tmpl w:val="4434073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 w15:restartNumberingAfterBreak="0">
    <w:nsid w:val="29E336EA"/>
    <w:multiLevelType w:val="hybridMultilevel"/>
    <w:tmpl w:val="F5A8EA88"/>
    <w:lvl w:ilvl="0" w:tplc="52528046">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311B23A4"/>
    <w:multiLevelType w:val="hybridMultilevel"/>
    <w:tmpl w:val="0F4E72EE"/>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357B7631"/>
    <w:multiLevelType w:val="hybridMultilevel"/>
    <w:tmpl w:val="68EE0AFC"/>
    <w:lvl w:ilvl="0" w:tplc="A278813C">
      <w:numFmt w:val="bullet"/>
      <w:lvlText w:val=""/>
      <w:lvlJc w:val="left"/>
      <w:pPr>
        <w:ind w:left="720" w:hanging="360"/>
      </w:pPr>
      <w:rPr>
        <w:rFonts w:ascii="Symbol" w:eastAsiaTheme="minorHAnsi" w:hAnsi="Symbol" w:cstheme="minorHAnsi"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1" w15:restartNumberingAfterBreak="0">
    <w:nsid w:val="364818FA"/>
    <w:multiLevelType w:val="hybridMultilevel"/>
    <w:tmpl w:val="B3DEF552"/>
    <w:lvl w:ilvl="0" w:tplc="F05C964E">
      <w:start w:val="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F974621"/>
    <w:multiLevelType w:val="hybridMultilevel"/>
    <w:tmpl w:val="3D1E1176"/>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3817CF4"/>
    <w:multiLevelType w:val="hybridMultilevel"/>
    <w:tmpl w:val="BBAC369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9E10CE8"/>
    <w:multiLevelType w:val="hybridMultilevel"/>
    <w:tmpl w:val="2EA86312"/>
    <w:lvl w:ilvl="0" w:tplc="3C18CB6A">
      <w:start w:val="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D6972A3"/>
    <w:multiLevelType w:val="hybridMultilevel"/>
    <w:tmpl w:val="3750566E"/>
    <w:lvl w:ilvl="0" w:tplc="04090005">
      <w:start w:val="1"/>
      <w:numFmt w:val="bullet"/>
      <w:lvlText w:val=""/>
      <w:lvlJc w:val="left"/>
      <w:pPr>
        <w:ind w:left="1077" w:hanging="360"/>
      </w:pPr>
      <w:rPr>
        <w:rFonts w:ascii="Wingdings" w:hAnsi="Wingdings" w:hint="default"/>
      </w:rPr>
    </w:lvl>
    <w:lvl w:ilvl="1" w:tplc="04090003">
      <w:start w:val="1"/>
      <w:numFmt w:val="bullet"/>
      <w:lvlText w:val="o"/>
      <w:lvlJc w:val="left"/>
      <w:pPr>
        <w:ind w:left="1797" w:hanging="360"/>
      </w:pPr>
      <w:rPr>
        <w:rFonts w:ascii="Courier New" w:hAnsi="Courier New" w:cs="Courier New" w:hint="default"/>
      </w:rPr>
    </w:lvl>
    <w:lvl w:ilvl="2" w:tplc="04090005">
      <w:start w:val="1"/>
      <w:numFmt w:val="bullet"/>
      <w:lvlText w:val=""/>
      <w:lvlJc w:val="left"/>
      <w:pPr>
        <w:ind w:left="2517" w:hanging="360"/>
      </w:pPr>
      <w:rPr>
        <w:rFonts w:ascii="Wingdings" w:hAnsi="Wingdings" w:hint="default"/>
      </w:rPr>
    </w:lvl>
    <w:lvl w:ilvl="3" w:tplc="04090001">
      <w:start w:val="1"/>
      <w:numFmt w:val="bullet"/>
      <w:lvlText w:val=""/>
      <w:lvlJc w:val="left"/>
      <w:pPr>
        <w:ind w:left="3237" w:hanging="360"/>
      </w:pPr>
      <w:rPr>
        <w:rFonts w:ascii="Symbol" w:hAnsi="Symbol" w:hint="default"/>
      </w:rPr>
    </w:lvl>
    <w:lvl w:ilvl="4" w:tplc="04090003">
      <w:start w:val="1"/>
      <w:numFmt w:val="bullet"/>
      <w:lvlText w:val="o"/>
      <w:lvlJc w:val="left"/>
      <w:pPr>
        <w:ind w:left="3957" w:hanging="360"/>
      </w:pPr>
      <w:rPr>
        <w:rFonts w:ascii="Courier New" w:hAnsi="Courier New" w:cs="Courier New" w:hint="default"/>
      </w:rPr>
    </w:lvl>
    <w:lvl w:ilvl="5" w:tplc="04090005">
      <w:start w:val="1"/>
      <w:numFmt w:val="bullet"/>
      <w:lvlText w:val=""/>
      <w:lvlJc w:val="left"/>
      <w:pPr>
        <w:ind w:left="4677" w:hanging="360"/>
      </w:pPr>
      <w:rPr>
        <w:rFonts w:ascii="Wingdings" w:hAnsi="Wingdings" w:hint="default"/>
      </w:rPr>
    </w:lvl>
    <w:lvl w:ilvl="6" w:tplc="04090001">
      <w:start w:val="1"/>
      <w:numFmt w:val="bullet"/>
      <w:lvlText w:val=""/>
      <w:lvlJc w:val="left"/>
      <w:pPr>
        <w:ind w:left="5397" w:hanging="360"/>
      </w:pPr>
      <w:rPr>
        <w:rFonts w:ascii="Symbol" w:hAnsi="Symbol" w:hint="default"/>
      </w:rPr>
    </w:lvl>
    <w:lvl w:ilvl="7" w:tplc="04090003">
      <w:start w:val="1"/>
      <w:numFmt w:val="bullet"/>
      <w:lvlText w:val="o"/>
      <w:lvlJc w:val="left"/>
      <w:pPr>
        <w:ind w:left="6117" w:hanging="360"/>
      </w:pPr>
      <w:rPr>
        <w:rFonts w:ascii="Courier New" w:hAnsi="Courier New" w:cs="Courier New" w:hint="default"/>
      </w:rPr>
    </w:lvl>
    <w:lvl w:ilvl="8" w:tplc="04090005">
      <w:start w:val="1"/>
      <w:numFmt w:val="bullet"/>
      <w:lvlText w:val=""/>
      <w:lvlJc w:val="left"/>
      <w:pPr>
        <w:ind w:left="6837" w:hanging="360"/>
      </w:pPr>
      <w:rPr>
        <w:rFonts w:ascii="Wingdings" w:hAnsi="Wingdings" w:hint="default"/>
      </w:rPr>
    </w:lvl>
  </w:abstractNum>
  <w:abstractNum w:abstractNumId="16" w15:restartNumberingAfterBreak="0">
    <w:nsid w:val="4E321928"/>
    <w:multiLevelType w:val="hybridMultilevel"/>
    <w:tmpl w:val="7D3273FE"/>
    <w:lvl w:ilvl="0" w:tplc="04090005">
      <w:start w:val="1"/>
      <w:numFmt w:val="bullet"/>
      <w:lvlText w:val=""/>
      <w:lvlJc w:val="left"/>
      <w:pPr>
        <w:ind w:left="1797" w:hanging="360"/>
      </w:pPr>
      <w:rPr>
        <w:rFonts w:ascii="Wingdings" w:hAnsi="Wingdings" w:hint="default"/>
      </w:rPr>
    </w:lvl>
    <w:lvl w:ilvl="1" w:tplc="04090003">
      <w:start w:val="1"/>
      <w:numFmt w:val="bullet"/>
      <w:lvlText w:val="o"/>
      <w:lvlJc w:val="left"/>
      <w:pPr>
        <w:ind w:left="2517" w:hanging="360"/>
      </w:pPr>
      <w:rPr>
        <w:rFonts w:ascii="Courier New" w:hAnsi="Courier New" w:cs="Courier New" w:hint="default"/>
      </w:rPr>
    </w:lvl>
    <w:lvl w:ilvl="2" w:tplc="04090005">
      <w:start w:val="1"/>
      <w:numFmt w:val="bullet"/>
      <w:lvlText w:val=""/>
      <w:lvlJc w:val="left"/>
      <w:pPr>
        <w:ind w:left="3237" w:hanging="360"/>
      </w:pPr>
      <w:rPr>
        <w:rFonts w:ascii="Wingdings" w:hAnsi="Wingdings" w:hint="default"/>
      </w:rPr>
    </w:lvl>
    <w:lvl w:ilvl="3" w:tplc="04090001">
      <w:start w:val="1"/>
      <w:numFmt w:val="bullet"/>
      <w:lvlText w:val=""/>
      <w:lvlJc w:val="left"/>
      <w:pPr>
        <w:ind w:left="3957" w:hanging="360"/>
      </w:pPr>
      <w:rPr>
        <w:rFonts w:ascii="Symbol" w:hAnsi="Symbol" w:hint="default"/>
      </w:rPr>
    </w:lvl>
    <w:lvl w:ilvl="4" w:tplc="04090003">
      <w:start w:val="1"/>
      <w:numFmt w:val="bullet"/>
      <w:lvlText w:val="o"/>
      <w:lvlJc w:val="left"/>
      <w:pPr>
        <w:ind w:left="4677" w:hanging="360"/>
      </w:pPr>
      <w:rPr>
        <w:rFonts w:ascii="Courier New" w:hAnsi="Courier New" w:cs="Courier New" w:hint="default"/>
      </w:rPr>
    </w:lvl>
    <w:lvl w:ilvl="5" w:tplc="04090005">
      <w:start w:val="1"/>
      <w:numFmt w:val="bullet"/>
      <w:lvlText w:val=""/>
      <w:lvlJc w:val="left"/>
      <w:pPr>
        <w:ind w:left="5397" w:hanging="360"/>
      </w:pPr>
      <w:rPr>
        <w:rFonts w:ascii="Wingdings" w:hAnsi="Wingdings" w:hint="default"/>
      </w:rPr>
    </w:lvl>
    <w:lvl w:ilvl="6" w:tplc="04090001">
      <w:start w:val="1"/>
      <w:numFmt w:val="bullet"/>
      <w:lvlText w:val=""/>
      <w:lvlJc w:val="left"/>
      <w:pPr>
        <w:ind w:left="6117" w:hanging="360"/>
      </w:pPr>
      <w:rPr>
        <w:rFonts w:ascii="Symbol" w:hAnsi="Symbol" w:hint="default"/>
      </w:rPr>
    </w:lvl>
    <w:lvl w:ilvl="7" w:tplc="04090003">
      <w:start w:val="1"/>
      <w:numFmt w:val="bullet"/>
      <w:lvlText w:val="o"/>
      <w:lvlJc w:val="left"/>
      <w:pPr>
        <w:ind w:left="6837" w:hanging="360"/>
      </w:pPr>
      <w:rPr>
        <w:rFonts w:ascii="Courier New" w:hAnsi="Courier New" w:cs="Courier New" w:hint="default"/>
      </w:rPr>
    </w:lvl>
    <w:lvl w:ilvl="8" w:tplc="04090005">
      <w:start w:val="1"/>
      <w:numFmt w:val="bullet"/>
      <w:lvlText w:val=""/>
      <w:lvlJc w:val="left"/>
      <w:pPr>
        <w:ind w:left="7557" w:hanging="360"/>
      </w:pPr>
      <w:rPr>
        <w:rFonts w:ascii="Wingdings" w:hAnsi="Wingdings" w:hint="default"/>
      </w:rPr>
    </w:lvl>
  </w:abstractNum>
  <w:abstractNum w:abstractNumId="17" w15:restartNumberingAfterBreak="0">
    <w:nsid w:val="510620D3"/>
    <w:multiLevelType w:val="hybridMultilevel"/>
    <w:tmpl w:val="0D62EB36"/>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4592C15"/>
    <w:multiLevelType w:val="hybridMultilevel"/>
    <w:tmpl w:val="CC3CD6FE"/>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C003055"/>
    <w:multiLevelType w:val="hybridMultilevel"/>
    <w:tmpl w:val="DB8ACF72"/>
    <w:lvl w:ilvl="0" w:tplc="04090005">
      <w:start w:val="1"/>
      <w:numFmt w:val="bullet"/>
      <w:lvlText w:val=""/>
      <w:lvlJc w:val="left"/>
      <w:pPr>
        <w:ind w:left="720" w:hanging="360"/>
      </w:pPr>
      <w:rPr>
        <w:rFonts w:ascii="Wingdings" w:hAnsi="Wingdings" w:hint="default"/>
      </w:rPr>
    </w:lvl>
    <w:lvl w:ilvl="1" w:tplc="CE94C130">
      <w:start w:val="6"/>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D88702A"/>
    <w:multiLevelType w:val="hybridMultilevel"/>
    <w:tmpl w:val="A712D11E"/>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1" w15:restartNumberingAfterBreak="0">
    <w:nsid w:val="61597092"/>
    <w:multiLevelType w:val="hybridMultilevel"/>
    <w:tmpl w:val="DD583D30"/>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BD6519D"/>
    <w:multiLevelType w:val="hybridMultilevel"/>
    <w:tmpl w:val="885EE6C6"/>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F667808"/>
    <w:multiLevelType w:val="hybridMultilevel"/>
    <w:tmpl w:val="38E0640C"/>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4430566"/>
    <w:multiLevelType w:val="hybridMultilevel"/>
    <w:tmpl w:val="8BBC2DA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44B4078"/>
    <w:multiLevelType w:val="hybridMultilevel"/>
    <w:tmpl w:val="E1122C1A"/>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4B74E8F"/>
    <w:multiLevelType w:val="hybridMultilevel"/>
    <w:tmpl w:val="335221A4"/>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78869C2"/>
    <w:multiLevelType w:val="hybridMultilevel"/>
    <w:tmpl w:val="F64093A4"/>
    <w:lvl w:ilvl="0" w:tplc="04090005">
      <w:start w:val="1"/>
      <w:numFmt w:val="bullet"/>
      <w:lvlText w:val=""/>
      <w:lvlJc w:val="left"/>
      <w:pPr>
        <w:ind w:left="720" w:hanging="360"/>
      </w:pPr>
      <w:rPr>
        <w:rFonts w:ascii="Wingdings" w:hAnsi="Wingdings" w:hint="default"/>
      </w:rPr>
    </w:lvl>
    <w:lvl w:ilvl="1" w:tplc="8828E634">
      <w:start w:val="6"/>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A9879F0"/>
    <w:multiLevelType w:val="hybridMultilevel"/>
    <w:tmpl w:val="0E260B54"/>
    <w:lvl w:ilvl="0" w:tplc="4210E704">
      <w:start w:val="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9"/>
  </w:num>
  <w:num w:numId="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8"/>
  </w:num>
  <w:num w:numId="7">
    <w:abstractNumId w:val="7"/>
  </w:num>
  <w:num w:numId="8">
    <w:abstractNumId w:val="6"/>
  </w:num>
  <w:num w:numId="9">
    <w:abstractNumId w:val="20"/>
  </w:num>
  <w:num w:numId="10">
    <w:abstractNumId w:val="15"/>
  </w:num>
  <w:num w:numId="11">
    <w:abstractNumId w:val="16"/>
  </w:num>
  <w:num w:numId="12">
    <w:abstractNumId w:val="10"/>
  </w:num>
  <w:num w:numId="13">
    <w:abstractNumId w:val="24"/>
  </w:num>
  <w:num w:numId="14">
    <w:abstractNumId w:val="3"/>
  </w:num>
  <w:num w:numId="15">
    <w:abstractNumId w:val="1"/>
  </w:num>
  <w:num w:numId="16">
    <w:abstractNumId w:val="11"/>
  </w:num>
  <w:num w:numId="17">
    <w:abstractNumId w:val="13"/>
  </w:num>
  <w:num w:numId="18">
    <w:abstractNumId w:val="27"/>
  </w:num>
  <w:num w:numId="19">
    <w:abstractNumId w:val="14"/>
  </w:num>
  <w:num w:numId="20">
    <w:abstractNumId w:val="17"/>
  </w:num>
  <w:num w:numId="21">
    <w:abstractNumId w:val="12"/>
  </w:num>
  <w:num w:numId="22">
    <w:abstractNumId w:val="19"/>
  </w:num>
  <w:num w:numId="23">
    <w:abstractNumId w:val="28"/>
  </w:num>
  <w:num w:numId="24">
    <w:abstractNumId w:val="22"/>
  </w:num>
  <w:num w:numId="25">
    <w:abstractNumId w:val="26"/>
  </w:num>
  <w:num w:numId="26">
    <w:abstractNumId w:val="4"/>
  </w:num>
  <w:num w:numId="27">
    <w:abstractNumId w:val="18"/>
  </w:num>
  <w:num w:numId="28">
    <w:abstractNumId w:val="0"/>
  </w:num>
  <w:num w:numId="29">
    <w:abstractNumId w:val="23"/>
  </w:num>
  <w:num w:numId="30">
    <w:abstractNumId w:val="21"/>
  </w:num>
  <w:num w:numId="31">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displayBackgroundShape/>
  <w:hideSpellingErrors/>
  <w:hideGrammaticalErrors/>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0694"/>
    <w:rsid w:val="00000738"/>
    <w:rsid w:val="00005B4B"/>
    <w:rsid w:val="00007DCD"/>
    <w:rsid w:val="00010C73"/>
    <w:rsid w:val="00011F40"/>
    <w:rsid w:val="0001456F"/>
    <w:rsid w:val="000146BD"/>
    <w:rsid w:val="0001479F"/>
    <w:rsid w:val="00016599"/>
    <w:rsid w:val="0002394D"/>
    <w:rsid w:val="00023CAD"/>
    <w:rsid w:val="00025DEA"/>
    <w:rsid w:val="00030428"/>
    <w:rsid w:val="00030ED7"/>
    <w:rsid w:val="00031215"/>
    <w:rsid w:val="000312CC"/>
    <w:rsid w:val="0003151D"/>
    <w:rsid w:val="0003267D"/>
    <w:rsid w:val="00032ABE"/>
    <w:rsid w:val="00036174"/>
    <w:rsid w:val="000378CD"/>
    <w:rsid w:val="00040A56"/>
    <w:rsid w:val="00040FBC"/>
    <w:rsid w:val="00043D88"/>
    <w:rsid w:val="00047F55"/>
    <w:rsid w:val="00050D40"/>
    <w:rsid w:val="00050E4C"/>
    <w:rsid w:val="00051446"/>
    <w:rsid w:val="0005265C"/>
    <w:rsid w:val="00053E30"/>
    <w:rsid w:val="00053E87"/>
    <w:rsid w:val="00054089"/>
    <w:rsid w:val="000544FF"/>
    <w:rsid w:val="00054A7A"/>
    <w:rsid w:val="000623F6"/>
    <w:rsid w:val="000628F2"/>
    <w:rsid w:val="00063E59"/>
    <w:rsid w:val="0006488B"/>
    <w:rsid w:val="000676C7"/>
    <w:rsid w:val="000718C2"/>
    <w:rsid w:val="000727B2"/>
    <w:rsid w:val="00073179"/>
    <w:rsid w:val="00073336"/>
    <w:rsid w:val="00077711"/>
    <w:rsid w:val="000814C2"/>
    <w:rsid w:val="00082B03"/>
    <w:rsid w:val="000836F4"/>
    <w:rsid w:val="00085ECE"/>
    <w:rsid w:val="000931AB"/>
    <w:rsid w:val="000A5C49"/>
    <w:rsid w:val="000A72D6"/>
    <w:rsid w:val="000A772F"/>
    <w:rsid w:val="000B062E"/>
    <w:rsid w:val="000B282B"/>
    <w:rsid w:val="000C255B"/>
    <w:rsid w:val="000C2568"/>
    <w:rsid w:val="000D0A45"/>
    <w:rsid w:val="000D2FC6"/>
    <w:rsid w:val="000D35C5"/>
    <w:rsid w:val="000D3B88"/>
    <w:rsid w:val="000D408C"/>
    <w:rsid w:val="000D5A02"/>
    <w:rsid w:val="000E2AEF"/>
    <w:rsid w:val="000E651E"/>
    <w:rsid w:val="000E72F0"/>
    <w:rsid w:val="000F1EB4"/>
    <w:rsid w:val="000F33F8"/>
    <w:rsid w:val="000F4F17"/>
    <w:rsid w:val="000F58B5"/>
    <w:rsid w:val="00105FA7"/>
    <w:rsid w:val="00107CFA"/>
    <w:rsid w:val="00107E08"/>
    <w:rsid w:val="00111810"/>
    <w:rsid w:val="0011480F"/>
    <w:rsid w:val="00116920"/>
    <w:rsid w:val="00117192"/>
    <w:rsid w:val="00117933"/>
    <w:rsid w:val="00122265"/>
    <w:rsid w:val="0012307B"/>
    <w:rsid w:val="001259A9"/>
    <w:rsid w:val="001315A6"/>
    <w:rsid w:val="00132FA9"/>
    <w:rsid w:val="00133D9B"/>
    <w:rsid w:val="00135A8B"/>
    <w:rsid w:val="001367C0"/>
    <w:rsid w:val="00140F69"/>
    <w:rsid w:val="001441C8"/>
    <w:rsid w:val="00144917"/>
    <w:rsid w:val="00146101"/>
    <w:rsid w:val="00146506"/>
    <w:rsid w:val="0015014A"/>
    <w:rsid w:val="00151DA1"/>
    <w:rsid w:val="0015290B"/>
    <w:rsid w:val="00152FE9"/>
    <w:rsid w:val="00155570"/>
    <w:rsid w:val="00156BFA"/>
    <w:rsid w:val="001604B9"/>
    <w:rsid w:val="00162A08"/>
    <w:rsid w:val="00163ABC"/>
    <w:rsid w:val="0017035F"/>
    <w:rsid w:val="00172947"/>
    <w:rsid w:val="001748A7"/>
    <w:rsid w:val="001773CD"/>
    <w:rsid w:val="001829CE"/>
    <w:rsid w:val="00195054"/>
    <w:rsid w:val="00195D34"/>
    <w:rsid w:val="001A06AE"/>
    <w:rsid w:val="001A108B"/>
    <w:rsid w:val="001A342B"/>
    <w:rsid w:val="001A4391"/>
    <w:rsid w:val="001B0D1E"/>
    <w:rsid w:val="001B200E"/>
    <w:rsid w:val="001B2B9F"/>
    <w:rsid w:val="001B3F5A"/>
    <w:rsid w:val="001B4899"/>
    <w:rsid w:val="001C37C3"/>
    <w:rsid w:val="001C5C26"/>
    <w:rsid w:val="001C624A"/>
    <w:rsid w:val="001C7486"/>
    <w:rsid w:val="001C7944"/>
    <w:rsid w:val="001D12AA"/>
    <w:rsid w:val="001D254C"/>
    <w:rsid w:val="001D3262"/>
    <w:rsid w:val="001D3A04"/>
    <w:rsid w:val="001D52A6"/>
    <w:rsid w:val="001D5B59"/>
    <w:rsid w:val="001D6890"/>
    <w:rsid w:val="001D6BAB"/>
    <w:rsid w:val="001D6C6B"/>
    <w:rsid w:val="001E0313"/>
    <w:rsid w:val="001E3C08"/>
    <w:rsid w:val="001E499B"/>
    <w:rsid w:val="001E5B42"/>
    <w:rsid w:val="001F4FBB"/>
    <w:rsid w:val="001F52FB"/>
    <w:rsid w:val="001F5D30"/>
    <w:rsid w:val="001F72DE"/>
    <w:rsid w:val="00201099"/>
    <w:rsid w:val="00201586"/>
    <w:rsid w:val="0020165D"/>
    <w:rsid w:val="00203391"/>
    <w:rsid w:val="002048DF"/>
    <w:rsid w:val="00204F22"/>
    <w:rsid w:val="00206FBA"/>
    <w:rsid w:val="0020757D"/>
    <w:rsid w:val="00213C53"/>
    <w:rsid w:val="00220291"/>
    <w:rsid w:val="00222C42"/>
    <w:rsid w:val="00224E76"/>
    <w:rsid w:val="0022672A"/>
    <w:rsid w:val="0023004A"/>
    <w:rsid w:val="00230F86"/>
    <w:rsid w:val="00231623"/>
    <w:rsid w:val="00231D59"/>
    <w:rsid w:val="0023793B"/>
    <w:rsid w:val="00240E2E"/>
    <w:rsid w:val="00242716"/>
    <w:rsid w:val="00244274"/>
    <w:rsid w:val="002478B5"/>
    <w:rsid w:val="00255D7F"/>
    <w:rsid w:val="002567C7"/>
    <w:rsid w:val="00256C5B"/>
    <w:rsid w:val="002607ED"/>
    <w:rsid w:val="00261423"/>
    <w:rsid w:val="0026168D"/>
    <w:rsid w:val="00273E35"/>
    <w:rsid w:val="002745EB"/>
    <w:rsid w:val="00276FCA"/>
    <w:rsid w:val="00282BAA"/>
    <w:rsid w:val="00285087"/>
    <w:rsid w:val="00285CFC"/>
    <w:rsid w:val="00291A64"/>
    <w:rsid w:val="00291ED0"/>
    <w:rsid w:val="002976D7"/>
    <w:rsid w:val="002A11EE"/>
    <w:rsid w:val="002A2849"/>
    <w:rsid w:val="002A4AC6"/>
    <w:rsid w:val="002B1A52"/>
    <w:rsid w:val="002B373F"/>
    <w:rsid w:val="002B7144"/>
    <w:rsid w:val="002C1D90"/>
    <w:rsid w:val="002C5CC6"/>
    <w:rsid w:val="002D0A04"/>
    <w:rsid w:val="002D0E7B"/>
    <w:rsid w:val="002D37F1"/>
    <w:rsid w:val="002D65A5"/>
    <w:rsid w:val="002D7C40"/>
    <w:rsid w:val="002E1612"/>
    <w:rsid w:val="002E320D"/>
    <w:rsid w:val="002E3A44"/>
    <w:rsid w:val="002E4A8C"/>
    <w:rsid w:val="002E51AD"/>
    <w:rsid w:val="002E527B"/>
    <w:rsid w:val="002E5BAB"/>
    <w:rsid w:val="002F0472"/>
    <w:rsid w:val="002F3CE6"/>
    <w:rsid w:val="00302ADE"/>
    <w:rsid w:val="00303B83"/>
    <w:rsid w:val="00303C2E"/>
    <w:rsid w:val="00303D95"/>
    <w:rsid w:val="00304ECA"/>
    <w:rsid w:val="003050C6"/>
    <w:rsid w:val="00305241"/>
    <w:rsid w:val="00306BE8"/>
    <w:rsid w:val="00310B9F"/>
    <w:rsid w:val="00312646"/>
    <w:rsid w:val="003126F7"/>
    <w:rsid w:val="003128B5"/>
    <w:rsid w:val="00315856"/>
    <w:rsid w:val="00320855"/>
    <w:rsid w:val="00326508"/>
    <w:rsid w:val="00326551"/>
    <w:rsid w:val="00327FC8"/>
    <w:rsid w:val="00330B52"/>
    <w:rsid w:val="0033359D"/>
    <w:rsid w:val="00333942"/>
    <w:rsid w:val="00335B68"/>
    <w:rsid w:val="00341069"/>
    <w:rsid w:val="00342D1C"/>
    <w:rsid w:val="00343872"/>
    <w:rsid w:val="00345423"/>
    <w:rsid w:val="00350002"/>
    <w:rsid w:val="003524B2"/>
    <w:rsid w:val="003528CF"/>
    <w:rsid w:val="00352961"/>
    <w:rsid w:val="00354DC3"/>
    <w:rsid w:val="00356647"/>
    <w:rsid w:val="00357300"/>
    <w:rsid w:val="00361C29"/>
    <w:rsid w:val="00361F64"/>
    <w:rsid w:val="00363ACB"/>
    <w:rsid w:val="00363FE4"/>
    <w:rsid w:val="00365A06"/>
    <w:rsid w:val="00367B4C"/>
    <w:rsid w:val="00370F51"/>
    <w:rsid w:val="0037637C"/>
    <w:rsid w:val="003811C4"/>
    <w:rsid w:val="003825BA"/>
    <w:rsid w:val="0038330F"/>
    <w:rsid w:val="003848B5"/>
    <w:rsid w:val="00384EC9"/>
    <w:rsid w:val="003851DF"/>
    <w:rsid w:val="0039057A"/>
    <w:rsid w:val="0039113B"/>
    <w:rsid w:val="003A4087"/>
    <w:rsid w:val="003A4FB0"/>
    <w:rsid w:val="003A5A50"/>
    <w:rsid w:val="003A5BB2"/>
    <w:rsid w:val="003B0E3D"/>
    <w:rsid w:val="003C1760"/>
    <w:rsid w:val="003C6192"/>
    <w:rsid w:val="003D2059"/>
    <w:rsid w:val="003D21F5"/>
    <w:rsid w:val="003D2901"/>
    <w:rsid w:val="003D4203"/>
    <w:rsid w:val="003D6EFD"/>
    <w:rsid w:val="003D7413"/>
    <w:rsid w:val="003E09E6"/>
    <w:rsid w:val="003E2525"/>
    <w:rsid w:val="003E7703"/>
    <w:rsid w:val="003F04D6"/>
    <w:rsid w:val="003F128E"/>
    <w:rsid w:val="003F1D6A"/>
    <w:rsid w:val="003F3CA3"/>
    <w:rsid w:val="003F5542"/>
    <w:rsid w:val="003F5F46"/>
    <w:rsid w:val="00404B0E"/>
    <w:rsid w:val="0040647C"/>
    <w:rsid w:val="00407313"/>
    <w:rsid w:val="004201B0"/>
    <w:rsid w:val="00422D28"/>
    <w:rsid w:val="004243B9"/>
    <w:rsid w:val="00427276"/>
    <w:rsid w:val="004275BE"/>
    <w:rsid w:val="00430AB5"/>
    <w:rsid w:val="00434194"/>
    <w:rsid w:val="00435184"/>
    <w:rsid w:val="00436A9B"/>
    <w:rsid w:val="00441C39"/>
    <w:rsid w:val="00443C0C"/>
    <w:rsid w:val="00446736"/>
    <w:rsid w:val="00447C3A"/>
    <w:rsid w:val="00451DCA"/>
    <w:rsid w:val="0045496D"/>
    <w:rsid w:val="0045670B"/>
    <w:rsid w:val="004614F8"/>
    <w:rsid w:val="00465F14"/>
    <w:rsid w:val="00465FE6"/>
    <w:rsid w:val="0047251C"/>
    <w:rsid w:val="00472FF1"/>
    <w:rsid w:val="004773C3"/>
    <w:rsid w:val="00480402"/>
    <w:rsid w:val="00485382"/>
    <w:rsid w:val="00485CEA"/>
    <w:rsid w:val="00486102"/>
    <w:rsid w:val="00486C6D"/>
    <w:rsid w:val="00487177"/>
    <w:rsid w:val="004877B6"/>
    <w:rsid w:val="00487F67"/>
    <w:rsid w:val="00490293"/>
    <w:rsid w:val="00490411"/>
    <w:rsid w:val="00490D10"/>
    <w:rsid w:val="004920E0"/>
    <w:rsid w:val="00495C4D"/>
    <w:rsid w:val="004A0011"/>
    <w:rsid w:val="004A66E3"/>
    <w:rsid w:val="004A715B"/>
    <w:rsid w:val="004B175D"/>
    <w:rsid w:val="004B192B"/>
    <w:rsid w:val="004B49D5"/>
    <w:rsid w:val="004B69DB"/>
    <w:rsid w:val="004C0ACF"/>
    <w:rsid w:val="004C206D"/>
    <w:rsid w:val="004C4667"/>
    <w:rsid w:val="004C58CF"/>
    <w:rsid w:val="004C77F5"/>
    <w:rsid w:val="004D25B1"/>
    <w:rsid w:val="004D51A8"/>
    <w:rsid w:val="004D52F8"/>
    <w:rsid w:val="004E3106"/>
    <w:rsid w:val="004E3C3C"/>
    <w:rsid w:val="004E4676"/>
    <w:rsid w:val="004E4EE4"/>
    <w:rsid w:val="004E661B"/>
    <w:rsid w:val="004E66CD"/>
    <w:rsid w:val="004F073A"/>
    <w:rsid w:val="004F0E01"/>
    <w:rsid w:val="004F7089"/>
    <w:rsid w:val="004F72C4"/>
    <w:rsid w:val="0050096A"/>
    <w:rsid w:val="00503173"/>
    <w:rsid w:val="00504B69"/>
    <w:rsid w:val="00506397"/>
    <w:rsid w:val="005106B7"/>
    <w:rsid w:val="0051621D"/>
    <w:rsid w:val="005162BA"/>
    <w:rsid w:val="00517C76"/>
    <w:rsid w:val="00523867"/>
    <w:rsid w:val="00523F2B"/>
    <w:rsid w:val="00530698"/>
    <w:rsid w:val="005311D2"/>
    <w:rsid w:val="00534E19"/>
    <w:rsid w:val="00535489"/>
    <w:rsid w:val="0053608E"/>
    <w:rsid w:val="005368CB"/>
    <w:rsid w:val="00540213"/>
    <w:rsid w:val="00543BEB"/>
    <w:rsid w:val="00544704"/>
    <w:rsid w:val="0055482B"/>
    <w:rsid w:val="005556DC"/>
    <w:rsid w:val="00560132"/>
    <w:rsid w:val="00561D71"/>
    <w:rsid w:val="00562F03"/>
    <w:rsid w:val="00570694"/>
    <w:rsid w:val="00573995"/>
    <w:rsid w:val="0057670C"/>
    <w:rsid w:val="0058317B"/>
    <w:rsid w:val="00585281"/>
    <w:rsid w:val="00585AB5"/>
    <w:rsid w:val="00587B1C"/>
    <w:rsid w:val="00591A00"/>
    <w:rsid w:val="00592092"/>
    <w:rsid w:val="00594BCB"/>
    <w:rsid w:val="005965A5"/>
    <w:rsid w:val="005A3CA5"/>
    <w:rsid w:val="005A4AFC"/>
    <w:rsid w:val="005B01D9"/>
    <w:rsid w:val="005B04E0"/>
    <w:rsid w:val="005B1B23"/>
    <w:rsid w:val="005B5934"/>
    <w:rsid w:val="005C051A"/>
    <w:rsid w:val="005C17AD"/>
    <w:rsid w:val="005C1814"/>
    <w:rsid w:val="005C421C"/>
    <w:rsid w:val="005C475C"/>
    <w:rsid w:val="005D135B"/>
    <w:rsid w:val="005D3372"/>
    <w:rsid w:val="005D4150"/>
    <w:rsid w:val="005D471C"/>
    <w:rsid w:val="005D635E"/>
    <w:rsid w:val="005D70C3"/>
    <w:rsid w:val="005E01E3"/>
    <w:rsid w:val="005E209A"/>
    <w:rsid w:val="005E3C9F"/>
    <w:rsid w:val="005E5FBA"/>
    <w:rsid w:val="005F572E"/>
    <w:rsid w:val="005F6FCC"/>
    <w:rsid w:val="0060082B"/>
    <w:rsid w:val="00601314"/>
    <w:rsid w:val="00601E97"/>
    <w:rsid w:val="006047AC"/>
    <w:rsid w:val="00607233"/>
    <w:rsid w:val="00607829"/>
    <w:rsid w:val="00614D23"/>
    <w:rsid w:val="006163D6"/>
    <w:rsid w:val="0062189A"/>
    <w:rsid w:val="00622743"/>
    <w:rsid w:val="006238CA"/>
    <w:rsid w:val="00624634"/>
    <w:rsid w:val="00630A81"/>
    <w:rsid w:val="00632DDC"/>
    <w:rsid w:val="00635D55"/>
    <w:rsid w:val="00635FB8"/>
    <w:rsid w:val="0064006B"/>
    <w:rsid w:val="00642D38"/>
    <w:rsid w:val="00642DA6"/>
    <w:rsid w:val="00643204"/>
    <w:rsid w:val="00646358"/>
    <w:rsid w:val="0065080C"/>
    <w:rsid w:val="00653CBF"/>
    <w:rsid w:val="00655402"/>
    <w:rsid w:val="0065552D"/>
    <w:rsid w:val="00655667"/>
    <w:rsid w:val="00664623"/>
    <w:rsid w:val="00670AA4"/>
    <w:rsid w:val="00671CEB"/>
    <w:rsid w:val="00671DF9"/>
    <w:rsid w:val="0067261A"/>
    <w:rsid w:val="006731F0"/>
    <w:rsid w:val="00676EF0"/>
    <w:rsid w:val="00683313"/>
    <w:rsid w:val="0068345D"/>
    <w:rsid w:val="00684083"/>
    <w:rsid w:val="00684329"/>
    <w:rsid w:val="0069037E"/>
    <w:rsid w:val="00690953"/>
    <w:rsid w:val="00691521"/>
    <w:rsid w:val="00693B83"/>
    <w:rsid w:val="00694B47"/>
    <w:rsid w:val="00695460"/>
    <w:rsid w:val="00695D98"/>
    <w:rsid w:val="006A090A"/>
    <w:rsid w:val="006A2834"/>
    <w:rsid w:val="006A5824"/>
    <w:rsid w:val="006A6230"/>
    <w:rsid w:val="006A6AE5"/>
    <w:rsid w:val="006B230B"/>
    <w:rsid w:val="006B4AB1"/>
    <w:rsid w:val="006B7258"/>
    <w:rsid w:val="006C0018"/>
    <w:rsid w:val="006C0D02"/>
    <w:rsid w:val="006C1A3D"/>
    <w:rsid w:val="006C6F5F"/>
    <w:rsid w:val="006D2F2E"/>
    <w:rsid w:val="006D322D"/>
    <w:rsid w:val="006E037B"/>
    <w:rsid w:val="006E3102"/>
    <w:rsid w:val="006E3720"/>
    <w:rsid w:val="006E480E"/>
    <w:rsid w:val="006F09FD"/>
    <w:rsid w:val="00701330"/>
    <w:rsid w:val="00701A80"/>
    <w:rsid w:val="0070727F"/>
    <w:rsid w:val="00710858"/>
    <w:rsid w:val="00713FFE"/>
    <w:rsid w:val="00717295"/>
    <w:rsid w:val="00717FCD"/>
    <w:rsid w:val="0072011A"/>
    <w:rsid w:val="00721BBE"/>
    <w:rsid w:val="00725470"/>
    <w:rsid w:val="00725FF8"/>
    <w:rsid w:val="00730FF2"/>
    <w:rsid w:val="00731BA1"/>
    <w:rsid w:val="00731D79"/>
    <w:rsid w:val="00735A07"/>
    <w:rsid w:val="00737168"/>
    <w:rsid w:val="00737E1F"/>
    <w:rsid w:val="00740460"/>
    <w:rsid w:val="0074062C"/>
    <w:rsid w:val="00743774"/>
    <w:rsid w:val="007437EA"/>
    <w:rsid w:val="00744077"/>
    <w:rsid w:val="007470C3"/>
    <w:rsid w:val="0076301D"/>
    <w:rsid w:val="00767491"/>
    <w:rsid w:val="00767598"/>
    <w:rsid w:val="00776AA7"/>
    <w:rsid w:val="00777619"/>
    <w:rsid w:val="00784D33"/>
    <w:rsid w:val="0078544E"/>
    <w:rsid w:val="00786E90"/>
    <w:rsid w:val="00791D58"/>
    <w:rsid w:val="007A09DE"/>
    <w:rsid w:val="007A323B"/>
    <w:rsid w:val="007A3DAD"/>
    <w:rsid w:val="007A4CE6"/>
    <w:rsid w:val="007A583B"/>
    <w:rsid w:val="007A5B91"/>
    <w:rsid w:val="007A67B0"/>
    <w:rsid w:val="007A77AC"/>
    <w:rsid w:val="007B54B7"/>
    <w:rsid w:val="007B6265"/>
    <w:rsid w:val="007B6EAB"/>
    <w:rsid w:val="007C1DF7"/>
    <w:rsid w:val="007C3499"/>
    <w:rsid w:val="007D2189"/>
    <w:rsid w:val="007D4CA5"/>
    <w:rsid w:val="007D6891"/>
    <w:rsid w:val="007D6F8E"/>
    <w:rsid w:val="007D7182"/>
    <w:rsid w:val="007D723C"/>
    <w:rsid w:val="007E1689"/>
    <w:rsid w:val="007E1AAF"/>
    <w:rsid w:val="007E66F5"/>
    <w:rsid w:val="007E701F"/>
    <w:rsid w:val="007E753D"/>
    <w:rsid w:val="007F031C"/>
    <w:rsid w:val="00804269"/>
    <w:rsid w:val="008069CF"/>
    <w:rsid w:val="00811807"/>
    <w:rsid w:val="00813312"/>
    <w:rsid w:val="00815C8F"/>
    <w:rsid w:val="008221D2"/>
    <w:rsid w:val="008237F3"/>
    <w:rsid w:val="0082585E"/>
    <w:rsid w:val="00832A91"/>
    <w:rsid w:val="00833E90"/>
    <w:rsid w:val="008347B0"/>
    <w:rsid w:val="00836657"/>
    <w:rsid w:val="008366FA"/>
    <w:rsid w:val="00837020"/>
    <w:rsid w:val="00840D9B"/>
    <w:rsid w:val="008420D4"/>
    <w:rsid w:val="00842EE5"/>
    <w:rsid w:val="0084671D"/>
    <w:rsid w:val="00847F35"/>
    <w:rsid w:val="00852B88"/>
    <w:rsid w:val="008542E1"/>
    <w:rsid w:val="00854A37"/>
    <w:rsid w:val="00855D6C"/>
    <w:rsid w:val="00860124"/>
    <w:rsid w:val="00862B04"/>
    <w:rsid w:val="00867C77"/>
    <w:rsid w:val="00872EFD"/>
    <w:rsid w:val="00873228"/>
    <w:rsid w:val="008816A0"/>
    <w:rsid w:val="0088756B"/>
    <w:rsid w:val="00887C06"/>
    <w:rsid w:val="00887F8A"/>
    <w:rsid w:val="008914B1"/>
    <w:rsid w:val="008946CE"/>
    <w:rsid w:val="008A48AA"/>
    <w:rsid w:val="008B0271"/>
    <w:rsid w:val="008B1F84"/>
    <w:rsid w:val="008B7C88"/>
    <w:rsid w:val="008C2C80"/>
    <w:rsid w:val="008C5626"/>
    <w:rsid w:val="008C57F6"/>
    <w:rsid w:val="008D0230"/>
    <w:rsid w:val="008D1425"/>
    <w:rsid w:val="008D2DC7"/>
    <w:rsid w:val="008D3291"/>
    <w:rsid w:val="008D436F"/>
    <w:rsid w:val="008D6C4D"/>
    <w:rsid w:val="008E368C"/>
    <w:rsid w:val="008E65D2"/>
    <w:rsid w:val="008E6892"/>
    <w:rsid w:val="008E7C20"/>
    <w:rsid w:val="008F33BB"/>
    <w:rsid w:val="008F7E2A"/>
    <w:rsid w:val="00900799"/>
    <w:rsid w:val="00900D05"/>
    <w:rsid w:val="00904AAE"/>
    <w:rsid w:val="00907E3F"/>
    <w:rsid w:val="00910058"/>
    <w:rsid w:val="0091179A"/>
    <w:rsid w:val="00912C72"/>
    <w:rsid w:val="009162E2"/>
    <w:rsid w:val="009201A2"/>
    <w:rsid w:val="00920524"/>
    <w:rsid w:val="00920720"/>
    <w:rsid w:val="00926217"/>
    <w:rsid w:val="0092764D"/>
    <w:rsid w:val="0093197D"/>
    <w:rsid w:val="00932185"/>
    <w:rsid w:val="009365E3"/>
    <w:rsid w:val="00943C8F"/>
    <w:rsid w:val="00945653"/>
    <w:rsid w:val="009505B3"/>
    <w:rsid w:val="009540E2"/>
    <w:rsid w:val="00954105"/>
    <w:rsid w:val="00956BB3"/>
    <w:rsid w:val="00956C60"/>
    <w:rsid w:val="009602A3"/>
    <w:rsid w:val="00964F8A"/>
    <w:rsid w:val="00966211"/>
    <w:rsid w:val="00972218"/>
    <w:rsid w:val="00972B18"/>
    <w:rsid w:val="009803F8"/>
    <w:rsid w:val="00981195"/>
    <w:rsid w:val="0098403A"/>
    <w:rsid w:val="009877EB"/>
    <w:rsid w:val="00987DE9"/>
    <w:rsid w:val="00990EF6"/>
    <w:rsid w:val="009910DA"/>
    <w:rsid w:val="00993B30"/>
    <w:rsid w:val="00994909"/>
    <w:rsid w:val="00994ADD"/>
    <w:rsid w:val="00995B7D"/>
    <w:rsid w:val="009A090E"/>
    <w:rsid w:val="009A0A99"/>
    <w:rsid w:val="009A192D"/>
    <w:rsid w:val="009A206D"/>
    <w:rsid w:val="009A3F7A"/>
    <w:rsid w:val="009A4AA4"/>
    <w:rsid w:val="009A65C8"/>
    <w:rsid w:val="009B45EF"/>
    <w:rsid w:val="009C2D22"/>
    <w:rsid w:val="009C40DA"/>
    <w:rsid w:val="009C77E9"/>
    <w:rsid w:val="009C7C9B"/>
    <w:rsid w:val="009D147F"/>
    <w:rsid w:val="009D3C98"/>
    <w:rsid w:val="009D41B7"/>
    <w:rsid w:val="009D465B"/>
    <w:rsid w:val="009D5857"/>
    <w:rsid w:val="009E22A8"/>
    <w:rsid w:val="009E35F4"/>
    <w:rsid w:val="009E3D35"/>
    <w:rsid w:val="009E765D"/>
    <w:rsid w:val="009F206A"/>
    <w:rsid w:val="009F4789"/>
    <w:rsid w:val="009F5EDD"/>
    <w:rsid w:val="00A008E1"/>
    <w:rsid w:val="00A03BD3"/>
    <w:rsid w:val="00A05517"/>
    <w:rsid w:val="00A12984"/>
    <w:rsid w:val="00A153B6"/>
    <w:rsid w:val="00A16649"/>
    <w:rsid w:val="00A17140"/>
    <w:rsid w:val="00A236FE"/>
    <w:rsid w:val="00A241C0"/>
    <w:rsid w:val="00A270A5"/>
    <w:rsid w:val="00A33573"/>
    <w:rsid w:val="00A33807"/>
    <w:rsid w:val="00A34710"/>
    <w:rsid w:val="00A37BCE"/>
    <w:rsid w:val="00A473B0"/>
    <w:rsid w:val="00A52C17"/>
    <w:rsid w:val="00A63FD1"/>
    <w:rsid w:val="00A6479F"/>
    <w:rsid w:val="00A64BCA"/>
    <w:rsid w:val="00A64EDF"/>
    <w:rsid w:val="00A67B04"/>
    <w:rsid w:val="00A70EA3"/>
    <w:rsid w:val="00A70F3C"/>
    <w:rsid w:val="00A72FBB"/>
    <w:rsid w:val="00A77B61"/>
    <w:rsid w:val="00A85589"/>
    <w:rsid w:val="00A8574E"/>
    <w:rsid w:val="00A930E5"/>
    <w:rsid w:val="00A963A9"/>
    <w:rsid w:val="00AA16B3"/>
    <w:rsid w:val="00AA20D5"/>
    <w:rsid w:val="00AA31B1"/>
    <w:rsid w:val="00AA41EA"/>
    <w:rsid w:val="00AA6AA2"/>
    <w:rsid w:val="00AB121A"/>
    <w:rsid w:val="00AB22E0"/>
    <w:rsid w:val="00AB40B6"/>
    <w:rsid w:val="00AB56C1"/>
    <w:rsid w:val="00AB5D49"/>
    <w:rsid w:val="00AB67D0"/>
    <w:rsid w:val="00AC0C4C"/>
    <w:rsid w:val="00AC0CDE"/>
    <w:rsid w:val="00AC0D52"/>
    <w:rsid w:val="00AC132D"/>
    <w:rsid w:val="00AC146A"/>
    <w:rsid w:val="00AC1733"/>
    <w:rsid w:val="00AD3F52"/>
    <w:rsid w:val="00AD67C7"/>
    <w:rsid w:val="00AE1420"/>
    <w:rsid w:val="00AE15F8"/>
    <w:rsid w:val="00AE36BD"/>
    <w:rsid w:val="00AE606D"/>
    <w:rsid w:val="00AE73D8"/>
    <w:rsid w:val="00AE74B3"/>
    <w:rsid w:val="00AF2359"/>
    <w:rsid w:val="00AF2675"/>
    <w:rsid w:val="00AF308D"/>
    <w:rsid w:val="00AF78EE"/>
    <w:rsid w:val="00B00EDC"/>
    <w:rsid w:val="00B01111"/>
    <w:rsid w:val="00B02B0F"/>
    <w:rsid w:val="00B0714F"/>
    <w:rsid w:val="00B11D45"/>
    <w:rsid w:val="00B13181"/>
    <w:rsid w:val="00B1439F"/>
    <w:rsid w:val="00B1479C"/>
    <w:rsid w:val="00B1524D"/>
    <w:rsid w:val="00B152F3"/>
    <w:rsid w:val="00B15566"/>
    <w:rsid w:val="00B24E69"/>
    <w:rsid w:val="00B27DF3"/>
    <w:rsid w:val="00B27E30"/>
    <w:rsid w:val="00B30199"/>
    <w:rsid w:val="00B33189"/>
    <w:rsid w:val="00B331AE"/>
    <w:rsid w:val="00B3546C"/>
    <w:rsid w:val="00B35610"/>
    <w:rsid w:val="00B4009D"/>
    <w:rsid w:val="00B4026E"/>
    <w:rsid w:val="00B43A2E"/>
    <w:rsid w:val="00B442C0"/>
    <w:rsid w:val="00B45E32"/>
    <w:rsid w:val="00B51F2D"/>
    <w:rsid w:val="00B53CDE"/>
    <w:rsid w:val="00B632B1"/>
    <w:rsid w:val="00B64F63"/>
    <w:rsid w:val="00B653E2"/>
    <w:rsid w:val="00B71C13"/>
    <w:rsid w:val="00B74952"/>
    <w:rsid w:val="00B756F5"/>
    <w:rsid w:val="00B80E26"/>
    <w:rsid w:val="00B81A62"/>
    <w:rsid w:val="00B81DC6"/>
    <w:rsid w:val="00B82DD3"/>
    <w:rsid w:val="00B84377"/>
    <w:rsid w:val="00B8517C"/>
    <w:rsid w:val="00B85C6C"/>
    <w:rsid w:val="00B95B0A"/>
    <w:rsid w:val="00B97167"/>
    <w:rsid w:val="00BA17A6"/>
    <w:rsid w:val="00BA4876"/>
    <w:rsid w:val="00BA7E4B"/>
    <w:rsid w:val="00BB1858"/>
    <w:rsid w:val="00BB1E30"/>
    <w:rsid w:val="00BB590E"/>
    <w:rsid w:val="00BB65B2"/>
    <w:rsid w:val="00BC1484"/>
    <w:rsid w:val="00BC240C"/>
    <w:rsid w:val="00BC3094"/>
    <w:rsid w:val="00BC321E"/>
    <w:rsid w:val="00BC3903"/>
    <w:rsid w:val="00BC4B2A"/>
    <w:rsid w:val="00BD2004"/>
    <w:rsid w:val="00BD40A4"/>
    <w:rsid w:val="00BD45D8"/>
    <w:rsid w:val="00BD46B9"/>
    <w:rsid w:val="00BD4D7E"/>
    <w:rsid w:val="00BD5BBC"/>
    <w:rsid w:val="00BD7EB6"/>
    <w:rsid w:val="00BE35CA"/>
    <w:rsid w:val="00BE75BF"/>
    <w:rsid w:val="00BF1392"/>
    <w:rsid w:val="00BF2053"/>
    <w:rsid w:val="00BF218E"/>
    <w:rsid w:val="00BF2E2E"/>
    <w:rsid w:val="00BF42E7"/>
    <w:rsid w:val="00BF6F8B"/>
    <w:rsid w:val="00BF7F6A"/>
    <w:rsid w:val="00C0023B"/>
    <w:rsid w:val="00C00783"/>
    <w:rsid w:val="00C008C1"/>
    <w:rsid w:val="00C01844"/>
    <w:rsid w:val="00C0288F"/>
    <w:rsid w:val="00C029A2"/>
    <w:rsid w:val="00C030A9"/>
    <w:rsid w:val="00C03134"/>
    <w:rsid w:val="00C04A4A"/>
    <w:rsid w:val="00C0619C"/>
    <w:rsid w:val="00C07D7A"/>
    <w:rsid w:val="00C201E0"/>
    <w:rsid w:val="00C23DE3"/>
    <w:rsid w:val="00C23F5B"/>
    <w:rsid w:val="00C2704A"/>
    <w:rsid w:val="00C31377"/>
    <w:rsid w:val="00C336AD"/>
    <w:rsid w:val="00C33F97"/>
    <w:rsid w:val="00C42357"/>
    <w:rsid w:val="00C429A1"/>
    <w:rsid w:val="00C42D47"/>
    <w:rsid w:val="00C44C7D"/>
    <w:rsid w:val="00C46A53"/>
    <w:rsid w:val="00C50FB0"/>
    <w:rsid w:val="00C52C45"/>
    <w:rsid w:val="00C54307"/>
    <w:rsid w:val="00C56AD0"/>
    <w:rsid w:val="00C57D99"/>
    <w:rsid w:val="00C601A3"/>
    <w:rsid w:val="00C6059C"/>
    <w:rsid w:val="00C60BFB"/>
    <w:rsid w:val="00C6115D"/>
    <w:rsid w:val="00C640A5"/>
    <w:rsid w:val="00C64A61"/>
    <w:rsid w:val="00C66BA8"/>
    <w:rsid w:val="00C73719"/>
    <w:rsid w:val="00C738D2"/>
    <w:rsid w:val="00C759CE"/>
    <w:rsid w:val="00C75D50"/>
    <w:rsid w:val="00C75F7E"/>
    <w:rsid w:val="00C76EA5"/>
    <w:rsid w:val="00C76EEB"/>
    <w:rsid w:val="00C82842"/>
    <w:rsid w:val="00C85FD2"/>
    <w:rsid w:val="00C86F14"/>
    <w:rsid w:val="00C92056"/>
    <w:rsid w:val="00C95098"/>
    <w:rsid w:val="00C952A7"/>
    <w:rsid w:val="00C96220"/>
    <w:rsid w:val="00C96935"/>
    <w:rsid w:val="00C9706C"/>
    <w:rsid w:val="00CA022E"/>
    <w:rsid w:val="00CA4461"/>
    <w:rsid w:val="00CA57D4"/>
    <w:rsid w:val="00CA5E4B"/>
    <w:rsid w:val="00CB0452"/>
    <w:rsid w:val="00CB0D3F"/>
    <w:rsid w:val="00CB513F"/>
    <w:rsid w:val="00CB75DF"/>
    <w:rsid w:val="00CC108C"/>
    <w:rsid w:val="00CC3B2C"/>
    <w:rsid w:val="00CC3B31"/>
    <w:rsid w:val="00CC4725"/>
    <w:rsid w:val="00CC55E7"/>
    <w:rsid w:val="00CD0020"/>
    <w:rsid w:val="00CD148A"/>
    <w:rsid w:val="00CD2A79"/>
    <w:rsid w:val="00CD625C"/>
    <w:rsid w:val="00CE02A2"/>
    <w:rsid w:val="00CE0486"/>
    <w:rsid w:val="00CE1358"/>
    <w:rsid w:val="00CE368A"/>
    <w:rsid w:val="00CE52F1"/>
    <w:rsid w:val="00CE5657"/>
    <w:rsid w:val="00CE5E55"/>
    <w:rsid w:val="00CE63BA"/>
    <w:rsid w:val="00CE7C14"/>
    <w:rsid w:val="00CF1AF1"/>
    <w:rsid w:val="00CF3FE4"/>
    <w:rsid w:val="00D01AB2"/>
    <w:rsid w:val="00D17055"/>
    <w:rsid w:val="00D20C27"/>
    <w:rsid w:val="00D239FA"/>
    <w:rsid w:val="00D23AD9"/>
    <w:rsid w:val="00D23BBE"/>
    <w:rsid w:val="00D24C9F"/>
    <w:rsid w:val="00D263DF"/>
    <w:rsid w:val="00D26ACF"/>
    <w:rsid w:val="00D33E5B"/>
    <w:rsid w:val="00D3554D"/>
    <w:rsid w:val="00D41FCA"/>
    <w:rsid w:val="00D42131"/>
    <w:rsid w:val="00D441CD"/>
    <w:rsid w:val="00D46B2B"/>
    <w:rsid w:val="00D525D5"/>
    <w:rsid w:val="00D527AC"/>
    <w:rsid w:val="00D5356D"/>
    <w:rsid w:val="00D54EE4"/>
    <w:rsid w:val="00D558B2"/>
    <w:rsid w:val="00D577F2"/>
    <w:rsid w:val="00D642C4"/>
    <w:rsid w:val="00D64586"/>
    <w:rsid w:val="00D66705"/>
    <w:rsid w:val="00D67037"/>
    <w:rsid w:val="00D67102"/>
    <w:rsid w:val="00D80BE9"/>
    <w:rsid w:val="00D81866"/>
    <w:rsid w:val="00D820AD"/>
    <w:rsid w:val="00D82375"/>
    <w:rsid w:val="00D82D2A"/>
    <w:rsid w:val="00D83AD5"/>
    <w:rsid w:val="00D843C2"/>
    <w:rsid w:val="00D86352"/>
    <w:rsid w:val="00D906C8"/>
    <w:rsid w:val="00D9391F"/>
    <w:rsid w:val="00D93B01"/>
    <w:rsid w:val="00D93BF4"/>
    <w:rsid w:val="00D93F19"/>
    <w:rsid w:val="00D9743C"/>
    <w:rsid w:val="00DA02AB"/>
    <w:rsid w:val="00DA51C2"/>
    <w:rsid w:val="00DA6459"/>
    <w:rsid w:val="00DA6AEB"/>
    <w:rsid w:val="00DB0B29"/>
    <w:rsid w:val="00DB17B8"/>
    <w:rsid w:val="00DB1952"/>
    <w:rsid w:val="00DB3D79"/>
    <w:rsid w:val="00DB4B7A"/>
    <w:rsid w:val="00DB5AF3"/>
    <w:rsid w:val="00DB77D7"/>
    <w:rsid w:val="00DC4BA2"/>
    <w:rsid w:val="00DC4FF0"/>
    <w:rsid w:val="00DC5118"/>
    <w:rsid w:val="00DC566C"/>
    <w:rsid w:val="00DC597F"/>
    <w:rsid w:val="00DD507F"/>
    <w:rsid w:val="00DD5C06"/>
    <w:rsid w:val="00DE1CB6"/>
    <w:rsid w:val="00DE3BF8"/>
    <w:rsid w:val="00DE5999"/>
    <w:rsid w:val="00DE5A4C"/>
    <w:rsid w:val="00DE6D95"/>
    <w:rsid w:val="00DE7487"/>
    <w:rsid w:val="00DE7A6C"/>
    <w:rsid w:val="00DF15A3"/>
    <w:rsid w:val="00DF232B"/>
    <w:rsid w:val="00DF3AEC"/>
    <w:rsid w:val="00DF792A"/>
    <w:rsid w:val="00E000CF"/>
    <w:rsid w:val="00E00D36"/>
    <w:rsid w:val="00E028C9"/>
    <w:rsid w:val="00E11391"/>
    <w:rsid w:val="00E12690"/>
    <w:rsid w:val="00E13C52"/>
    <w:rsid w:val="00E1507C"/>
    <w:rsid w:val="00E22C5F"/>
    <w:rsid w:val="00E23BD1"/>
    <w:rsid w:val="00E23D3E"/>
    <w:rsid w:val="00E24A82"/>
    <w:rsid w:val="00E26389"/>
    <w:rsid w:val="00E2768F"/>
    <w:rsid w:val="00E276B2"/>
    <w:rsid w:val="00E2787D"/>
    <w:rsid w:val="00E3151F"/>
    <w:rsid w:val="00E31C39"/>
    <w:rsid w:val="00E3353B"/>
    <w:rsid w:val="00E33ACA"/>
    <w:rsid w:val="00E41734"/>
    <w:rsid w:val="00E41D6A"/>
    <w:rsid w:val="00E4350D"/>
    <w:rsid w:val="00E4396B"/>
    <w:rsid w:val="00E452E8"/>
    <w:rsid w:val="00E4595A"/>
    <w:rsid w:val="00E47398"/>
    <w:rsid w:val="00E516CD"/>
    <w:rsid w:val="00E51C06"/>
    <w:rsid w:val="00E54BF3"/>
    <w:rsid w:val="00E60CC1"/>
    <w:rsid w:val="00E62766"/>
    <w:rsid w:val="00E62D8D"/>
    <w:rsid w:val="00E631AF"/>
    <w:rsid w:val="00E643E2"/>
    <w:rsid w:val="00E6728A"/>
    <w:rsid w:val="00E72D5F"/>
    <w:rsid w:val="00E73771"/>
    <w:rsid w:val="00E74834"/>
    <w:rsid w:val="00E75F0B"/>
    <w:rsid w:val="00E803CD"/>
    <w:rsid w:val="00E8602E"/>
    <w:rsid w:val="00E87C10"/>
    <w:rsid w:val="00E90149"/>
    <w:rsid w:val="00E909ED"/>
    <w:rsid w:val="00E933E7"/>
    <w:rsid w:val="00E94D44"/>
    <w:rsid w:val="00E979D3"/>
    <w:rsid w:val="00EA01D7"/>
    <w:rsid w:val="00EA0D40"/>
    <w:rsid w:val="00EA4DDC"/>
    <w:rsid w:val="00EB0EE8"/>
    <w:rsid w:val="00EB2095"/>
    <w:rsid w:val="00EB69FF"/>
    <w:rsid w:val="00EB7922"/>
    <w:rsid w:val="00ED2F0A"/>
    <w:rsid w:val="00ED375E"/>
    <w:rsid w:val="00ED375F"/>
    <w:rsid w:val="00ED6702"/>
    <w:rsid w:val="00ED7D2D"/>
    <w:rsid w:val="00EE04EB"/>
    <w:rsid w:val="00EF221B"/>
    <w:rsid w:val="00EF4564"/>
    <w:rsid w:val="00EF4D52"/>
    <w:rsid w:val="00EF5E2D"/>
    <w:rsid w:val="00EF61DC"/>
    <w:rsid w:val="00EF71A6"/>
    <w:rsid w:val="00F00D3B"/>
    <w:rsid w:val="00F010DE"/>
    <w:rsid w:val="00F041B4"/>
    <w:rsid w:val="00F066E1"/>
    <w:rsid w:val="00F11336"/>
    <w:rsid w:val="00F1181B"/>
    <w:rsid w:val="00F128EE"/>
    <w:rsid w:val="00F204BD"/>
    <w:rsid w:val="00F20588"/>
    <w:rsid w:val="00F2633C"/>
    <w:rsid w:val="00F315B9"/>
    <w:rsid w:val="00F34A4E"/>
    <w:rsid w:val="00F41E5C"/>
    <w:rsid w:val="00F44DE0"/>
    <w:rsid w:val="00F45B3B"/>
    <w:rsid w:val="00F53B85"/>
    <w:rsid w:val="00F54B92"/>
    <w:rsid w:val="00F564A2"/>
    <w:rsid w:val="00F57BF1"/>
    <w:rsid w:val="00F6575E"/>
    <w:rsid w:val="00F72984"/>
    <w:rsid w:val="00F7377B"/>
    <w:rsid w:val="00F73B9F"/>
    <w:rsid w:val="00F74091"/>
    <w:rsid w:val="00F757A5"/>
    <w:rsid w:val="00F81495"/>
    <w:rsid w:val="00F82BA9"/>
    <w:rsid w:val="00F859CB"/>
    <w:rsid w:val="00F86A8B"/>
    <w:rsid w:val="00F86B87"/>
    <w:rsid w:val="00F92A0F"/>
    <w:rsid w:val="00F9683A"/>
    <w:rsid w:val="00F96DF2"/>
    <w:rsid w:val="00F97319"/>
    <w:rsid w:val="00F97457"/>
    <w:rsid w:val="00FA1F2E"/>
    <w:rsid w:val="00FA2005"/>
    <w:rsid w:val="00FA47F2"/>
    <w:rsid w:val="00FA6506"/>
    <w:rsid w:val="00FA6649"/>
    <w:rsid w:val="00FA6C2A"/>
    <w:rsid w:val="00FB0595"/>
    <w:rsid w:val="00FB0E61"/>
    <w:rsid w:val="00FB1ACD"/>
    <w:rsid w:val="00FB2B42"/>
    <w:rsid w:val="00FB348B"/>
    <w:rsid w:val="00FB3615"/>
    <w:rsid w:val="00FB5FEF"/>
    <w:rsid w:val="00FB6489"/>
    <w:rsid w:val="00FB6B61"/>
    <w:rsid w:val="00FB7907"/>
    <w:rsid w:val="00FC0BE0"/>
    <w:rsid w:val="00FC1C01"/>
    <w:rsid w:val="00FC2B71"/>
    <w:rsid w:val="00FC35A0"/>
    <w:rsid w:val="00FC421E"/>
    <w:rsid w:val="00FC54A1"/>
    <w:rsid w:val="00FC57F2"/>
    <w:rsid w:val="00FC60FA"/>
    <w:rsid w:val="00FC692C"/>
    <w:rsid w:val="00FD0A8B"/>
    <w:rsid w:val="00FD102F"/>
    <w:rsid w:val="00FD171C"/>
    <w:rsid w:val="00FD22BC"/>
    <w:rsid w:val="00FD3206"/>
    <w:rsid w:val="00FD372B"/>
    <w:rsid w:val="00FD5735"/>
    <w:rsid w:val="00FD64D6"/>
    <w:rsid w:val="00FE07A7"/>
    <w:rsid w:val="00FE4DDC"/>
    <w:rsid w:val="00FE5A39"/>
    <w:rsid w:val="00FE6CC1"/>
    <w:rsid w:val="00FF0B4F"/>
    <w:rsid w:val="00FF289A"/>
    <w:rsid w:val="00FF3B7E"/>
    <w:rsid w:val="00FF634E"/>
    <w:rsid w:val="00FF68AE"/>
    <w:rsid w:val="00FF708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E8B0CF1"/>
  <w15:chartTrackingRefBased/>
  <w15:docId w15:val="{31A1024E-4C19-44DE-9551-AA5B7DDC4C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AF235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aliases w:val="Podnaslov 2"/>
    <w:basedOn w:val="Normal"/>
    <w:next w:val="Normal"/>
    <w:link w:val="Heading2Char"/>
    <w:uiPriority w:val="9"/>
    <w:unhideWhenUsed/>
    <w:qFormat/>
    <w:rsid w:val="00AF235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570694"/>
    <w:pPr>
      <w:autoSpaceDE w:val="0"/>
      <w:autoSpaceDN w:val="0"/>
      <w:adjustRightInd w:val="0"/>
      <w:spacing w:after="0" w:line="240" w:lineRule="auto"/>
    </w:pPr>
    <w:rPr>
      <w:rFonts w:ascii="Cambria" w:hAnsi="Cambria" w:cs="Cambria"/>
      <w:color w:val="000000"/>
      <w:sz w:val="24"/>
      <w:szCs w:val="24"/>
    </w:rPr>
  </w:style>
  <w:style w:type="paragraph" w:styleId="Header">
    <w:name w:val="header"/>
    <w:basedOn w:val="Normal"/>
    <w:link w:val="HeaderChar"/>
    <w:uiPriority w:val="99"/>
    <w:unhideWhenUsed/>
    <w:rsid w:val="00BF7F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BF7F6A"/>
  </w:style>
  <w:style w:type="paragraph" w:styleId="Footer">
    <w:name w:val="footer"/>
    <w:basedOn w:val="Normal"/>
    <w:link w:val="FooterChar"/>
    <w:uiPriority w:val="99"/>
    <w:unhideWhenUsed/>
    <w:rsid w:val="00BF7F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BF7F6A"/>
  </w:style>
  <w:style w:type="character" w:customStyle="1" w:styleId="Heading1Char">
    <w:name w:val="Heading 1 Char"/>
    <w:basedOn w:val="DefaultParagraphFont"/>
    <w:link w:val="Heading1"/>
    <w:uiPriority w:val="9"/>
    <w:rsid w:val="00AF2359"/>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AF2359"/>
    <w:pPr>
      <w:outlineLvl w:val="9"/>
    </w:pPr>
  </w:style>
  <w:style w:type="paragraph" w:styleId="TOC1">
    <w:name w:val="toc 1"/>
    <w:basedOn w:val="Normal"/>
    <w:next w:val="Normal"/>
    <w:autoRedefine/>
    <w:uiPriority w:val="39"/>
    <w:unhideWhenUsed/>
    <w:rsid w:val="005311D2"/>
    <w:pPr>
      <w:tabs>
        <w:tab w:val="left" w:pos="270"/>
        <w:tab w:val="right" w:leader="dot" w:pos="9350"/>
      </w:tabs>
      <w:spacing w:after="100"/>
      <w:ind w:firstLine="180"/>
    </w:pPr>
    <w:rPr>
      <w:rFonts w:cstheme="minorHAnsi"/>
      <w:b/>
      <w:bCs/>
      <w:noProof/>
      <w:color w:val="44546A" w:themeColor="text2"/>
      <w:sz w:val="20"/>
      <w:szCs w:val="20"/>
      <w:lang w:val="sr-Cyrl-RS"/>
    </w:rPr>
  </w:style>
  <w:style w:type="character" w:styleId="Hyperlink">
    <w:name w:val="Hyperlink"/>
    <w:basedOn w:val="DefaultParagraphFont"/>
    <w:uiPriority w:val="99"/>
    <w:unhideWhenUsed/>
    <w:rsid w:val="00AF2359"/>
    <w:rPr>
      <w:color w:val="0563C1" w:themeColor="hyperlink"/>
      <w:u w:val="single"/>
    </w:rPr>
  </w:style>
  <w:style w:type="character" w:customStyle="1" w:styleId="Heading2Char">
    <w:name w:val="Heading 2 Char"/>
    <w:aliases w:val="Podnaslov 2 Char"/>
    <w:basedOn w:val="DefaultParagraphFont"/>
    <w:link w:val="Heading2"/>
    <w:uiPriority w:val="9"/>
    <w:rsid w:val="00AF2359"/>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AF78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D20C27"/>
    <w:pPr>
      <w:spacing w:after="100"/>
      <w:ind w:left="220"/>
    </w:pPr>
  </w:style>
  <w:style w:type="paragraph" w:styleId="FootnoteText">
    <w:name w:val="footnote text"/>
    <w:aliases w:val="Footnote Text Char Char Char,Footnote Text Char Char"/>
    <w:basedOn w:val="Normal"/>
    <w:link w:val="FootnoteTextChar"/>
    <w:uiPriority w:val="99"/>
    <w:unhideWhenUsed/>
    <w:rsid w:val="005556DC"/>
    <w:pPr>
      <w:spacing w:after="0" w:line="240" w:lineRule="auto"/>
    </w:pPr>
    <w:rPr>
      <w:sz w:val="20"/>
      <w:szCs w:val="20"/>
    </w:rPr>
  </w:style>
  <w:style w:type="character" w:customStyle="1" w:styleId="FootnoteTextChar">
    <w:name w:val="Footnote Text Char"/>
    <w:aliases w:val="Footnote Text Char Char Char Char,Footnote Text Char Char Char1"/>
    <w:basedOn w:val="DefaultParagraphFont"/>
    <w:link w:val="FootnoteText"/>
    <w:uiPriority w:val="99"/>
    <w:rsid w:val="005556DC"/>
    <w:rPr>
      <w:sz w:val="20"/>
      <w:szCs w:val="20"/>
    </w:rPr>
  </w:style>
  <w:style w:type="character" w:styleId="FootnoteReference">
    <w:name w:val="footnote reference"/>
    <w:basedOn w:val="DefaultParagraphFont"/>
    <w:uiPriority w:val="99"/>
    <w:unhideWhenUsed/>
    <w:rsid w:val="005556DC"/>
    <w:rPr>
      <w:vertAlign w:val="superscript"/>
    </w:rPr>
  </w:style>
  <w:style w:type="character" w:customStyle="1" w:styleId="Hyperlink1">
    <w:name w:val="Hyperlink1"/>
    <w:basedOn w:val="DefaultParagraphFont"/>
    <w:uiPriority w:val="99"/>
    <w:unhideWhenUsed/>
    <w:rsid w:val="005556DC"/>
    <w:rPr>
      <w:color w:val="0563C1"/>
      <w:u w:val="single"/>
    </w:rPr>
  </w:style>
  <w:style w:type="paragraph" w:styleId="Caption">
    <w:name w:val="caption"/>
    <w:basedOn w:val="Normal"/>
    <w:next w:val="Normal"/>
    <w:uiPriority w:val="35"/>
    <w:unhideWhenUsed/>
    <w:qFormat/>
    <w:rsid w:val="00C03134"/>
    <w:pPr>
      <w:spacing w:after="200" w:line="240" w:lineRule="auto"/>
    </w:pPr>
    <w:rPr>
      <w:i/>
      <w:iCs/>
      <w:color w:val="44546A" w:themeColor="text2"/>
      <w:sz w:val="18"/>
      <w:szCs w:val="18"/>
    </w:rPr>
  </w:style>
  <w:style w:type="table" w:styleId="GridTable5Dark-Accent5">
    <w:name w:val="Grid Table 5 Dark Accent 5"/>
    <w:basedOn w:val="TableNormal"/>
    <w:uiPriority w:val="50"/>
    <w:rsid w:val="0043518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
    <w:name w:val="Light Shading - Accent 333"/>
    <w:basedOn w:val="TableNormal"/>
    <w:next w:val="LightShading-Accent3"/>
    <w:uiPriority w:val="60"/>
    <w:rsid w:val="00CB0452"/>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LightShading-Accent3">
    <w:name w:val="Light Shading Accent 3"/>
    <w:basedOn w:val="TableNormal"/>
    <w:uiPriority w:val="60"/>
    <w:semiHidden/>
    <w:unhideWhenUsed/>
    <w:rsid w:val="00CB0452"/>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character" w:styleId="CommentReference">
    <w:name w:val="annotation reference"/>
    <w:basedOn w:val="DefaultParagraphFont"/>
    <w:uiPriority w:val="99"/>
    <w:semiHidden/>
    <w:unhideWhenUsed/>
    <w:rsid w:val="00CB0452"/>
    <w:rPr>
      <w:sz w:val="16"/>
      <w:szCs w:val="16"/>
    </w:rPr>
  </w:style>
  <w:style w:type="paragraph" w:styleId="CommentText">
    <w:name w:val="annotation text"/>
    <w:basedOn w:val="Normal"/>
    <w:link w:val="CommentTextChar"/>
    <w:uiPriority w:val="99"/>
    <w:unhideWhenUsed/>
    <w:rsid w:val="00CB0452"/>
    <w:pPr>
      <w:spacing w:line="240" w:lineRule="auto"/>
    </w:pPr>
    <w:rPr>
      <w:sz w:val="20"/>
      <w:szCs w:val="20"/>
    </w:rPr>
  </w:style>
  <w:style w:type="character" w:customStyle="1" w:styleId="CommentTextChar">
    <w:name w:val="Comment Text Char"/>
    <w:basedOn w:val="DefaultParagraphFont"/>
    <w:link w:val="CommentText"/>
    <w:uiPriority w:val="99"/>
    <w:rsid w:val="00CB0452"/>
    <w:rPr>
      <w:sz w:val="20"/>
      <w:szCs w:val="20"/>
    </w:rPr>
  </w:style>
  <w:style w:type="paragraph" w:styleId="CommentSubject">
    <w:name w:val="annotation subject"/>
    <w:basedOn w:val="CommentText"/>
    <w:next w:val="CommentText"/>
    <w:link w:val="CommentSubjectChar"/>
    <w:uiPriority w:val="99"/>
    <w:semiHidden/>
    <w:unhideWhenUsed/>
    <w:rsid w:val="00CB0452"/>
    <w:rPr>
      <w:b/>
      <w:bCs/>
    </w:rPr>
  </w:style>
  <w:style w:type="character" w:customStyle="1" w:styleId="CommentSubjectChar">
    <w:name w:val="Comment Subject Char"/>
    <w:basedOn w:val="CommentTextChar"/>
    <w:link w:val="CommentSubject"/>
    <w:uiPriority w:val="99"/>
    <w:semiHidden/>
    <w:rsid w:val="00CB0452"/>
    <w:rPr>
      <w:b/>
      <w:bCs/>
      <w:sz w:val="20"/>
      <w:szCs w:val="20"/>
    </w:rPr>
  </w:style>
  <w:style w:type="paragraph" w:styleId="BalloonText">
    <w:name w:val="Balloon Text"/>
    <w:basedOn w:val="Normal"/>
    <w:link w:val="BalloonTextChar"/>
    <w:uiPriority w:val="99"/>
    <w:semiHidden/>
    <w:unhideWhenUsed/>
    <w:rsid w:val="00CB045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B0452"/>
    <w:rPr>
      <w:rFonts w:ascii="Segoe UI" w:hAnsi="Segoe UI" w:cs="Segoe UI"/>
      <w:sz w:val="18"/>
      <w:szCs w:val="18"/>
    </w:rPr>
  </w:style>
  <w:style w:type="table" w:customStyle="1" w:styleId="TableGrid2">
    <w:name w:val="Table Grid2"/>
    <w:basedOn w:val="TableNormal"/>
    <w:next w:val="TableGrid"/>
    <w:uiPriority w:val="39"/>
    <w:rsid w:val="008E6892"/>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paragraph" w:styleId="ListParagraph">
    <w:name w:val="List Paragraph"/>
    <w:basedOn w:val="Normal"/>
    <w:link w:val="ListParagraphChar"/>
    <w:uiPriority w:val="34"/>
    <w:qFormat/>
    <w:rsid w:val="0001456F"/>
    <w:pPr>
      <w:ind w:left="720"/>
      <w:contextualSpacing/>
    </w:pPr>
  </w:style>
  <w:style w:type="character" w:customStyle="1" w:styleId="UnresolvedMention1">
    <w:name w:val="Unresolved Mention1"/>
    <w:basedOn w:val="DefaultParagraphFont"/>
    <w:uiPriority w:val="99"/>
    <w:semiHidden/>
    <w:unhideWhenUsed/>
    <w:rsid w:val="002C1D90"/>
    <w:rPr>
      <w:color w:val="605E5C"/>
      <w:shd w:val="clear" w:color="auto" w:fill="E1DFDD"/>
    </w:rPr>
  </w:style>
  <w:style w:type="table" w:customStyle="1" w:styleId="LightShading-Accent335">
    <w:name w:val="Light Shading - Accent 335"/>
    <w:basedOn w:val="TableNormal"/>
    <w:next w:val="LightShading-Accent3"/>
    <w:uiPriority w:val="60"/>
    <w:rsid w:val="009877E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
    <w:name w:val="No List1"/>
    <w:next w:val="NoList"/>
    <w:uiPriority w:val="99"/>
    <w:semiHidden/>
    <w:unhideWhenUsed/>
    <w:rsid w:val="00BA4876"/>
  </w:style>
  <w:style w:type="table" w:customStyle="1" w:styleId="TableGrid1">
    <w:name w:val="Table Grid1"/>
    <w:basedOn w:val="TableNormal"/>
    <w:next w:val="TableGrid"/>
    <w:uiPriority w:val="39"/>
    <w:rsid w:val="00BA48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
    <w:name w:val="Grid Table 5 Dark - Accent 51"/>
    <w:basedOn w:val="TableNormal"/>
    <w:next w:val="GridTable5Dark-Accent5"/>
    <w:uiPriority w:val="50"/>
    <w:rsid w:val="00BA487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
    <w:name w:val="Light Shading - Accent 3331"/>
    <w:basedOn w:val="TableNormal"/>
    <w:next w:val="LightShading-Accent3"/>
    <w:uiPriority w:val="60"/>
    <w:rsid w:val="00BA4876"/>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
    <w:name w:val="Light Shading - Accent 31"/>
    <w:basedOn w:val="TableNormal"/>
    <w:next w:val="LightShading-Accent3"/>
    <w:uiPriority w:val="60"/>
    <w:semiHidden/>
    <w:unhideWhenUsed/>
    <w:rsid w:val="00BA4876"/>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
    <w:name w:val="Table Grid21"/>
    <w:basedOn w:val="TableNormal"/>
    <w:next w:val="TableGrid"/>
    <w:uiPriority w:val="39"/>
    <w:rsid w:val="00BA4876"/>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
    <w:name w:val="Light Shading - Accent 121"/>
    <w:basedOn w:val="TableNormal"/>
    <w:uiPriority w:val="60"/>
    <w:rsid w:val="00BA4876"/>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
    <w:name w:val="Light Shading - Accent 12"/>
    <w:basedOn w:val="TableNormal"/>
    <w:uiPriority w:val="60"/>
    <w:rsid w:val="00BA4876"/>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paragraph" w:styleId="NoSpacing">
    <w:name w:val="No Spacing"/>
    <w:aliases w:val="Uvodna rečenica"/>
    <w:uiPriority w:val="1"/>
    <w:qFormat/>
    <w:rsid w:val="00BA4876"/>
    <w:pPr>
      <w:spacing w:after="0" w:line="240" w:lineRule="auto"/>
      <w:jc w:val="both"/>
    </w:pPr>
    <w:rPr>
      <w:b/>
      <w:color w:val="2F5496" w:themeColor="accent1" w:themeShade="BF"/>
      <w:sz w:val="20"/>
    </w:rPr>
  </w:style>
  <w:style w:type="table" w:customStyle="1" w:styleId="LightShading-Accent3351">
    <w:name w:val="Light Shading - Accent 3351"/>
    <w:basedOn w:val="TableNormal"/>
    <w:next w:val="LightShading-Accent3"/>
    <w:uiPriority w:val="60"/>
    <w:rsid w:val="00BA4876"/>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
    <w:name w:val="Light Shading - Accent 1221"/>
    <w:basedOn w:val="TableNormal"/>
    <w:uiPriority w:val="60"/>
    <w:rsid w:val="00BA4876"/>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paragraph" w:styleId="NormalWeb">
    <w:name w:val="Normal (Web)"/>
    <w:basedOn w:val="Normal"/>
    <w:uiPriority w:val="99"/>
    <w:semiHidden/>
    <w:unhideWhenUsed/>
    <w:rsid w:val="00BA487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ListParagraphChar">
    <w:name w:val="List Paragraph Char"/>
    <w:link w:val="ListParagraph"/>
    <w:uiPriority w:val="34"/>
    <w:locked/>
    <w:rsid w:val="00BA4876"/>
  </w:style>
  <w:style w:type="table" w:customStyle="1" w:styleId="LightShading-Accent1211">
    <w:name w:val="Light Shading - Accent 1211"/>
    <w:basedOn w:val="TableNormal"/>
    <w:uiPriority w:val="60"/>
    <w:rsid w:val="00BA4876"/>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styleId="ListTable6Colorful-Accent6">
    <w:name w:val="List Table 6 Colorful Accent 6"/>
    <w:basedOn w:val="TableNormal"/>
    <w:uiPriority w:val="51"/>
    <w:rsid w:val="00BA4876"/>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Hyperlink2">
    <w:name w:val="Hyperlink2"/>
    <w:basedOn w:val="DefaultParagraphFont"/>
    <w:uiPriority w:val="99"/>
    <w:rsid w:val="00BA4876"/>
    <w:rPr>
      <w:color w:val="0563C1"/>
      <w:u w:val="single"/>
    </w:rPr>
  </w:style>
  <w:style w:type="table" w:customStyle="1" w:styleId="ListTable1Light-Accent61">
    <w:name w:val="List Table 1 Light - Accent 61"/>
    <w:basedOn w:val="TableNormal"/>
    <w:uiPriority w:val="46"/>
    <w:rsid w:val="00BA4876"/>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
    <w:name w:val="Light Shading - Accent 336"/>
    <w:basedOn w:val="TableNormal"/>
    <w:uiPriority w:val="60"/>
    <w:rsid w:val="00BA4876"/>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character" w:customStyle="1" w:styleId="UnresolvedMention2">
    <w:name w:val="Unresolved Mention2"/>
    <w:basedOn w:val="DefaultParagraphFont"/>
    <w:uiPriority w:val="99"/>
    <w:semiHidden/>
    <w:unhideWhenUsed/>
    <w:rsid w:val="00BA4876"/>
    <w:rPr>
      <w:color w:val="605E5C"/>
      <w:shd w:val="clear" w:color="auto" w:fill="E1DFDD"/>
    </w:rPr>
  </w:style>
  <w:style w:type="table" w:customStyle="1" w:styleId="LightShading-Accent337">
    <w:name w:val="Light Shading - Accent 337"/>
    <w:basedOn w:val="TableNormal"/>
    <w:uiPriority w:val="60"/>
    <w:rsid w:val="001E3C08"/>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
    <w:name w:val="Light Shading - Accent 338"/>
    <w:basedOn w:val="TableNormal"/>
    <w:uiPriority w:val="60"/>
    <w:rsid w:val="001E3C08"/>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character" w:customStyle="1" w:styleId="UnresolvedMention3">
    <w:name w:val="Unresolved Mention3"/>
    <w:basedOn w:val="DefaultParagraphFont"/>
    <w:uiPriority w:val="99"/>
    <w:semiHidden/>
    <w:unhideWhenUsed/>
    <w:rsid w:val="001E3C0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162937">
      <w:bodyDiv w:val="1"/>
      <w:marLeft w:val="0"/>
      <w:marRight w:val="0"/>
      <w:marTop w:val="0"/>
      <w:marBottom w:val="0"/>
      <w:divBdr>
        <w:top w:val="none" w:sz="0" w:space="0" w:color="auto"/>
        <w:left w:val="none" w:sz="0" w:space="0" w:color="auto"/>
        <w:bottom w:val="none" w:sz="0" w:space="0" w:color="auto"/>
        <w:right w:val="none" w:sz="0" w:space="0" w:color="auto"/>
      </w:divBdr>
    </w:div>
    <w:div w:id="405343483">
      <w:bodyDiv w:val="1"/>
      <w:marLeft w:val="0"/>
      <w:marRight w:val="0"/>
      <w:marTop w:val="0"/>
      <w:marBottom w:val="0"/>
      <w:divBdr>
        <w:top w:val="none" w:sz="0" w:space="0" w:color="auto"/>
        <w:left w:val="none" w:sz="0" w:space="0" w:color="auto"/>
        <w:bottom w:val="none" w:sz="0" w:space="0" w:color="auto"/>
        <w:right w:val="none" w:sz="0" w:space="0" w:color="auto"/>
      </w:divBdr>
    </w:div>
    <w:div w:id="496309330">
      <w:bodyDiv w:val="1"/>
      <w:marLeft w:val="0"/>
      <w:marRight w:val="0"/>
      <w:marTop w:val="0"/>
      <w:marBottom w:val="0"/>
      <w:divBdr>
        <w:top w:val="none" w:sz="0" w:space="0" w:color="auto"/>
        <w:left w:val="none" w:sz="0" w:space="0" w:color="auto"/>
        <w:bottom w:val="none" w:sz="0" w:space="0" w:color="auto"/>
        <w:right w:val="none" w:sz="0" w:space="0" w:color="auto"/>
      </w:divBdr>
    </w:div>
    <w:div w:id="815489490">
      <w:bodyDiv w:val="1"/>
      <w:marLeft w:val="0"/>
      <w:marRight w:val="0"/>
      <w:marTop w:val="0"/>
      <w:marBottom w:val="0"/>
      <w:divBdr>
        <w:top w:val="none" w:sz="0" w:space="0" w:color="auto"/>
        <w:left w:val="none" w:sz="0" w:space="0" w:color="auto"/>
        <w:bottom w:val="none" w:sz="0" w:space="0" w:color="auto"/>
        <w:right w:val="none" w:sz="0" w:space="0" w:color="auto"/>
      </w:divBdr>
    </w:div>
    <w:div w:id="988559316">
      <w:bodyDiv w:val="1"/>
      <w:marLeft w:val="0"/>
      <w:marRight w:val="0"/>
      <w:marTop w:val="0"/>
      <w:marBottom w:val="0"/>
      <w:divBdr>
        <w:top w:val="none" w:sz="0" w:space="0" w:color="auto"/>
        <w:left w:val="none" w:sz="0" w:space="0" w:color="auto"/>
        <w:bottom w:val="none" w:sz="0" w:space="0" w:color="auto"/>
        <w:right w:val="none" w:sz="0" w:space="0" w:color="auto"/>
      </w:divBdr>
    </w:div>
    <w:div w:id="1221474541">
      <w:bodyDiv w:val="1"/>
      <w:marLeft w:val="0"/>
      <w:marRight w:val="0"/>
      <w:marTop w:val="0"/>
      <w:marBottom w:val="0"/>
      <w:divBdr>
        <w:top w:val="none" w:sz="0" w:space="0" w:color="auto"/>
        <w:left w:val="none" w:sz="0" w:space="0" w:color="auto"/>
        <w:bottom w:val="none" w:sz="0" w:space="0" w:color="auto"/>
        <w:right w:val="none" w:sz="0" w:space="0" w:color="auto"/>
      </w:divBdr>
    </w:div>
    <w:div w:id="1241981220">
      <w:bodyDiv w:val="1"/>
      <w:marLeft w:val="0"/>
      <w:marRight w:val="0"/>
      <w:marTop w:val="0"/>
      <w:marBottom w:val="0"/>
      <w:divBdr>
        <w:top w:val="none" w:sz="0" w:space="0" w:color="auto"/>
        <w:left w:val="none" w:sz="0" w:space="0" w:color="auto"/>
        <w:bottom w:val="none" w:sz="0" w:space="0" w:color="auto"/>
        <w:right w:val="none" w:sz="0" w:space="0" w:color="auto"/>
      </w:divBdr>
    </w:div>
    <w:div w:id="1285890058">
      <w:bodyDiv w:val="1"/>
      <w:marLeft w:val="0"/>
      <w:marRight w:val="0"/>
      <w:marTop w:val="0"/>
      <w:marBottom w:val="0"/>
      <w:divBdr>
        <w:top w:val="none" w:sz="0" w:space="0" w:color="auto"/>
        <w:left w:val="none" w:sz="0" w:space="0" w:color="auto"/>
        <w:bottom w:val="none" w:sz="0" w:space="0" w:color="auto"/>
        <w:right w:val="none" w:sz="0" w:space="0" w:color="auto"/>
      </w:divBdr>
    </w:div>
    <w:div w:id="1579943587">
      <w:bodyDiv w:val="1"/>
      <w:marLeft w:val="0"/>
      <w:marRight w:val="0"/>
      <w:marTop w:val="0"/>
      <w:marBottom w:val="0"/>
      <w:divBdr>
        <w:top w:val="none" w:sz="0" w:space="0" w:color="auto"/>
        <w:left w:val="none" w:sz="0" w:space="0" w:color="auto"/>
        <w:bottom w:val="none" w:sz="0" w:space="0" w:color="auto"/>
        <w:right w:val="none" w:sz="0" w:space="0" w:color="auto"/>
      </w:divBdr>
    </w:div>
    <w:div w:id="1678337853">
      <w:bodyDiv w:val="1"/>
      <w:marLeft w:val="0"/>
      <w:marRight w:val="0"/>
      <w:marTop w:val="0"/>
      <w:marBottom w:val="0"/>
      <w:divBdr>
        <w:top w:val="none" w:sz="0" w:space="0" w:color="auto"/>
        <w:left w:val="none" w:sz="0" w:space="0" w:color="auto"/>
        <w:bottom w:val="none" w:sz="0" w:space="0" w:color="auto"/>
        <w:right w:val="none" w:sz="0" w:space="0" w:color="auto"/>
      </w:divBdr>
    </w:div>
    <w:div w:id="1741367302">
      <w:bodyDiv w:val="1"/>
      <w:marLeft w:val="0"/>
      <w:marRight w:val="0"/>
      <w:marTop w:val="0"/>
      <w:marBottom w:val="0"/>
      <w:divBdr>
        <w:top w:val="none" w:sz="0" w:space="0" w:color="auto"/>
        <w:left w:val="none" w:sz="0" w:space="0" w:color="auto"/>
        <w:bottom w:val="none" w:sz="0" w:space="0" w:color="auto"/>
        <w:right w:val="none" w:sz="0" w:space="0" w:color="auto"/>
      </w:divBdr>
    </w:div>
    <w:div w:id="2078817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png"/><Relationship Id="rId21" Type="http://schemas.openxmlformats.org/officeDocument/2006/relationships/image" Target="media/image7.gif"/><Relationship Id="rId42" Type="http://schemas.openxmlformats.org/officeDocument/2006/relationships/image" Target="media/image25.png"/><Relationship Id="rId47" Type="http://schemas.openxmlformats.org/officeDocument/2006/relationships/footer" Target="footer3.xml"/><Relationship Id="rId63" Type="http://schemas.openxmlformats.org/officeDocument/2006/relationships/image" Target="media/image30.PNG"/><Relationship Id="rId68" Type="http://schemas.openxmlformats.org/officeDocument/2006/relationships/image" Target="media/image34.PNG"/><Relationship Id="rId84" Type="http://schemas.openxmlformats.org/officeDocument/2006/relationships/image" Target="media/image45.PNG"/><Relationship Id="rId89" Type="http://schemas.openxmlformats.org/officeDocument/2006/relationships/image" Target="media/image50.PNG"/><Relationship Id="rId16" Type="http://schemas.openxmlformats.org/officeDocument/2006/relationships/image" Target="media/image1.png"/><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footer" Target="footer6.xml"/><Relationship Id="rId58" Type="http://schemas.openxmlformats.org/officeDocument/2006/relationships/header" Target="header8.xml"/><Relationship Id="rId74" Type="http://schemas.openxmlformats.org/officeDocument/2006/relationships/header" Target="header11.xml"/><Relationship Id="rId79" Type="http://schemas.openxmlformats.org/officeDocument/2006/relationships/image" Target="media/image40.png"/><Relationship Id="rId5" Type="http://schemas.openxmlformats.org/officeDocument/2006/relationships/webSettings" Target="webSettings.xml"/><Relationship Id="rId90" Type="http://schemas.openxmlformats.org/officeDocument/2006/relationships/fontTable" Target="fontTable.xml"/><Relationship Id="rId19" Type="http://schemas.openxmlformats.org/officeDocument/2006/relationships/image" Target="media/image4.png"/><Relationship Id="rId22" Type="http://schemas.openxmlformats.org/officeDocument/2006/relationships/image" Target="media/image6.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image" Target="media/image26.png"/><Relationship Id="rId48" Type="http://schemas.openxmlformats.org/officeDocument/2006/relationships/footer" Target="footer4.xml"/><Relationship Id="rId56" Type="http://schemas.openxmlformats.org/officeDocument/2006/relationships/image" Target="media/image29.png"/><Relationship Id="rId64" Type="http://schemas.openxmlformats.org/officeDocument/2006/relationships/image" Target="media/image32.gif"/><Relationship Id="rId69" Type="http://schemas.openxmlformats.org/officeDocument/2006/relationships/image" Target="media/image35.png"/><Relationship Id="rId77" Type="http://schemas.openxmlformats.org/officeDocument/2006/relationships/footer" Target="footer10.xml"/><Relationship Id="rId8" Type="http://schemas.openxmlformats.org/officeDocument/2006/relationships/header" Target="header1.xml"/><Relationship Id="rId51" Type="http://schemas.openxmlformats.org/officeDocument/2006/relationships/header" Target="header6.xml"/><Relationship Id="rId72" Type="http://schemas.openxmlformats.org/officeDocument/2006/relationships/image" Target="media/image38.png"/><Relationship Id="rId80" Type="http://schemas.openxmlformats.org/officeDocument/2006/relationships/image" Target="media/image41.png"/><Relationship Id="rId85" Type="http://schemas.openxmlformats.org/officeDocument/2006/relationships/image" Target="media/image46.png"/><Relationship Id="rId3" Type="http://schemas.openxmlformats.org/officeDocument/2006/relationships/styles" Target="styles.xml"/><Relationship Id="rId17" Type="http://schemas.openxmlformats.org/officeDocument/2006/relationships/image" Target="media/image2.png"/><Relationship Id="rId25" Type="http://schemas.openxmlformats.org/officeDocument/2006/relationships/image" Target="media/image9.gif"/><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header" Target="header3.xml"/><Relationship Id="rId59" Type="http://schemas.openxmlformats.org/officeDocument/2006/relationships/header" Target="header9.xml"/><Relationship Id="rId67" Type="http://schemas.openxmlformats.org/officeDocument/2006/relationships/image" Target="media/image33.PNG"/><Relationship Id="rId20" Type="http://schemas.openxmlformats.org/officeDocument/2006/relationships/image" Target="media/image5.png"/><Relationship Id="rId41" Type="http://schemas.openxmlformats.org/officeDocument/2006/relationships/image" Target="media/image24.png"/><Relationship Id="rId54" Type="http://schemas.openxmlformats.org/officeDocument/2006/relationships/header" Target="header7.xml"/><Relationship Id="rId62" Type="http://schemas.openxmlformats.org/officeDocument/2006/relationships/header" Target="header10.xml"/><Relationship Id="rId70" Type="http://schemas.openxmlformats.org/officeDocument/2006/relationships/image" Target="media/image36.png"/><Relationship Id="rId75" Type="http://schemas.openxmlformats.org/officeDocument/2006/relationships/header" Target="header12.xml"/><Relationship Id="rId83" Type="http://schemas.openxmlformats.org/officeDocument/2006/relationships/image" Target="media/image44.PNG"/><Relationship Id="rId88" Type="http://schemas.openxmlformats.org/officeDocument/2006/relationships/image" Target="media/image49.PNG"/><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gif"/><Relationship Id="rId23" Type="http://schemas.openxmlformats.org/officeDocument/2006/relationships/image" Target="media/image7.png"/><Relationship Id="rId28" Type="http://schemas.openxmlformats.org/officeDocument/2006/relationships/image" Target="media/image11.png"/><Relationship Id="rId36" Type="http://schemas.openxmlformats.org/officeDocument/2006/relationships/image" Target="media/image19.png"/><Relationship Id="rId49" Type="http://schemas.openxmlformats.org/officeDocument/2006/relationships/header" Target="header4.xml"/><Relationship Id="rId57" Type="http://schemas.openxmlformats.org/officeDocument/2006/relationships/image" Target="media/image31.gif"/><Relationship Id="rId10" Type="http://schemas.openxmlformats.org/officeDocument/2006/relationships/footer" Target="footer2.xml"/><Relationship Id="rId31" Type="http://schemas.openxmlformats.org/officeDocument/2006/relationships/image" Target="media/image14.png"/><Relationship Id="rId44" Type="http://schemas.openxmlformats.org/officeDocument/2006/relationships/image" Target="media/image27.png"/><Relationship Id="rId52" Type="http://schemas.openxmlformats.org/officeDocument/2006/relationships/footer" Target="footer5.xml"/><Relationship Id="rId60" Type="http://schemas.openxmlformats.org/officeDocument/2006/relationships/footer" Target="footer7.xml"/><Relationship Id="rId65" Type="http://schemas.openxmlformats.org/officeDocument/2006/relationships/image" Target="media/image31.PNG"/><Relationship Id="rId73" Type="http://schemas.openxmlformats.org/officeDocument/2006/relationships/image" Target="media/image39.png"/><Relationship Id="rId78" Type="http://schemas.openxmlformats.org/officeDocument/2006/relationships/header" Target="header13.xml"/><Relationship Id="rId81" Type="http://schemas.openxmlformats.org/officeDocument/2006/relationships/image" Target="media/image42.png"/><Relationship Id="rId86" Type="http://schemas.openxmlformats.org/officeDocument/2006/relationships/image" Target="media/image47.png"/><Relationship Id="rId4" Type="http://schemas.openxmlformats.org/officeDocument/2006/relationships/settings" Target="settings.xml"/><Relationship Id="rId9" Type="http://schemas.openxmlformats.org/officeDocument/2006/relationships/footer" Target="footer1.xml"/><Relationship Id="rId18" Type="http://schemas.openxmlformats.org/officeDocument/2006/relationships/image" Target="media/image3.png"/><Relationship Id="rId39" Type="http://schemas.openxmlformats.org/officeDocument/2006/relationships/image" Target="media/image22.png"/><Relationship Id="rId34" Type="http://schemas.openxmlformats.org/officeDocument/2006/relationships/image" Target="media/image17.png"/><Relationship Id="rId50" Type="http://schemas.openxmlformats.org/officeDocument/2006/relationships/header" Target="header5.xml"/><Relationship Id="rId55" Type="http://schemas.openxmlformats.org/officeDocument/2006/relationships/image" Target="media/image28.png"/><Relationship Id="rId76" Type="http://schemas.openxmlformats.org/officeDocument/2006/relationships/footer" Target="footer9.xml"/><Relationship Id="rId7" Type="http://schemas.openxmlformats.org/officeDocument/2006/relationships/endnotes" Target="endnotes.xml"/><Relationship Id="rId71" Type="http://schemas.openxmlformats.org/officeDocument/2006/relationships/image" Target="media/image37.png"/><Relationship Id="rId2" Type="http://schemas.openxmlformats.org/officeDocument/2006/relationships/numbering" Target="numbering.xml"/><Relationship Id="rId29" Type="http://schemas.openxmlformats.org/officeDocument/2006/relationships/image" Target="media/image12.png"/><Relationship Id="rId24" Type="http://schemas.openxmlformats.org/officeDocument/2006/relationships/image" Target="media/image8.png"/><Relationship Id="rId40" Type="http://schemas.openxmlformats.org/officeDocument/2006/relationships/image" Target="media/image23.png"/><Relationship Id="rId45" Type="http://schemas.openxmlformats.org/officeDocument/2006/relationships/header" Target="header2.xml"/><Relationship Id="rId66" Type="http://schemas.openxmlformats.org/officeDocument/2006/relationships/image" Target="media/image32.PNG"/><Relationship Id="rId87" Type="http://schemas.openxmlformats.org/officeDocument/2006/relationships/image" Target="media/image48.png"/><Relationship Id="rId61" Type="http://schemas.openxmlformats.org/officeDocument/2006/relationships/footer" Target="footer8.xml"/><Relationship Id="rId82" Type="http://schemas.openxmlformats.org/officeDocument/2006/relationships/image" Target="media/image43.PNG"/></Relationships>
</file>

<file path=word/_rels/footnotes.xml.rels><?xml version="1.0" encoding="UTF-8" standalone="yes"?>
<Relationships xmlns="http://schemas.openxmlformats.org/package/2006/relationships"><Relationship Id="rId3" Type="http://schemas.openxmlformats.org/officeDocument/2006/relationships/hyperlink" Target="http://www.obnova.gov.rs/uploads/useruploads/Documents/Kancelarija-za-pomoc-poplavljenih-podrucja-infograf-15-04-2016-srb.pdf" TargetMode="External"/><Relationship Id="rId2" Type="http://schemas.openxmlformats.org/officeDocument/2006/relationships/hyperlink" Target="http://www.mfin.gov.rs/pages/issue.php?id=8382" TargetMode="External"/><Relationship Id="rId1" Type="http://schemas.openxmlformats.org/officeDocument/2006/relationships/hyperlink" Target="http://www.mfin.gov.rs/UserFiles/File/strategije/2018/Fiskalna%20strategija%202018.pdf" TargetMode="External"/><Relationship Id="rId4" Type="http://schemas.openxmlformats.org/officeDocument/2006/relationships/hyperlink" Target="http://www.mfin.gov.rs/pages/article.php?id=862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AF552F-5461-44C2-89A8-8A0132863A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769</TotalTime>
  <Pages>81</Pages>
  <Words>34392</Words>
  <Characters>196036</Characters>
  <Application>Microsoft Office Word</Application>
  <DocSecurity>0</DocSecurity>
  <Lines>1633</Lines>
  <Paragraphs>459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229969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Nenad Jevtović</dc:creator>
  <cp:keywords/>
  <dc:description/>
  <cp:lastModifiedBy>Snezana Marinovic</cp:lastModifiedBy>
  <cp:revision>206</cp:revision>
  <cp:lastPrinted>2018-11-19T16:16:00Z</cp:lastPrinted>
  <dcterms:created xsi:type="dcterms:W3CDTF">2018-11-13T08:06:00Z</dcterms:created>
  <dcterms:modified xsi:type="dcterms:W3CDTF">2018-11-19T16:41:00Z</dcterms:modified>
</cp:coreProperties>
</file>