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B0" w:rsidRDefault="00207EB0" w:rsidP="00D41B1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</w:p>
    <w:p w:rsidR="00E11ED1" w:rsidRDefault="00207EB0" w:rsidP="00D41B1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ПРЕДЛОГ</w:t>
      </w:r>
      <w:r w:rsidR="00E65151" w:rsidRPr="005925C5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  <w:r w:rsidR="00D41B1D" w:rsidRPr="005925C5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ЗАКОНА</w:t>
      </w:r>
    </w:p>
    <w:p w:rsidR="00B37EBD" w:rsidRDefault="00D41B1D" w:rsidP="00D41B1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 </w:t>
      </w:r>
    </w:p>
    <w:p w:rsidR="00D41B1D" w:rsidRDefault="00D41B1D" w:rsidP="00D41B1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 xml:space="preserve">О ИЗМЕНАМА И ДОПУНАМА </w:t>
      </w:r>
      <w:r w:rsidR="00E11ED1">
        <w:rPr>
          <w:rFonts w:ascii="Times New Roman" w:eastAsia="Calibri" w:hAnsi="Times New Roman" w:cs="Times New Roman"/>
          <w:kern w:val="36"/>
          <w:sz w:val="24"/>
          <w:szCs w:val="24"/>
          <w:lang w:eastAsia="sr-Latn-CS"/>
        </w:rPr>
        <w:t xml:space="preserve"> </w:t>
      </w:r>
      <w:r w:rsidRPr="005925C5"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  <w:t>ЗАКОНА О ИГРАМА НА СРЕЋУ</w:t>
      </w:r>
    </w:p>
    <w:p w:rsidR="00207EB0" w:rsidRPr="005925C5" w:rsidRDefault="00207EB0" w:rsidP="00D41B1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1. </w:t>
      </w:r>
    </w:p>
    <w:p w:rsidR="00D41B1D" w:rsidRPr="005925C5" w:rsidRDefault="00D41B1D" w:rsidP="004D3EF6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Закону о 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играма на срећу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(„Службени гласник РС”, </w:t>
      </w:r>
      <w:r w:rsidR="00F47A9A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бр. 88/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11</w:t>
      </w:r>
      <w:r w:rsidR="00207EB0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93/12-</w:t>
      </w:r>
      <w:r w:rsidR="00F653C8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др. з</w:t>
      </w:r>
      <w:r w:rsidR="00F47A9A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акон и 30/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18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), у члану</w:t>
      </w:r>
      <w:r w:rsidRPr="005925C5">
        <w:rPr>
          <w:rFonts w:ascii="Times New Roman" w:eastAsia="Calibri" w:hAnsi="Times New Roman" w:cs="Times New Roman"/>
          <w:sz w:val="24"/>
          <w:szCs w:val="24"/>
          <w:lang w:eastAsia="sr-Latn-CS"/>
        </w:rPr>
        <w:t xml:space="preserve"> 1. 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додаје се </w:t>
      </w:r>
      <w:r w:rsidR="00E11ED1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став 2,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који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гласи:</w:t>
      </w:r>
    </w:p>
    <w:p w:rsidR="00D41B1D" w:rsidRDefault="00D41B1D" w:rsidP="00F22663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„</w:t>
      </w:r>
      <w:r w:rsidR="00207EB0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Овим законом </w:t>
      </w:r>
      <w:r w:rsidR="00207EB0" w:rsidRPr="00E50F96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оснива</w:t>
      </w:r>
      <w:r w:rsidR="004D3EF6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 се Управа за игре на срећу (у даљем тексту: Управа), као орган управе у саставу министарства надлежног за послове финансија и уређуј</w:t>
      </w:r>
      <w:r w:rsidR="00E50F96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е њена надлежност</w:t>
      </w:r>
      <w:r w:rsidR="008B6F70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.”</w:t>
      </w:r>
      <w:r w:rsidR="00207EB0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.</w:t>
      </w: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Pr="005925C5">
        <w:rPr>
          <w:rFonts w:ascii="Times New Roman" w:eastAsia="Calibri" w:hAnsi="Times New Roman" w:cs="Times New Roman"/>
          <w:sz w:val="24"/>
          <w:szCs w:val="24"/>
          <w:lang w:eastAsia="sr-Latn-CS"/>
        </w:rPr>
        <w:t>2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D41B1D" w:rsidRPr="005925C5" w:rsidRDefault="00D41B1D" w:rsidP="00D41B1D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У члану </w:t>
      </w:r>
      <w:r w:rsidR="003D2E0C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9. тачка 1)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</w:t>
      </w:r>
      <w:r w:rsidR="003D2E0C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 xml:space="preserve">за игре на срећу, која је као орган управе у саставу Министарства (у даљем тексту: Управа), образована Законом о играма на срећу („Службени </w:t>
      </w:r>
      <w:r w:rsidR="00207EB0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гласник РС”, бр. 84/04, 85/05-</w:t>
      </w:r>
      <w:r w:rsidR="003D2E0C" w:rsidRPr="005925C5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др. закон и 95/10),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</w:t>
      </w:r>
      <w:r w:rsidR="003D2E0C" w:rsidRPr="005925C5">
        <w:rPr>
          <w:rFonts w:ascii="Times New Roman" w:hAnsi="Times New Roman" w:cs="Times New Roman"/>
          <w:sz w:val="24"/>
          <w:szCs w:val="24"/>
        </w:rPr>
        <w:t xml:space="preserve"> </w:t>
      </w:r>
      <w:r w:rsidR="003D2E0C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бришу се.</w:t>
      </w:r>
    </w:p>
    <w:p w:rsidR="00D41B1D" w:rsidRPr="005925C5" w:rsidRDefault="00D41B1D" w:rsidP="00D41B1D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3.</w:t>
      </w:r>
    </w:p>
    <w:p w:rsidR="0030038F" w:rsidRPr="005925C5" w:rsidRDefault="003D2E0C" w:rsidP="00D41B1D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У члану 11</w:t>
      </w:r>
      <w:r w:rsidR="00D41B1D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додаје се став 2</w:t>
      </w:r>
      <w:r w:rsidR="00E11ED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</w:t>
      </w:r>
      <w:r w:rsidR="00D41B1D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који гласи:</w:t>
      </w:r>
      <w:r w:rsidRPr="00592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B1D" w:rsidRPr="005925C5" w:rsidRDefault="003D2E0C" w:rsidP="0030038F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„Управа самостално извршава послове из става 1. овог члана на целокупној територији Републике Србије и организује се тако да обезбеђује фун</w:t>
      </w:r>
      <w:r w:rsidR="00BB774F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к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ционално јединство у спровођењу прописа у области игара на срећу</w:t>
      </w:r>
      <w:r w:rsidR="0030038F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.”</w:t>
      </w:r>
      <w:r w:rsidR="00207EB0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Члан 4.</w:t>
      </w:r>
    </w:p>
    <w:p w:rsidR="00D41B1D" w:rsidRPr="005925C5" w:rsidRDefault="00D41B1D" w:rsidP="005B758E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У члану </w:t>
      </w:r>
      <w:r w:rsidR="005B758E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12</w:t>
      </w:r>
      <w:r w:rsidR="00207EB0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F33E32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после тачке 6) </w:t>
      </w:r>
      <w:r w:rsidR="0078377A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додаје се тачка 6а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)</w:t>
      </w:r>
      <w:r w:rsidR="00E11ED1">
        <w:rPr>
          <w:rFonts w:ascii="Times New Roman" w:eastAsia="Calibri" w:hAnsi="Times New Roman" w:cs="Times New Roman"/>
          <w:sz w:val="24"/>
          <w:szCs w:val="24"/>
          <w:lang w:eastAsia="sr-Latn-CS"/>
        </w:rPr>
        <w:t>,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78377A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која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гласи: </w:t>
      </w:r>
    </w:p>
    <w:p w:rsidR="00D41B1D" w:rsidRPr="005925C5" w:rsidRDefault="0078377A" w:rsidP="00F33E32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„6а) врши надзор над применом одредаба закона и других прописа у области игара на срећу</w:t>
      </w:r>
      <w:r w:rsidR="00E50F96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као и контролу спречавања прања новца и финансирања тероризма</w:t>
      </w:r>
      <w:r w:rsidR="00D41B1D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;”.</w:t>
      </w:r>
    </w:p>
    <w:p w:rsidR="00F33E32" w:rsidRPr="005925C5" w:rsidRDefault="00F33E32" w:rsidP="00F33E32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У тачки 17) после речи: „</w:t>
      </w:r>
      <w:r w:rsidR="00DC2824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води евиденције”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додају се речи: „и регистре</w:t>
      </w:r>
      <w:r w:rsidR="00DC2824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”.</w:t>
      </w:r>
    </w:p>
    <w:p w:rsidR="006B6DFD" w:rsidRPr="005925C5" w:rsidRDefault="006B6DFD" w:rsidP="00F33E32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После тачке 17) додају се тач.</w:t>
      </w:r>
      <w:r w:rsidR="00DC2824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17а)</w:t>
      </w:r>
      <w:r w:rsidR="00012DDE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-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</w:t>
      </w:r>
      <w:r w:rsidR="00445A1B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17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в)</w:t>
      </w:r>
      <w:r w:rsidR="00E11ED1">
        <w:rPr>
          <w:rFonts w:ascii="Times New Roman" w:eastAsia="Calibri" w:hAnsi="Times New Roman" w:cs="Times New Roman"/>
          <w:sz w:val="24"/>
          <w:szCs w:val="24"/>
          <w:lang w:eastAsia="sr-Latn-CS"/>
        </w:rPr>
        <w:t>,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које гласе</w:t>
      </w:r>
      <w:r w:rsidR="00DC2824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DC2824" w:rsidRPr="005925C5" w:rsidRDefault="00DC2824" w:rsidP="00F33E32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„</w:t>
      </w:r>
      <w:r w:rsidR="004D667D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17а)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планира и спроводи обуку запослених;</w:t>
      </w:r>
      <w:r w:rsidRPr="00592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DFD" w:rsidRPr="005925C5" w:rsidRDefault="006B6DFD" w:rsidP="006B6DFD">
      <w:pPr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17б) врши унутрашњу контролу над применом закона и других прописа од стране њених организационих јединица, као и унутрашњу контролу рада и понашања запослених у вези са радом и у случајевима када се утврди противправно поступање или понашање покреће и води одговарајуће поступке ради утврђивања одговорности;</w:t>
      </w:r>
    </w:p>
    <w:p w:rsidR="00D41B1D" w:rsidRPr="005925C5" w:rsidRDefault="006B6DFD" w:rsidP="006B6DFD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17в) обезбеђује јавност у раду;”.</w:t>
      </w:r>
    </w:p>
    <w:p w:rsidR="006B6DFD" w:rsidRPr="005925C5" w:rsidRDefault="006B6DFD" w:rsidP="006B6DFD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 </w:t>
      </w:r>
      <w:r w:rsidR="00E50F96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5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</w:t>
      </w:r>
    </w:p>
    <w:p w:rsidR="00D41B1D" w:rsidRPr="005925C5" w:rsidRDefault="00D47269" w:rsidP="00D47269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ab/>
        <w:t>У члану 60. став 5</w:t>
      </w:r>
      <w:r w:rsidR="00D41B1D"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="009924A2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речи: „и Пореској управиˮ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бришу се.</w:t>
      </w:r>
    </w:p>
    <w:p w:rsidR="00D41B1D" w:rsidRPr="005925C5" w:rsidRDefault="00D41B1D" w:rsidP="00D41B1D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D41B1D" w:rsidRPr="005925C5" w:rsidRDefault="00D41B1D" w:rsidP="00D41B1D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</w:t>
      </w:r>
      <w:r w:rsidR="00E50F96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6</w:t>
      </w: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424DD8" w:rsidRPr="005925C5" w:rsidRDefault="00D41B1D" w:rsidP="00424D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После</w:t>
      </w:r>
      <w:r w:rsidR="009924A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члана 118. додају</w:t>
      </w:r>
      <w:r w:rsidR="00424DD8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се</w:t>
      </w:r>
      <w:r w:rsidR="00E11ED1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о</w:t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дељак</w:t>
      </w:r>
      <w:r w:rsidR="00424DD8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I</w:t>
      </w:r>
      <w:r w:rsidR="009924A2">
        <w:rPr>
          <w:rFonts w:ascii="Times New Roman" w:eastAsia="Calibri" w:hAnsi="Times New Roman" w:cs="Times New Roman"/>
          <w:color w:val="000000"/>
          <w:sz w:val="24"/>
          <w:szCs w:val="24"/>
          <w:lang w:val="sr-Latn-RS"/>
        </w:rPr>
        <w:t>I</w:t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а</w:t>
      </w:r>
      <w:r w:rsidR="009924A2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НАДЗОР, називи чл.118а - 118з </w:t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и чл. 118а - </w:t>
      </w:r>
      <w:r w:rsidR="00424DD8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118з</w:t>
      </w:r>
      <w:r w:rsidR="00197A55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</w:t>
      </w:r>
      <w:r w:rsidR="00424DD8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који гласе:</w:t>
      </w:r>
    </w:p>
    <w:p w:rsidR="00424DD8" w:rsidRPr="009924A2" w:rsidRDefault="00424DD8" w:rsidP="009924A2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proofErr w:type="spellStart"/>
      <w:r w:rsidR="009924A2">
        <w:rPr>
          <w:rFonts w:ascii="Times New Roman" w:eastAsia="Calibri" w:hAnsi="Times New Roman" w:cs="Times New Roman"/>
          <w:sz w:val="24"/>
          <w:szCs w:val="24"/>
        </w:rPr>
        <w:t>IIа</w:t>
      </w:r>
      <w:proofErr w:type="spellEnd"/>
      <w:r w:rsidR="00992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24A2">
        <w:rPr>
          <w:rFonts w:ascii="Times New Roman" w:eastAsia="Calibri" w:hAnsi="Times New Roman" w:cs="Times New Roman"/>
          <w:sz w:val="24"/>
          <w:szCs w:val="24"/>
          <w:lang w:val="sr-Cyrl-RS"/>
        </w:rPr>
        <w:t>НАДЗОР</w:t>
      </w: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Надлежност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вршењу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</w:p>
    <w:p w:rsidR="00424DD8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0F96" w:rsidRPr="005925C5" w:rsidRDefault="00E50F96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lastRenderedPageBreak/>
        <w:t>Члан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118а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теренски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применом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овог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прикупљањем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обрадом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анализом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инфор</w:t>
      </w:r>
      <w:r w:rsidR="00792D8F">
        <w:rPr>
          <w:rFonts w:ascii="Times New Roman" w:eastAsia="Calibri" w:hAnsi="Times New Roman" w:cs="Times New Roman"/>
          <w:sz w:val="24"/>
          <w:szCs w:val="24"/>
        </w:rPr>
        <w:t>мација</w:t>
      </w:r>
      <w:proofErr w:type="spellEnd"/>
      <w:r w:rsidR="00792D8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792D8F">
        <w:rPr>
          <w:rFonts w:ascii="Times New Roman" w:eastAsia="Calibri" w:hAnsi="Times New Roman" w:cs="Times New Roman"/>
          <w:sz w:val="24"/>
          <w:szCs w:val="24"/>
        </w:rPr>
        <w:t>документације</w:t>
      </w:r>
      <w:proofErr w:type="spellEnd"/>
      <w:r w:rsidR="00792D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2D8F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="00792D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2D8F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792D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2D8F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достављају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</w:t>
      </w:r>
      <w:r w:rsidR="008A50DA">
        <w:rPr>
          <w:rFonts w:ascii="Times New Roman" w:eastAsia="Calibri" w:hAnsi="Times New Roman" w:cs="Times New Roman"/>
          <w:sz w:val="24"/>
          <w:szCs w:val="24"/>
        </w:rPr>
        <w:t>тране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приређивача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31.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2,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60.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5,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61.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67.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6,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68.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5,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85.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5.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100.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став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5.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овог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основу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добијених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државних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органа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ималаца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јавних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овлашћења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11ED1" w:rsidRDefault="00424DD8" w:rsidP="00E50F96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Министар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финансија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ближе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прописује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рок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поступак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начин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достављања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0F96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="00E50F96" w:rsidRPr="00E50F96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E50F9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50F96" w:rsidRPr="005925C5">
        <w:rPr>
          <w:rFonts w:ascii="Times New Roman" w:eastAsia="Calibri" w:hAnsi="Times New Roman" w:cs="Times New Roman"/>
          <w:sz w:val="24"/>
          <w:szCs w:val="24"/>
        </w:rPr>
        <w:t>инфор</w:t>
      </w:r>
      <w:r w:rsidR="00E50F96">
        <w:rPr>
          <w:rFonts w:ascii="Times New Roman" w:eastAsia="Calibri" w:hAnsi="Times New Roman" w:cs="Times New Roman"/>
          <w:sz w:val="24"/>
          <w:szCs w:val="24"/>
        </w:rPr>
        <w:t>мација</w:t>
      </w:r>
      <w:proofErr w:type="spellEnd"/>
      <w:r w:rsidR="00E50F9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E50F96">
        <w:rPr>
          <w:rFonts w:ascii="Times New Roman" w:eastAsia="Calibri" w:hAnsi="Times New Roman" w:cs="Times New Roman"/>
          <w:sz w:val="24"/>
          <w:szCs w:val="24"/>
        </w:rPr>
        <w:t>документације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овог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11ED1" w:rsidRPr="005925C5" w:rsidRDefault="00E11ED1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Појам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</w:p>
    <w:p w:rsidR="00424DD8" w:rsidRPr="005925C5" w:rsidRDefault="004401A4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послови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обављају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канцеларијском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надзору</w:t>
      </w:r>
      <w:proofErr w:type="spellEnd"/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118б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r w:rsidR="007B778A">
        <w:rPr>
          <w:rFonts w:ascii="Times New Roman" w:eastAsia="Calibri" w:hAnsi="Times New Roman" w:cs="Times New Roman"/>
          <w:sz w:val="24"/>
          <w:szCs w:val="24"/>
        </w:rPr>
        <w:t>дзор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78A">
        <w:rPr>
          <w:rFonts w:ascii="Times New Roman" w:eastAsia="Calibri" w:hAnsi="Times New Roman" w:cs="Times New Roman"/>
          <w:sz w:val="24"/>
          <w:szCs w:val="24"/>
        </w:rPr>
        <w:t>представљају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78A">
        <w:rPr>
          <w:rFonts w:ascii="Times New Roman" w:eastAsia="Calibri" w:hAnsi="Times New Roman" w:cs="Times New Roman"/>
          <w:sz w:val="24"/>
          <w:szCs w:val="24"/>
        </w:rPr>
        <w:t>радње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78A">
        <w:rPr>
          <w:rFonts w:ascii="Times New Roman" w:eastAsia="Calibri" w:hAnsi="Times New Roman" w:cs="Times New Roman"/>
          <w:sz w:val="24"/>
          <w:szCs w:val="24"/>
        </w:rPr>
        <w:t>којима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78A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проверава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потпуност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усклађеност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законом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</w:t>
      </w:r>
      <w:r w:rsidR="008A50DA">
        <w:rPr>
          <w:rFonts w:ascii="Times New Roman" w:eastAsia="Calibri" w:hAnsi="Times New Roman" w:cs="Times New Roman"/>
          <w:sz w:val="24"/>
          <w:szCs w:val="24"/>
        </w:rPr>
        <w:t>атака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доставља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упоређивањем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подацима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службених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евиденција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води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којима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располаже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</w:t>
      </w:r>
      <w:r w:rsidR="007B778A">
        <w:rPr>
          <w:rFonts w:ascii="Times New Roman" w:eastAsia="Calibri" w:hAnsi="Times New Roman" w:cs="Times New Roman"/>
          <w:sz w:val="24"/>
          <w:szCs w:val="24"/>
        </w:rPr>
        <w:t>ки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78A" w:rsidRPr="008A50DA">
        <w:rPr>
          <w:rFonts w:ascii="Times New Roman" w:eastAsia="Calibri" w:hAnsi="Times New Roman" w:cs="Times New Roman"/>
          <w:sz w:val="24"/>
          <w:szCs w:val="24"/>
        </w:rPr>
        <w:t>надзор</w:t>
      </w:r>
      <w:proofErr w:type="spellEnd"/>
      <w:r w:rsidR="009924A2" w:rsidRPr="008A50D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7B778A" w:rsidRP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78A" w:rsidRPr="008A50DA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="007B778A">
        <w:rPr>
          <w:rFonts w:ascii="Times New Roman" w:eastAsia="Calibri" w:hAnsi="Times New Roman" w:cs="Times New Roman"/>
          <w:sz w:val="24"/>
          <w:szCs w:val="24"/>
        </w:rPr>
        <w:t>просторијама</w:t>
      </w:r>
      <w:proofErr w:type="spellEnd"/>
      <w:r w:rsidR="007B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78A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проверава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обрађује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математичка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тачност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формална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исправност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потпуност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дневних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месечних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годишњих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промету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доставља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писаној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електронској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форми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,</w:t>
      </w:r>
      <w:r w:rsidR="003E2AA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складу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законом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доставља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2AA9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9924A2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обраде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дневних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месечних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годишњих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промету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утврди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постоји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математ</w:t>
      </w:r>
      <w:r w:rsidR="00AC0977">
        <w:rPr>
          <w:rFonts w:ascii="Times New Roman" w:eastAsia="Calibri" w:hAnsi="Times New Roman" w:cs="Times New Roman"/>
          <w:sz w:val="24"/>
          <w:szCs w:val="24"/>
        </w:rPr>
        <w:t>ичка</w:t>
      </w:r>
      <w:proofErr w:type="spellEnd"/>
      <w:r w:rsidR="00AC09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C0977">
        <w:rPr>
          <w:rFonts w:ascii="Times New Roman" w:eastAsia="Calibri" w:hAnsi="Times New Roman" w:cs="Times New Roman"/>
          <w:sz w:val="24"/>
          <w:szCs w:val="24"/>
        </w:rPr>
        <w:t>грешка</w:t>
      </w:r>
      <w:proofErr w:type="spellEnd"/>
      <w:r w:rsidR="00AC09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0977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ће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донети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решење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којим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налаже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грешку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отклони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  <w:r w:rsidR="009924A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</w:p>
    <w:p w:rsidR="00424DD8" w:rsidRPr="009924A2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обраде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дневних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месечних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годишњих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промету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утврди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формално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неисправни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погрешно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поп</w:t>
      </w:r>
      <w:r w:rsidR="009924A2">
        <w:rPr>
          <w:rFonts w:ascii="Times New Roman" w:eastAsia="Calibri" w:hAnsi="Times New Roman" w:cs="Times New Roman"/>
          <w:sz w:val="24"/>
          <w:szCs w:val="24"/>
        </w:rPr>
        <w:t>уњени</w:t>
      </w:r>
      <w:proofErr w:type="spellEnd"/>
      <w:r w:rsidR="00992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24A2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992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24A2">
        <w:rPr>
          <w:rFonts w:ascii="Times New Roman" w:eastAsia="Calibri" w:hAnsi="Times New Roman" w:cs="Times New Roman"/>
          <w:sz w:val="24"/>
          <w:szCs w:val="24"/>
        </w:rPr>
        <w:t>непотпуни</w:t>
      </w:r>
      <w:proofErr w:type="spellEnd"/>
      <w:r w:rsidR="009924A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924A2"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 w:rsidR="00992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924A2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E50F9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обавештава при</w:t>
      </w:r>
      <w:r w:rsidR="004E0C60">
        <w:rPr>
          <w:rFonts w:ascii="Times New Roman" w:eastAsia="Calibri" w:hAnsi="Times New Roman" w:cs="Times New Roman"/>
          <w:sz w:val="24"/>
          <w:szCs w:val="24"/>
          <w:lang w:val="sr-Cyrl-RS"/>
        </w:rPr>
        <w:t>ређивача</w:t>
      </w:r>
      <w:r w:rsidR="00ED02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D02DA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ED02DA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="00ED02DA">
        <w:rPr>
          <w:rFonts w:ascii="Times New Roman" w:eastAsia="Calibri" w:hAnsi="Times New Roman" w:cs="Times New Roman"/>
          <w:sz w:val="24"/>
          <w:szCs w:val="24"/>
        </w:rPr>
        <w:t>року</w:t>
      </w:r>
      <w:proofErr w:type="spellEnd"/>
      <w:r w:rsidR="00ED02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D02DA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ED02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D02DA">
        <w:rPr>
          <w:rFonts w:ascii="Times New Roman" w:eastAsia="Calibri" w:hAnsi="Times New Roman" w:cs="Times New Roman"/>
          <w:sz w:val="24"/>
          <w:szCs w:val="24"/>
        </w:rPr>
        <w:t>осам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отклони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грешке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допуни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  <w:r w:rsidR="009924A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</w:t>
      </w:r>
      <w:r w:rsidR="00923F03">
        <w:rPr>
          <w:rFonts w:ascii="Times New Roman" w:eastAsia="Calibri" w:hAnsi="Times New Roman" w:cs="Times New Roman"/>
          <w:sz w:val="24"/>
          <w:szCs w:val="24"/>
        </w:rPr>
        <w:t>оступи</w:t>
      </w:r>
      <w:proofErr w:type="spellEnd"/>
      <w:r w:rsidR="0092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23F03"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 w:rsidR="00923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23F03">
        <w:rPr>
          <w:rFonts w:ascii="Times New Roman" w:eastAsia="Calibri" w:hAnsi="Times New Roman" w:cs="Times New Roman"/>
          <w:sz w:val="24"/>
          <w:szCs w:val="24"/>
        </w:rPr>
        <w:t>обавештењу</w:t>
      </w:r>
      <w:proofErr w:type="spellEnd"/>
      <w:r w:rsidR="00206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06A1C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206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06A1C">
        <w:rPr>
          <w:rFonts w:ascii="Times New Roman" w:eastAsia="Calibri" w:hAnsi="Times New Roman" w:cs="Times New Roman"/>
          <w:sz w:val="24"/>
          <w:szCs w:val="24"/>
        </w:rPr>
        <w:t>става</w:t>
      </w:r>
      <w:proofErr w:type="spellEnd"/>
      <w:r w:rsidR="00206A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6A1C" w:rsidRPr="008A50DA">
        <w:rPr>
          <w:rFonts w:ascii="Times New Roman" w:eastAsia="Calibri" w:hAnsi="Times New Roman" w:cs="Times New Roman"/>
          <w:sz w:val="24"/>
          <w:szCs w:val="24"/>
        </w:rPr>
        <w:t>5</w:t>
      </w:r>
      <w:r w:rsidR="00042A5B" w:rsidRPr="008A50DA">
        <w:rPr>
          <w:rFonts w:ascii="Times New Roman" w:eastAsia="Calibri" w:hAnsi="Times New Roman" w:cs="Times New Roman"/>
          <w:sz w:val="24"/>
          <w:szCs w:val="24"/>
        </w:rPr>
        <w:t>.</w:t>
      </w:r>
      <w:r w:rsidR="00042A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2A5B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сматраће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нису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поднети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BE0371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дужан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позив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непосредно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преко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пуномоћника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учествује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пружи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тражена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објашњења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документацију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року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одреди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  <w:r w:rsidR="00BE0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424DD8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Записник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118в</w:t>
      </w:r>
    </w:p>
    <w:p w:rsidR="00424DD8" w:rsidRPr="005925C5" w:rsidRDefault="00E11ED1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дужaн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сачини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записник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утврђеном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чињеничном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стању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BE0371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има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право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року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пет</w:t>
      </w:r>
      <w:proofErr w:type="spellEnd"/>
      <w:r w:rsid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A50DA">
        <w:rPr>
          <w:rFonts w:ascii="Times New Roman" w:eastAsia="Calibri" w:hAnsi="Times New Roman" w:cs="Times New Roman"/>
          <w:sz w:val="24"/>
          <w:szCs w:val="24"/>
        </w:rPr>
        <w:t>радних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достављања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записника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E0371" w:rsidRPr="008A50DA">
        <w:rPr>
          <w:rFonts w:ascii="Times New Roman" w:eastAsia="Calibri" w:hAnsi="Times New Roman" w:cs="Times New Roman"/>
          <w:sz w:val="24"/>
          <w:szCs w:val="24"/>
          <w:lang w:val="sr-Cyrl-RS"/>
        </w:rPr>
        <w:t>из става 1. овог члана</w:t>
      </w:r>
      <w:r w:rsidRPr="008A50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50DA">
        <w:rPr>
          <w:rFonts w:ascii="Times New Roman" w:eastAsia="Calibri" w:hAnsi="Times New Roman" w:cs="Times New Roman"/>
          <w:sz w:val="24"/>
          <w:szCs w:val="24"/>
        </w:rPr>
        <w:t>поднесе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примедбе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тај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записник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  <w:r w:rsidR="00BE0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E11ED1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дужан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примедбе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става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2. </w:t>
      </w:r>
      <w:r w:rsidR="00EC4A80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размотри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року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три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8A50DA">
        <w:rPr>
          <w:rFonts w:ascii="Times New Roman" w:eastAsia="Calibri" w:hAnsi="Times New Roman" w:cs="Times New Roman"/>
          <w:sz w:val="24"/>
          <w:szCs w:val="24"/>
        </w:rPr>
        <w:t>достављања</w:t>
      </w:r>
      <w:proofErr w:type="spellEnd"/>
      <w:r w:rsidR="00424DD8" w:rsidRPr="008A50D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8A50DA">
        <w:rPr>
          <w:rFonts w:ascii="Times New Roman" w:eastAsia="Calibri" w:hAnsi="Times New Roman" w:cs="Times New Roman"/>
          <w:sz w:val="24"/>
          <w:szCs w:val="24"/>
        </w:rPr>
        <w:t>сачини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допуну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записника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lastRenderedPageBreak/>
        <w:t>Ако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канцеларијског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утврде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неправилности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погледу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значаја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утврђивање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висине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накнаде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доноси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решење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отклањању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неправилности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Појам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теренског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</w:p>
    <w:p w:rsidR="00424DD8" w:rsidRPr="005925C5" w:rsidRDefault="00EC4A80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послови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обављају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теренском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надзору</w:t>
      </w:r>
      <w:proofErr w:type="spellEnd"/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5925C5" w:rsidRDefault="00424DD8" w:rsidP="00424DD8">
      <w:pPr>
        <w:spacing w:after="0" w:line="240" w:lineRule="auto"/>
        <w:ind w:left="-18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118г</w:t>
      </w:r>
    </w:p>
    <w:p w:rsidR="00424DD8" w:rsidRPr="00BE0371" w:rsidRDefault="00424DD8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Управа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теренски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надз</w:t>
      </w:r>
      <w:r w:rsidRPr="005925C5">
        <w:rPr>
          <w:rFonts w:ascii="Times New Roman" w:eastAsia="Calibri" w:hAnsi="Times New Roman" w:cs="Times New Roman"/>
          <w:sz w:val="24"/>
          <w:szCs w:val="24"/>
        </w:rPr>
        <w:t>ор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представља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поступак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провере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утврђивања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законитости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правилности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приређивача</w:t>
      </w:r>
      <w:proofErr w:type="spellEnd"/>
      <w:r w:rsidR="002541A8">
        <w:rPr>
          <w:rFonts w:ascii="Times New Roman" w:eastAsia="Calibri" w:hAnsi="Times New Roman" w:cs="Times New Roman"/>
          <w:sz w:val="24"/>
          <w:szCs w:val="24"/>
          <w:lang w:val="sr-Cyrl-RS"/>
        </w:rPr>
        <w:t>, као и непосредан надзор у вези спречавања прања новца и финансирања тероризма код приређивача</w:t>
      </w:r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  <w:r w:rsidR="00BE0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EC4A80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рир</w:t>
      </w:r>
      <w:r w:rsidR="00E11ED1">
        <w:rPr>
          <w:rFonts w:ascii="Times New Roman" w:eastAsia="Calibri" w:hAnsi="Times New Roman" w:cs="Times New Roman"/>
          <w:sz w:val="24"/>
          <w:szCs w:val="24"/>
        </w:rPr>
        <w:t>еђивачи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дужни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омогуће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обављање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теренског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применом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одредаба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прописа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области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</w:t>
      </w:r>
    </w:p>
    <w:p w:rsidR="00424DD8" w:rsidRPr="005925C5" w:rsidRDefault="00424DD8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</w:t>
      </w:r>
      <w:r w:rsidR="00356F6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="00EC4A80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рир</w:t>
      </w:r>
      <w:r w:rsidR="00E11ED1">
        <w:rPr>
          <w:rFonts w:ascii="Times New Roman" w:eastAsia="Calibri" w:hAnsi="Times New Roman" w:cs="Times New Roman"/>
          <w:sz w:val="24"/>
          <w:szCs w:val="24"/>
        </w:rPr>
        <w:t>еђивачи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дужни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омогуће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преглед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просторија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пословних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књига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извештаја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евиденција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софтвера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других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докумената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података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основу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може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утврдити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законитост и правилност приређивања игара на срећу.</w:t>
      </w:r>
      <w:r w:rsidR="00BE0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EC4A80" w:rsidP="00424DD8">
      <w:pPr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</w:rPr>
        <w:tab/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поступк</w:t>
      </w:r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теренског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овлашћење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присуствује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отварању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обрачунавању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затварању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столова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аутомата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игре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као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дневном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обрачуну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благајне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играчницама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просторијама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аутоматима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уплатно-исплатним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местима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110F82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вршењу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теренског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утврди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приређивање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</w:t>
      </w:r>
      <w:r w:rsidR="003E2AA9">
        <w:rPr>
          <w:rFonts w:ascii="Times New Roman" w:eastAsia="Calibri" w:hAnsi="Times New Roman" w:cs="Times New Roman"/>
          <w:sz w:val="24"/>
          <w:szCs w:val="24"/>
        </w:rPr>
        <w:t>ара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без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E2AA9">
        <w:rPr>
          <w:rFonts w:ascii="Times New Roman" w:eastAsia="Calibri" w:hAnsi="Times New Roman" w:cs="Times New Roman"/>
          <w:sz w:val="24"/>
          <w:szCs w:val="24"/>
        </w:rPr>
        <w:t>одобрења</w:t>
      </w:r>
      <w:proofErr w:type="spellEnd"/>
      <w:r w:rsidR="003E2A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2AA9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другог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органа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надлежног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издавање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тог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одобрења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супротно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одредбама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закона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регулише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област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без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одлагања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ће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донети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решење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привременом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затварању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објекта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односно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просторија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којима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врши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приређивање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привременом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одузимању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опреме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предмета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употребљени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могли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бити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употребљени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приређивање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E11ED1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дужан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утврди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чињенице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околности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указују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постојање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основа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сумње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извршено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кривично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дело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стране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лица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кога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привремено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одузета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опрема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предмети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одмах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нак</w:t>
      </w:r>
      <w:r w:rsidR="00BE0371">
        <w:rPr>
          <w:rFonts w:ascii="Times New Roman" w:eastAsia="Calibri" w:hAnsi="Times New Roman" w:cs="Times New Roman"/>
          <w:sz w:val="24"/>
          <w:szCs w:val="24"/>
        </w:rPr>
        <w:t>он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доношења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решења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става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0371" w:rsidRPr="00110F82">
        <w:rPr>
          <w:rFonts w:ascii="Times New Roman" w:eastAsia="Calibri" w:hAnsi="Times New Roman" w:cs="Times New Roman"/>
          <w:sz w:val="24"/>
          <w:szCs w:val="24"/>
        </w:rPr>
        <w:t>5</w:t>
      </w:r>
      <w:r w:rsidR="00EC4A80" w:rsidRPr="00110F82">
        <w:rPr>
          <w:rFonts w:ascii="Times New Roman" w:eastAsia="Calibri" w:hAnsi="Times New Roman" w:cs="Times New Roman"/>
          <w:sz w:val="24"/>
          <w:szCs w:val="24"/>
        </w:rPr>
        <w:t>.</w:t>
      </w:r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A80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подноси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кривичну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пријаву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надлежном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државном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органу</w:t>
      </w:r>
      <w:proofErr w:type="spellEnd"/>
      <w:r w:rsidR="00424DD8"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Нако</w:t>
      </w:r>
      <w:r w:rsidR="00BE0371">
        <w:rPr>
          <w:rFonts w:ascii="Times New Roman" w:eastAsia="Calibri" w:hAnsi="Times New Roman" w:cs="Times New Roman"/>
          <w:sz w:val="24"/>
          <w:szCs w:val="24"/>
        </w:rPr>
        <w:t>н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окончања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кривичног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поступка</w:t>
      </w:r>
      <w:proofErr w:type="spellEnd"/>
      <w:r w:rsidR="00BE03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BE0371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решењем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одлучује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привремено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одузетој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опреми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предметима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5925C5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поступку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теренског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приређивача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утврди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држање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коришћење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непријављених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аутомата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столова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уплатно-исплатних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места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служе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посебних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клађења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опреме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која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служи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приређивање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игара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срећу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преко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средстава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електронске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кому</w:t>
      </w:r>
      <w:r w:rsidR="00E11ED1">
        <w:rPr>
          <w:rFonts w:ascii="Times New Roman" w:eastAsia="Calibri" w:hAnsi="Times New Roman" w:cs="Times New Roman"/>
          <w:sz w:val="24"/>
          <w:szCs w:val="24"/>
        </w:rPr>
        <w:t>никације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инспектор</w:t>
      </w:r>
      <w:proofErr w:type="spellEnd"/>
      <w:r w:rsidR="00E11E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11ED1">
        <w:rPr>
          <w:rFonts w:ascii="Times New Roman" w:eastAsia="Calibri" w:hAnsi="Times New Roman" w:cs="Times New Roman"/>
          <w:sz w:val="24"/>
          <w:szCs w:val="24"/>
        </w:rPr>
        <w:t>У</w:t>
      </w:r>
      <w:r w:rsidRPr="005925C5">
        <w:rPr>
          <w:rFonts w:ascii="Times New Roman" w:eastAsia="Calibri" w:hAnsi="Times New Roman" w:cs="Times New Roman"/>
          <w:sz w:val="24"/>
          <w:szCs w:val="24"/>
        </w:rPr>
        <w:t>праве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ће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предузети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мере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A80" w:rsidRPr="005925C5">
        <w:rPr>
          <w:rFonts w:ascii="Times New Roman" w:eastAsia="Calibri" w:hAnsi="Times New Roman" w:cs="Times New Roman"/>
          <w:sz w:val="24"/>
          <w:szCs w:val="24"/>
        </w:rPr>
        <w:t>ст</w:t>
      </w:r>
      <w:proofErr w:type="spellEnd"/>
      <w:r w:rsidR="00EC4A80" w:rsidRPr="00110F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10F82" w:rsidRPr="00110F82">
        <w:rPr>
          <w:rFonts w:ascii="Times New Roman" w:eastAsia="Calibri" w:hAnsi="Times New Roman" w:cs="Times New Roman"/>
          <w:sz w:val="24"/>
          <w:szCs w:val="24"/>
        </w:rPr>
        <w:t>5</w:t>
      </w:r>
      <w:r w:rsidR="00110F8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10F82" w:rsidRPr="00110F82">
        <w:rPr>
          <w:rFonts w:ascii="Times New Roman" w:eastAsia="Calibri" w:hAnsi="Times New Roman" w:cs="Times New Roman"/>
          <w:sz w:val="24"/>
          <w:szCs w:val="24"/>
        </w:rPr>
        <w:t>-</w:t>
      </w:r>
      <w:r w:rsidR="00110F8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10F82" w:rsidRPr="00110F82">
        <w:rPr>
          <w:rFonts w:ascii="Times New Roman" w:eastAsia="Calibri" w:hAnsi="Times New Roman" w:cs="Times New Roman"/>
          <w:sz w:val="24"/>
          <w:szCs w:val="24"/>
        </w:rPr>
        <w:t>7.</w:t>
      </w:r>
      <w:r w:rsidR="00EC4A80"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A80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25C5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592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110F82" w:rsidRDefault="00BE0371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Решење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>. 5</w:t>
      </w:r>
      <w:r w:rsidR="00EC4A80" w:rsidRPr="00110F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4A80" w:rsidRPr="00110F82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110F82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 w:rsidR="00EC4A80" w:rsidRPr="00110F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4A80" w:rsidRPr="00110F82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="00424DD8" w:rsidRPr="00110F82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="00424DD8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110F82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="00424DD8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110F82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424DD8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24DD8" w:rsidRPr="00110F82">
        <w:rPr>
          <w:rFonts w:ascii="Times New Roman" w:eastAsia="Calibri" w:hAnsi="Times New Roman" w:cs="Times New Roman"/>
          <w:sz w:val="24"/>
          <w:szCs w:val="24"/>
        </w:rPr>
        <w:t>коначно</w:t>
      </w:r>
      <w:proofErr w:type="spellEnd"/>
      <w:r w:rsidR="00424DD8" w:rsidRPr="00110F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24DD8" w:rsidRPr="001C4750" w:rsidRDefault="00424DD8" w:rsidP="00424DD8">
      <w:pPr>
        <w:spacing w:after="0" w:line="240" w:lineRule="auto"/>
        <w:ind w:left="-180" w:firstLine="90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Трош</w:t>
      </w:r>
      <w:r w:rsidR="001C4750" w:rsidRPr="00110F82">
        <w:rPr>
          <w:rFonts w:ascii="Times New Roman" w:eastAsia="Calibri" w:hAnsi="Times New Roman" w:cs="Times New Roman"/>
          <w:sz w:val="24"/>
          <w:szCs w:val="24"/>
        </w:rPr>
        <w:t>кове</w:t>
      </w:r>
      <w:proofErr w:type="spellEnd"/>
      <w:r w:rsidR="001C4750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750" w:rsidRPr="00110F82">
        <w:rPr>
          <w:rFonts w:ascii="Times New Roman" w:eastAsia="Calibri" w:hAnsi="Times New Roman" w:cs="Times New Roman"/>
          <w:sz w:val="24"/>
          <w:szCs w:val="24"/>
        </w:rPr>
        <w:t>извршења</w:t>
      </w:r>
      <w:proofErr w:type="spellEnd"/>
      <w:r w:rsidR="001C4750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750" w:rsidRPr="00110F82">
        <w:rPr>
          <w:rFonts w:ascii="Times New Roman" w:eastAsia="Calibri" w:hAnsi="Times New Roman" w:cs="Times New Roman"/>
          <w:sz w:val="24"/>
          <w:szCs w:val="24"/>
        </w:rPr>
        <w:t>решења</w:t>
      </w:r>
      <w:proofErr w:type="spellEnd"/>
      <w:r w:rsidR="001C4750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750" w:rsidRPr="00110F82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="001C4750"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750" w:rsidRPr="00110F82">
        <w:rPr>
          <w:rFonts w:ascii="Times New Roman" w:eastAsia="Calibri" w:hAnsi="Times New Roman" w:cs="Times New Roman"/>
          <w:sz w:val="24"/>
          <w:szCs w:val="24"/>
        </w:rPr>
        <w:t>ст</w:t>
      </w:r>
      <w:proofErr w:type="spellEnd"/>
      <w:r w:rsidR="001C4750" w:rsidRPr="00110F82">
        <w:rPr>
          <w:rFonts w:ascii="Times New Roman" w:eastAsia="Calibri" w:hAnsi="Times New Roman" w:cs="Times New Roman"/>
          <w:sz w:val="24"/>
          <w:szCs w:val="24"/>
        </w:rPr>
        <w:t>. 5</w:t>
      </w:r>
      <w:r w:rsidR="009B782E" w:rsidRPr="00110F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B782E" w:rsidRPr="00110F82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1C4750" w:rsidRPr="00110F82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 w:rsidR="009B782E" w:rsidRPr="00110F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B782E" w:rsidRPr="00110F82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вог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члана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целости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сноси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10F82">
        <w:rPr>
          <w:rFonts w:ascii="Times New Roman" w:eastAsia="Calibri" w:hAnsi="Times New Roman" w:cs="Times New Roman"/>
          <w:sz w:val="24"/>
          <w:szCs w:val="24"/>
        </w:rPr>
        <w:t>приређивач</w:t>
      </w:r>
      <w:proofErr w:type="spellEnd"/>
      <w:r w:rsidRPr="00110F82">
        <w:rPr>
          <w:rFonts w:ascii="Times New Roman" w:eastAsia="Calibri" w:hAnsi="Times New Roman" w:cs="Times New Roman"/>
          <w:sz w:val="24"/>
          <w:szCs w:val="24"/>
        </w:rPr>
        <w:t>.</w:t>
      </w:r>
      <w:r w:rsidR="001C475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Мера забране вршења делатности у току надзора</w:t>
      </w:r>
    </w:p>
    <w:p w:rsidR="00424DD8" w:rsidRPr="005925C5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4DD8" w:rsidRPr="00E27013" w:rsidRDefault="00424DD8" w:rsidP="001C475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Члан 118д</w:t>
      </w:r>
    </w:p>
    <w:p w:rsidR="00424DD8" w:rsidRPr="00E27013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953A73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</w:t>
      </w:r>
      <w:r w:rsidR="00783FD4">
        <w:rPr>
          <w:rFonts w:ascii="Times New Roman" w:eastAsia="Calibri" w:hAnsi="Times New Roman" w:cs="Times New Roman"/>
          <w:sz w:val="24"/>
          <w:szCs w:val="24"/>
          <w:lang w:val="sr-Cyrl-RS"/>
        </w:rPr>
        <w:t>току</w:t>
      </w:r>
      <w:r w:rsidR="00356F6F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теренског надзора инспектор У</w:t>
      </w: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праве изриче приређивачу забрану вршења делатности у трајању до годину дана, ако утврди да се приређују игре</w:t>
      </w:r>
      <w:r w:rsidR="00E27013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срећу</w:t>
      </w: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без </w:t>
      </w:r>
      <w:r w:rsidR="001C4750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претходно</w:t>
      </w:r>
      <w:r w:rsidR="00E27013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прибављене сагласности</w:t>
      </w:r>
      <w:r w:rsidR="001C4750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</w:t>
      </w: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инистарства</w:t>
      </w:r>
      <w:r w:rsidR="00E27013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, у складу са овим законом</w:t>
      </w: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1C4750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Забрана вршења делатности приређивачу коме је утв</w:t>
      </w:r>
      <w:r w:rsidR="00953A73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рђена</w:t>
      </w:r>
      <w:r w:rsidR="00953A73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неправилност из става 1. о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вог члана, изриче се: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1) у трајању до 15 дана уколико се у поступку надзора код приређивача утврди неправилност први пут;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2) у трајању до 90 дана уколико се у поступку надзора код приређивача утврди неправилност други пут;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3) у трајању до једне године уколико се у поступку надзора код приређивача утврди  неправилност трећи пут.</w:t>
      </w:r>
      <w:r w:rsidR="001C475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Забрана вршења делатности из става 1</w:t>
      </w:r>
      <w:r w:rsidR="00B84E45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. о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вог члана, изриче се за неправилности утврђене у периоду од 24 месеца од прве утврђене неправилности у поступку надзора.</w:t>
      </w:r>
    </w:p>
    <w:p w:rsidR="00424DD8" w:rsidRPr="005925C5" w:rsidRDefault="00424DD8" w:rsidP="00424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Забрану</w:t>
      </w:r>
      <w:r w:rsidR="00B84E45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вршења делатности из става 1. о</w:t>
      </w:r>
      <w:r w:rsidR="00356F6F">
        <w:rPr>
          <w:rFonts w:ascii="Times New Roman" w:eastAsia="Calibri" w:hAnsi="Times New Roman" w:cs="Times New Roman"/>
          <w:sz w:val="24"/>
          <w:szCs w:val="24"/>
          <w:lang w:val="sr-Cyrl-RS"/>
        </w:rPr>
        <w:t>вог члана, инспектор У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праве наређује решењем.</w:t>
      </w:r>
    </w:p>
    <w:p w:rsidR="00424DD8" w:rsidRPr="005925C5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Надлежност за поступање по жалбама</w:t>
      </w: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Члан 118ђ</w:t>
      </w:r>
    </w:p>
    <w:p w:rsidR="00424DD8" w:rsidRPr="005925C5" w:rsidRDefault="00B84E45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</w:t>
      </w:r>
      <w:r w:rsidR="003E2AA9">
        <w:rPr>
          <w:rFonts w:ascii="Times New Roman" w:eastAsia="Calibri" w:hAnsi="Times New Roman" w:cs="Times New Roman"/>
          <w:sz w:val="24"/>
          <w:szCs w:val="24"/>
          <w:lang w:val="sr-Cyrl-RS"/>
        </w:rPr>
        <w:t>жалбама изјављеним против акта У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праве донетих у првостепеном поступку</w:t>
      </w:r>
      <w:r w:rsidR="00013E10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, решава другостепени орган  - М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инистарство, ако овим законом није друкчије уређено.</w:t>
      </w: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Члан 118е</w:t>
      </w:r>
    </w:p>
    <w:p w:rsidR="00424DD8" w:rsidRPr="005925C5" w:rsidRDefault="00B84E45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Н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а поступке канцелари</w:t>
      </w:r>
      <w:r w:rsidR="00424DD8" w:rsidRPr="005925C5">
        <w:rPr>
          <w:rFonts w:ascii="Times New Roman" w:eastAsia="Calibri" w:hAnsi="Times New Roman" w:cs="Times New Roman"/>
          <w:sz w:val="24"/>
          <w:szCs w:val="24"/>
        </w:rPr>
        <w:t>j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ског и теренског надзора сходно се примењују одредбе закона којим се уређује инспекцијски надзор, ако овим законом није друкчије уређено.</w:t>
      </w:r>
    </w:p>
    <w:p w:rsidR="00424DD8" w:rsidRPr="005925C5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Камата</w:t>
      </w: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Члан 118ж</w:t>
      </w:r>
    </w:p>
    <w:p w:rsidR="00424DD8" w:rsidRPr="005925C5" w:rsidRDefault="00B84E45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Н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а износ мање или више плаћених накнада обрачунава се и плаћа камата по стопи једна</w:t>
      </w: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кој годишњој референтној стопи Народне банке С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рбије, увећаној за десет процентних поена, применом п</w:t>
      </w:r>
      <w:r w:rsidR="00F9357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ростог интересног рачуна од </w:t>
      </w:r>
      <w:r w:rsidR="00F9357F" w:rsidRPr="00E27013">
        <w:rPr>
          <w:rFonts w:ascii="Times New Roman" w:eastAsia="Calibri" w:hAnsi="Times New Roman" w:cs="Times New Roman"/>
          <w:sz w:val="24"/>
          <w:szCs w:val="24"/>
          <w:lang w:val="sr-Cyrl-RS"/>
        </w:rPr>
        <w:t>сто.</w:t>
      </w:r>
    </w:p>
    <w:p w:rsidR="00424DD8" w:rsidRPr="005925C5" w:rsidRDefault="00424DD8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Принудна наплата</w:t>
      </w: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24DD8" w:rsidRPr="005925C5" w:rsidRDefault="00424DD8" w:rsidP="00424DD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Члан 118з</w:t>
      </w:r>
    </w:p>
    <w:p w:rsidR="00424DD8" w:rsidRPr="005925C5" w:rsidRDefault="002964C5" w:rsidP="00424D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П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ринудну наплату спроводи</w:t>
      </w:r>
      <w:r w:rsidR="00E270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Управа сагла</w:t>
      </w:r>
      <w:r w:rsidR="00BB774F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bookmarkStart w:id="0" w:name="_GoBack"/>
      <w:bookmarkEnd w:id="0"/>
      <w:r w:rsidR="00E27013">
        <w:rPr>
          <w:rFonts w:ascii="Times New Roman" w:eastAsia="Calibri" w:hAnsi="Times New Roman" w:cs="Times New Roman"/>
          <w:sz w:val="24"/>
          <w:szCs w:val="24"/>
          <w:lang w:val="sr-Cyrl-RS"/>
        </w:rPr>
        <w:t>но одредбама закона којим се уређује извршење и обезбеђење</w:t>
      </w:r>
      <w:r w:rsidR="00424DD8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F15F2B" w:rsidRPr="005925C5">
        <w:rPr>
          <w:rFonts w:ascii="Times New Roman" w:eastAsia="Calibri" w:hAnsi="Times New Roman" w:cs="Times New Roman"/>
          <w:sz w:val="24"/>
          <w:szCs w:val="24"/>
          <w:lang w:val="sr-Cyrl-RS"/>
        </w:rPr>
        <w:t>ˮ</w:t>
      </w:r>
      <w:r w:rsidR="001C475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18767C" w:rsidRPr="005925C5" w:rsidRDefault="0018767C" w:rsidP="00D41B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D41B1D" w:rsidRPr="005925C5" w:rsidRDefault="00060B34" w:rsidP="00D41B1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7</w:t>
      </w:r>
      <w:r w:rsidR="00D41B1D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D41B1D" w:rsidRPr="005925C5" w:rsidRDefault="002964C5" w:rsidP="00D41B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  <w:t>У члану 130. став 1. тачка 72</w:t>
      </w:r>
      <w:r w:rsidR="00D41B1D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) </w:t>
      </w: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брише се. </w:t>
      </w:r>
    </w:p>
    <w:p w:rsidR="002964C5" w:rsidRPr="005925C5" w:rsidRDefault="002964C5" w:rsidP="00D41B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  <w:t>У тачки 73)</w:t>
      </w:r>
      <w:r w:rsidR="000818A7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речи: „</w:t>
      </w:r>
      <w:r w:rsidR="00060B34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0818A7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818A7" w:rsidRPr="00A22F5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127.</w:t>
      </w:r>
      <w:r w:rsidR="00A22F5E" w:rsidRPr="00A22F5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22F5E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став 1.</w:t>
      </w:r>
      <w:r w:rsidR="00060B34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0818A7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</w:t>
      </w:r>
      <w:r w:rsidR="000818A7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B3E19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замењују се речима: „</w:t>
      </w:r>
      <w:r w:rsidR="00060B34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0818A7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118б</w:t>
      </w:r>
      <w:r w:rsidR="00060B34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0818A7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</w:t>
      </w:r>
      <w:r w:rsidR="00A22F5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D41B1D" w:rsidRPr="005925C5" w:rsidRDefault="005B1ED4" w:rsidP="00D41B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  <w:t>У тачки 74) речи: „</w:t>
      </w:r>
      <w:r w:rsidR="00793C30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канцеларијске контроле” замењују се речима: „канцеларијског надзора”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 а</w:t>
      </w:r>
      <w:r w:rsidR="00345286" w:rsidRPr="005925C5">
        <w:rPr>
          <w:rFonts w:ascii="Times New Roman" w:hAnsi="Times New Roman" w:cs="Times New Roman"/>
          <w:sz w:val="24"/>
          <w:szCs w:val="24"/>
        </w:rPr>
        <w:t xml:space="preserve"> 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речи: „</w:t>
      </w:r>
      <w:r w:rsidR="00A22F5E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345286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A22F5E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128</w:t>
      </w:r>
      <w:r w:rsidR="00345286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  <w:r w:rsidR="00A22F5E" w:rsidRPr="00060B34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345286" w:rsidRPr="00060B34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замењу</w:t>
      </w:r>
      <w:r w:rsidR="00EB3E19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ју се речима: „</w:t>
      </w:r>
      <w:r w:rsidR="00A22F5E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118б став 7.</w:t>
      </w:r>
      <w:r w:rsidR="00A22F5E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”.</w:t>
      </w:r>
    </w:p>
    <w:p w:rsidR="00345286" w:rsidRPr="005925C5" w:rsidRDefault="00A22F5E" w:rsidP="00D41B1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тачки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74)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тачка на крају замењује се тачком и запетом и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додаје се тачка 74а)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,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која гласи: </w:t>
      </w:r>
    </w:p>
    <w:p w:rsidR="00345286" w:rsidRPr="005925C5" w:rsidRDefault="00356F6F" w:rsidP="0034528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„74а) не омогући инспектору У</w:t>
      </w:r>
      <w:r w:rsidR="00345286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праве обављање послова теренског надзора над применом одредаба закона и других прописа из области игара на срећу или не омогући преглед просторија, пословних књига, извештаја, евиденција, софтвера и других докумената или података на основу којих се може утврдити законитост и правилност приређивања игара </w:t>
      </w:r>
      <w:r w:rsidR="00A22F5E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на срећу (члан 118г ст. 2. и 3).</w:t>
      </w:r>
      <w:r w:rsidR="004B385B" w:rsidRPr="005925C5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”.</w:t>
      </w:r>
    </w:p>
    <w:p w:rsidR="00D41B1D" w:rsidRPr="005925C5" w:rsidRDefault="00D41B1D" w:rsidP="00D41B1D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:rsidR="00060B34" w:rsidRDefault="00060B34" w:rsidP="00956A0E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45E01" w:rsidRPr="005925C5" w:rsidRDefault="00060B34" w:rsidP="00956A0E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Члан 8</w:t>
      </w:r>
      <w:r w:rsidR="00D41B1D" w:rsidRPr="005925C5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245E01" w:rsidRPr="00060B34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Даном почетка примене овог закона Управа</w:t>
      </w:r>
      <w:r w:rsidR="00A22F5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за игре на срећу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преузима надл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ежности Пореске управе које та 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права има према Закону о пореском поступ</w:t>
      </w:r>
      <w:r w:rsidR="00A6062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ку и пореској администрацији („С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лужбени гласник </w:t>
      </w:r>
      <w:r w:rsidR="00A6062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РС</w:t>
      </w:r>
      <w:r w:rsidR="005925C5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бр. 80/02, 84/02-исправка, 23/03-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исправк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а, 70/03, 55/04, 61/05, 85/05-др. закон, 62/06-др. з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кон, 61/07, 20/09, 72/09-</w:t>
      </w:r>
      <w:r w:rsidR="00A6062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др. з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акон, 53/10, 101/11, 2/12-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исправка, 93/12, 47/13, 108/13, 68/14, 105/14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91/15-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аутентично тумачење, 112/15, 15/16, 108/16 и 30/18).</w:t>
      </w:r>
    </w:p>
    <w:p w:rsidR="00245E01" w:rsidRPr="00060B34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Поступке у области игара на срећу које је започела Пореска управа, а који не буду окончани до дана почетка примене овог закона, окончаће Управа</w:t>
      </w:r>
      <w:r w:rsidR="00A22F5E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игре на срећу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складу са овим законом.</w:t>
      </w:r>
    </w:p>
    <w:p w:rsidR="00245E01" w:rsidRPr="00060B34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Приређивачи игара на срећу којима је до дана почетка примене овог закона издато решење о давању дозволе, односно одобрење за приређивање игара на срећу од стране Пореске управе, настављају са приређивањем тих игара до истека рока важења дозволе, односно одобрења.</w:t>
      </w:r>
    </w:p>
    <w:p w:rsidR="00245E01" w:rsidRPr="00060B34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Лица која, према прописима којима се уређују игре на срећу, имају обавезу достављања аката о приређивању игара на срећу, уверења, извештаја, обавештења и др. Пореској управи, </w:t>
      </w:r>
      <w:r w:rsidR="00F4659D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дужна су да те акте достављају </w:t>
      </w:r>
      <w:r w:rsidR="00F4659D" w:rsidRPr="00060B34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прави</w:t>
      </w:r>
      <w:r w:rsidR="003E7411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игре на срећу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случајевима, на начин и у роковима, уређеним прописима којима се уређују игре на срећу.</w:t>
      </w:r>
    </w:p>
    <w:p w:rsidR="00245E01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Даном почетка примене овог зако</w:t>
      </w:r>
      <w:r w:rsidR="00F4659D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на 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права</w:t>
      </w:r>
      <w:r w:rsidR="003E7411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игре на срећу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преузи</w:t>
      </w:r>
      <w:r w:rsidR="00060B34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ма </w:t>
      </w:r>
      <w:r w:rsidR="00060B34" w:rsidRPr="00060B34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државне службенике</w:t>
      </w:r>
      <w:r w:rsidR="003E7411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Пореској управи -</w:t>
      </w:r>
      <w:r w:rsidR="00356F6F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Сектор</w:t>
      </w:r>
      <w:r w:rsidR="00356F6F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игре на срећу,</w:t>
      </w: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као и предмете, информациони систем, архиву, опрему и средства за рад.</w:t>
      </w:r>
    </w:p>
    <w:p w:rsidR="00451E63" w:rsidRDefault="00451E63" w:rsidP="00451E6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451E63" w:rsidRDefault="00060B34" w:rsidP="00451E63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9</w:t>
      </w:r>
      <w:r w:rsidR="00451E6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:rsidR="00451E63" w:rsidRPr="005925C5" w:rsidRDefault="003E7411" w:rsidP="00451E63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ab/>
      </w:r>
      <w:r w:rsidR="00060B34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Подзаконски пропис из члана 6.</w:t>
      </w:r>
      <w:r w:rsidR="00451E63"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овог закона</w:t>
      </w:r>
      <w:r w:rsidRP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министар финансија</w:t>
      </w:r>
      <w:r w:rsidR="00451E6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донеће</w:t>
      </w:r>
      <w:r w:rsidR="00451E63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у року од 60 дана од дана ступања на снагу овог закона.</w:t>
      </w:r>
    </w:p>
    <w:p w:rsidR="00451E63" w:rsidRDefault="00451E63" w:rsidP="00451E63">
      <w:pPr>
        <w:shd w:val="clear" w:color="auto" w:fill="FFFFFF"/>
        <w:spacing w:after="0" w:line="240" w:lineRule="auto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245E01" w:rsidRPr="005925C5" w:rsidRDefault="00245E01" w:rsidP="00451E63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1</w:t>
      </w:r>
      <w:r w:rsidR="00060B34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0</w:t>
      </w: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:rsidR="00B55293" w:rsidRPr="005925C5" w:rsidRDefault="00245E01" w:rsidP="00245E0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Овај закон ступа на снагу осм</w:t>
      </w:r>
      <w:r w:rsidR="0067746C"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ог дана од дана објављивања у „Служ</w:t>
      </w:r>
      <w:r w:rsidR="003E741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беном гласнику Републике Србије”</w:t>
      </w:r>
      <w:r w:rsidR="0067746C"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  а  примењује се од 1. марта 2019. г</w:t>
      </w:r>
      <w:r w:rsidRPr="005925C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одине.</w:t>
      </w:r>
    </w:p>
    <w:sectPr w:rsidR="00B55293" w:rsidRPr="005925C5" w:rsidSect="005B758E">
      <w:footerReference w:type="even" r:id="rId8"/>
      <w:footerReference w:type="default" r:id="rId9"/>
      <w:pgSz w:w="12240" w:h="15840"/>
      <w:pgMar w:top="99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5DF" w:rsidRDefault="008845DF">
      <w:pPr>
        <w:spacing w:after="0" w:line="240" w:lineRule="auto"/>
      </w:pPr>
      <w:r>
        <w:separator/>
      </w:r>
    </w:p>
  </w:endnote>
  <w:endnote w:type="continuationSeparator" w:id="0">
    <w:p w:rsidR="008845DF" w:rsidRDefault="0088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58E" w:rsidRDefault="005B758E" w:rsidP="005B75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758E" w:rsidRDefault="005B758E" w:rsidP="005B75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58E" w:rsidRPr="00591C25" w:rsidRDefault="005B758E" w:rsidP="005B758E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591C25">
      <w:rPr>
        <w:rStyle w:val="PageNumber"/>
        <w:rFonts w:ascii="Times New Roman" w:hAnsi="Times New Roman"/>
      </w:rPr>
      <w:fldChar w:fldCharType="begin"/>
    </w:r>
    <w:r w:rsidRPr="00591C25">
      <w:rPr>
        <w:rStyle w:val="PageNumber"/>
        <w:rFonts w:ascii="Times New Roman" w:hAnsi="Times New Roman"/>
      </w:rPr>
      <w:instrText xml:space="preserve">PAGE  </w:instrText>
    </w:r>
    <w:r w:rsidRPr="00591C25">
      <w:rPr>
        <w:rStyle w:val="PageNumber"/>
        <w:rFonts w:ascii="Times New Roman" w:hAnsi="Times New Roman"/>
      </w:rPr>
      <w:fldChar w:fldCharType="separate"/>
    </w:r>
    <w:r w:rsidR="00BB774F">
      <w:rPr>
        <w:rStyle w:val="PageNumber"/>
        <w:rFonts w:ascii="Times New Roman" w:hAnsi="Times New Roman"/>
        <w:noProof/>
      </w:rPr>
      <w:t>5</w:t>
    </w:r>
    <w:r w:rsidRPr="00591C25">
      <w:rPr>
        <w:rStyle w:val="PageNumber"/>
        <w:rFonts w:ascii="Times New Roman" w:hAnsi="Times New Roman"/>
      </w:rPr>
      <w:fldChar w:fldCharType="end"/>
    </w:r>
  </w:p>
  <w:p w:rsidR="005B758E" w:rsidRDefault="005B758E" w:rsidP="005B75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5DF" w:rsidRDefault="008845DF">
      <w:pPr>
        <w:spacing w:after="0" w:line="240" w:lineRule="auto"/>
      </w:pPr>
      <w:r>
        <w:separator/>
      </w:r>
    </w:p>
  </w:footnote>
  <w:footnote w:type="continuationSeparator" w:id="0">
    <w:p w:rsidR="008845DF" w:rsidRDefault="00884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508E1"/>
    <w:multiLevelType w:val="hybridMultilevel"/>
    <w:tmpl w:val="75B65190"/>
    <w:lvl w:ilvl="0" w:tplc="8B28F76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1D"/>
    <w:rsid w:val="00012DDE"/>
    <w:rsid w:val="00013E10"/>
    <w:rsid w:val="00042A5B"/>
    <w:rsid w:val="00060B34"/>
    <w:rsid w:val="00065FAE"/>
    <w:rsid w:val="000818A7"/>
    <w:rsid w:val="0009697C"/>
    <w:rsid w:val="001066AB"/>
    <w:rsid w:val="00110F82"/>
    <w:rsid w:val="00114C42"/>
    <w:rsid w:val="00174B63"/>
    <w:rsid w:val="0018767C"/>
    <w:rsid w:val="00194A55"/>
    <w:rsid w:val="00197A55"/>
    <w:rsid w:val="001C4750"/>
    <w:rsid w:val="00206A1C"/>
    <w:rsid w:val="00207EB0"/>
    <w:rsid w:val="00245E01"/>
    <w:rsid w:val="002541A8"/>
    <w:rsid w:val="002964C5"/>
    <w:rsid w:val="002D4A45"/>
    <w:rsid w:val="0030038F"/>
    <w:rsid w:val="00345286"/>
    <w:rsid w:val="00356F6F"/>
    <w:rsid w:val="00370A73"/>
    <w:rsid w:val="003D2E0C"/>
    <w:rsid w:val="003D7AE1"/>
    <w:rsid w:val="003E2AA9"/>
    <w:rsid w:val="003E7411"/>
    <w:rsid w:val="00424DD8"/>
    <w:rsid w:val="004401A4"/>
    <w:rsid w:val="00445A1B"/>
    <w:rsid w:val="00451E63"/>
    <w:rsid w:val="004B385B"/>
    <w:rsid w:val="004D3EF6"/>
    <w:rsid w:val="004D667D"/>
    <w:rsid w:val="004E0C60"/>
    <w:rsid w:val="00580FC6"/>
    <w:rsid w:val="005925C5"/>
    <w:rsid w:val="005B1ED4"/>
    <w:rsid w:val="005B758E"/>
    <w:rsid w:val="005F6661"/>
    <w:rsid w:val="00673887"/>
    <w:rsid w:val="0067746C"/>
    <w:rsid w:val="00691A86"/>
    <w:rsid w:val="006B6DFD"/>
    <w:rsid w:val="00725E42"/>
    <w:rsid w:val="0078377A"/>
    <w:rsid w:val="00783FD4"/>
    <w:rsid w:val="00792D8F"/>
    <w:rsid w:val="00793C30"/>
    <w:rsid w:val="007B778A"/>
    <w:rsid w:val="00876F17"/>
    <w:rsid w:val="008845DF"/>
    <w:rsid w:val="00887F3D"/>
    <w:rsid w:val="008A50DA"/>
    <w:rsid w:val="008B6F70"/>
    <w:rsid w:val="0090318F"/>
    <w:rsid w:val="00911FC6"/>
    <w:rsid w:val="00923F03"/>
    <w:rsid w:val="00953A73"/>
    <w:rsid w:val="00956A0E"/>
    <w:rsid w:val="009924A2"/>
    <w:rsid w:val="009B782E"/>
    <w:rsid w:val="00A22F5E"/>
    <w:rsid w:val="00A6062E"/>
    <w:rsid w:val="00AC0977"/>
    <w:rsid w:val="00AE495B"/>
    <w:rsid w:val="00B209D5"/>
    <w:rsid w:val="00B37EBD"/>
    <w:rsid w:val="00B55293"/>
    <w:rsid w:val="00B84E45"/>
    <w:rsid w:val="00BB774F"/>
    <w:rsid w:val="00BE0371"/>
    <w:rsid w:val="00C070F9"/>
    <w:rsid w:val="00D41B1D"/>
    <w:rsid w:val="00D47269"/>
    <w:rsid w:val="00D74983"/>
    <w:rsid w:val="00D9515B"/>
    <w:rsid w:val="00DB05AA"/>
    <w:rsid w:val="00DC2824"/>
    <w:rsid w:val="00DF2AE3"/>
    <w:rsid w:val="00E0457A"/>
    <w:rsid w:val="00E11ED1"/>
    <w:rsid w:val="00E27013"/>
    <w:rsid w:val="00E50F96"/>
    <w:rsid w:val="00E539A2"/>
    <w:rsid w:val="00E65151"/>
    <w:rsid w:val="00EA4E65"/>
    <w:rsid w:val="00EB3E19"/>
    <w:rsid w:val="00EC4A80"/>
    <w:rsid w:val="00ED02DA"/>
    <w:rsid w:val="00F15F2B"/>
    <w:rsid w:val="00F22663"/>
    <w:rsid w:val="00F33E32"/>
    <w:rsid w:val="00F4659D"/>
    <w:rsid w:val="00F47A9A"/>
    <w:rsid w:val="00F653C8"/>
    <w:rsid w:val="00F9357F"/>
    <w:rsid w:val="00FC158C"/>
    <w:rsid w:val="00FD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DAD4"/>
  <w15:docId w15:val="{D7FC39A3-86AB-474D-9683-D652388E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41B1D"/>
  </w:style>
  <w:style w:type="paragraph" w:styleId="NormalWeb">
    <w:name w:val="Normal (Web)"/>
    <w:basedOn w:val="Normal"/>
    <w:rsid w:val="00D41B1D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val="en-GB"/>
    </w:rPr>
  </w:style>
  <w:style w:type="character" w:styleId="Hyperlink">
    <w:name w:val="Hyperlink"/>
    <w:uiPriority w:val="99"/>
    <w:semiHidden/>
    <w:rsid w:val="00D41B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41B1D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CS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41B1D"/>
    <w:rPr>
      <w:rFonts w:ascii="Calibri" w:eastAsia="Calibri" w:hAnsi="Calibri" w:cs="Times New Roman"/>
      <w:lang w:val="sr-Latn-CS" w:eastAsia="x-none"/>
    </w:rPr>
  </w:style>
  <w:style w:type="paragraph" w:styleId="Footer">
    <w:name w:val="footer"/>
    <w:basedOn w:val="Normal"/>
    <w:link w:val="FooterChar"/>
    <w:uiPriority w:val="99"/>
    <w:unhideWhenUsed/>
    <w:rsid w:val="00D41B1D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sr-Latn-C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D41B1D"/>
    <w:rPr>
      <w:rFonts w:ascii="Calibri" w:eastAsia="Calibri" w:hAnsi="Calibri" w:cs="Times New Roman"/>
      <w:lang w:val="sr-Latn-CS" w:eastAsia="x-none"/>
    </w:rPr>
  </w:style>
  <w:style w:type="character" w:styleId="PageNumber">
    <w:name w:val="page number"/>
    <w:basedOn w:val="DefaultParagraphFont"/>
    <w:rsid w:val="00D41B1D"/>
  </w:style>
  <w:style w:type="paragraph" w:customStyle="1" w:styleId="Normal1">
    <w:name w:val="Normal1"/>
    <w:basedOn w:val="Normal"/>
    <w:rsid w:val="00D41B1D"/>
    <w:pPr>
      <w:spacing w:before="100" w:beforeAutospacing="1" w:after="100" w:afterAutospacing="1" w:line="240" w:lineRule="auto"/>
    </w:pPr>
    <w:rPr>
      <w:rFonts w:ascii="Arial" w:eastAsia="Calibri" w:hAnsi="Arial" w:cs="Arial"/>
    </w:rPr>
  </w:style>
  <w:style w:type="paragraph" w:customStyle="1" w:styleId="Normal10">
    <w:name w:val="Normal1"/>
    <w:basedOn w:val="Normal"/>
    <w:rsid w:val="00D41B1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stil1tekst">
    <w:name w:val="stil_1tekst"/>
    <w:basedOn w:val="Normal"/>
    <w:rsid w:val="00D41B1D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B1D"/>
    <w:pPr>
      <w:spacing w:after="0" w:line="240" w:lineRule="auto"/>
    </w:pPr>
    <w:rPr>
      <w:rFonts w:ascii="Tahoma" w:eastAsia="Calibri" w:hAnsi="Tahoma" w:cs="Times New Roman"/>
      <w:sz w:val="16"/>
      <w:szCs w:val="16"/>
      <w:lang w:val="sr-Latn-CS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B1D"/>
    <w:rPr>
      <w:rFonts w:ascii="Tahoma" w:eastAsia="Calibri" w:hAnsi="Tahoma" w:cs="Times New Roman"/>
      <w:sz w:val="16"/>
      <w:szCs w:val="16"/>
      <w:lang w:val="sr-Latn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ADB22-976D-4F6C-BD73-5A5EF414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Lidija Mandic</dc:creator>
  <cp:lastModifiedBy>Snezana Marinovic</cp:lastModifiedBy>
  <cp:revision>15</cp:revision>
  <cp:lastPrinted>2018-11-20T10:48:00Z</cp:lastPrinted>
  <dcterms:created xsi:type="dcterms:W3CDTF">2018-11-15T07:12:00Z</dcterms:created>
  <dcterms:modified xsi:type="dcterms:W3CDTF">2018-11-20T10:48:00Z</dcterms:modified>
</cp:coreProperties>
</file>