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A5D" w:rsidRPr="00C851C4" w:rsidRDefault="00F37A5D" w:rsidP="00F37A5D">
      <w:pPr>
        <w:tabs>
          <w:tab w:val="left" w:pos="0"/>
        </w:tabs>
        <w:jc w:val="center"/>
        <w:rPr>
          <w:rFonts w:eastAsia="Calibri"/>
          <w:b/>
          <w:lang w:val="sr-Cyrl-CS"/>
        </w:rPr>
      </w:pPr>
      <w:bookmarkStart w:id="0" w:name="_GoBack"/>
      <w:bookmarkEnd w:id="0"/>
      <w:r w:rsidRPr="00C851C4">
        <w:rPr>
          <w:b/>
          <w:lang w:val="sr-Cyrl-CS"/>
        </w:rPr>
        <w:t xml:space="preserve">ИЗЈАВА О УСКЛАЂЕНОСТИ ПРЕДЛОГА </w:t>
      </w:r>
      <w:r w:rsidRPr="00C851C4">
        <w:rPr>
          <w:rFonts w:eastAsia="Calibri"/>
          <w:b/>
          <w:lang w:val="sr-Cyrl-CS"/>
        </w:rPr>
        <w:t xml:space="preserve">ЗАКОНА О ИЗМЕНАМА И ДОПУНАМА ЗАКОНА О ЗДРАВЉУ БИЉА </w:t>
      </w:r>
      <w:r w:rsidRPr="00C851C4">
        <w:rPr>
          <w:b/>
          <w:lang w:val="sr-Cyrl-CS"/>
        </w:rPr>
        <w:t>СА ПРОПИСИМА</w:t>
      </w:r>
    </w:p>
    <w:p w:rsidR="00F37A5D" w:rsidRPr="00C851C4" w:rsidRDefault="00F37A5D" w:rsidP="00F37A5D">
      <w:pPr>
        <w:shd w:val="clear" w:color="auto" w:fill="FFFFFF"/>
        <w:jc w:val="center"/>
        <w:rPr>
          <w:b/>
          <w:lang w:val="sr-Cyrl-CS"/>
        </w:rPr>
      </w:pPr>
      <w:r w:rsidRPr="00C851C4">
        <w:rPr>
          <w:b/>
          <w:lang w:val="sr-Cyrl-CS"/>
        </w:rPr>
        <w:t>ЕВРОПСКЕ УНИЈЕ</w:t>
      </w:r>
    </w:p>
    <w:p w:rsidR="00F37A5D" w:rsidRPr="00C851C4" w:rsidRDefault="00F37A5D" w:rsidP="00F37A5D">
      <w:pPr>
        <w:ind w:hanging="90"/>
        <w:rPr>
          <w:lang w:val="sr-Cyrl-CS" w:eastAsia="hr-HR"/>
        </w:rPr>
      </w:pPr>
    </w:p>
    <w:p w:rsidR="00F37A5D" w:rsidRPr="00C851C4" w:rsidRDefault="00F37A5D" w:rsidP="00F37A5D">
      <w:pPr>
        <w:ind w:firstLine="1418"/>
        <w:rPr>
          <w:b/>
          <w:lang w:val="sr-Cyrl-CS"/>
        </w:rPr>
      </w:pPr>
      <w:r w:rsidRPr="00C851C4">
        <w:rPr>
          <w:b/>
          <w:lang w:val="sr-Cyrl-CS"/>
        </w:rPr>
        <w:t>1. Овлашћени предлагач прописа-</w:t>
      </w:r>
      <w:r w:rsidRPr="00C851C4">
        <w:rPr>
          <w:lang w:val="sr-Cyrl-CS"/>
        </w:rPr>
        <w:t>Влада</w:t>
      </w:r>
    </w:p>
    <w:p w:rsidR="00F37A5D" w:rsidRPr="00C851C4" w:rsidRDefault="00F37A5D" w:rsidP="00F37A5D">
      <w:pPr>
        <w:ind w:firstLine="1418"/>
        <w:rPr>
          <w:lang w:val="sr-Cyrl-CS"/>
        </w:rPr>
      </w:pPr>
      <w:r w:rsidRPr="00C851C4">
        <w:rPr>
          <w:b/>
          <w:lang w:val="sr-Cyrl-CS"/>
        </w:rPr>
        <w:t>Обрађивач</w:t>
      </w:r>
      <w:r w:rsidRPr="00C851C4">
        <w:rPr>
          <w:lang w:val="sr-Cyrl-CS"/>
        </w:rPr>
        <w:t xml:space="preserve">-Министарство пољопривреде, шумарства и водопривреде </w:t>
      </w:r>
    </w:p>
    <w:p w:rsidR="00F37A5D" w:rsidRPr="00C851C4" w:rsidRDefault="00F37A5D" w:rsidP="00F37A5D">
      <w:pPr>
        <w:rPr>
          <w:lang w:val="sr-Cyrl-CS"/>
        </w:rPr>
      </w:pPr>
    </w:p>
    <w:p w:rsidR="00F37A5D" w:rsidRPr="00C851C4" w:rsidRDefault="00F37A5D" w:rsidP="00F37A5D">
      <w:pPr>
        <w:ind w:firstLine="1418"/>
        <w:rPr>
          <w:b/>
          <w:lang w:val="sr-Cyrl-CS"/>
        </w:rPr>
      </w:pPr>
      <w:r w:rsidRPr="00C851C4">
        <w:rPr>
          <w:b/>
          <w:lang w:val="sr-Cyrl-CS"/>
        </w:rPr>
        <w:t>2. Назив прописа</w:t>
      </w:r>
    </w:p>
    <w:p w:rsidR="00F37A5D" w:rsidRPr="00C851C4" w:rsidRDefault="00F37A5D" w:rsidP="00F37A5D">
      <w:pPr>
        <w:tabs>
          <w:tab w:val="left" w:pos="0"/>
        </w:tabs>
        <w:rPr>
          <w:rFonts w:eastAsia="Calibri"/>
          <w:lang w:val="sr-Cyrl-CS"/>
        </w:rPr>
      </w:pPr>
      <w:r w:rsidRPr="00C851C4">
        <w:rPr>
          <w:lang w:val="sr-Cyrl-CS"/>
        </w:rPr>
        <w:tab/>
      </w:r>
      <w:r w:rsidR="005775B6">
        <w:rPr>
          <w:lang w:val="sr-Cyrl-CS"/>
        </w:rPr>
        <w:tab/>
      </w:r>
      <w:r w:rsidRPr="00C851C4">
        <w:rPr>
          <w:lang w:val="sr-Cyrl-CS"/>
        </w:rPr>
        <w:t xml:space="preserve">Предлог </w:t>
      </w:r>
      <w:r w:rsidRPr="00C851C4">
        <w:rPr>
          <w:rFonts w:eastAsia="Calibri"/>
          <w:lang w:val="sr-Cyrl-CS"/>
        </w:rPr>
        <w:t>закона о изменама и допунама Закона о здрављу биља</w:t>
      </w:r>
    </w:p>
    <w:p w:rsidR="00F37A5D" w:rsidRPr="00C851C4" w:rsidRDefault="00F37A5D" w:rsidP="00F37A5D">
      <w:pPr>
        <w:tabs>
          <w:tab w:val="left" w:pos="0"/>
        </w:tabs>
        <w:rPr>
          <w:rFonts w:eastAsia="Calibri"/>
          <w:lang w:val="sr-Cyrl-CS"/>
        </w:rPr>
      </w:pPr>
    </w:p>
    <w:p w:rsidR="00F37A5D" w:rsidRPr="00C851C4" w:rsidRDefault="00F37A5D" w:rsidP="00F37A5D">
      <w:pPr>
        <w:tabs>
          <w:tab w:val="left" w:pos="0"/>
        </w:tabs>
        <w:rPr>
          <w:lang w:val="sr-Cyrl-CS"/>
        </w:rPr>
      </w:pPr>
      <w:r w:rsidRPr="00C851C4">
        <w:rPr>
          <w:rFonts w:eastAsia="Calibri"/>
          <w:lang w:val="sr-Cyrl-CS"/>
        </w:rPr>
        <w:tab/>
      </w:r>
      <w:r w:rsidR="005775B6">
        <w:rPr>
          <w:rFonts w:eastAsia="Calibri"/>
          <w:lang w:val="sr-Cyrl-CS"/>
        </w:rPr>
        <w:tab/>
      </w:r>
      <w:r w:rsidRPr="00C851C4">
        <w:rPr>
          <w:rFonts w:eastAsia="Calibri"/>
          <w:lang w:val="sr-Cyrl-CS"/>
        </w:rPr>
        <w:t>Law on Amendments to the Law on Plant Health</w:t>
      </w:r>
    </w:p>
    <w:p w:rsidR="00F37A5D" w:rsidRPr="00C851C4" w:rsidRDefault="00F37A5D" w:rsidP="00F37A5D">
      <w:pPr>
        <w:tabs>
          <w:tab w:val="left" w:pos="0"/>
        </w:tabs>
        <w:rPr>
          <w:i/>
          <w:lang w:val="sr-Cyrl-CS"/>
        </w:rPr>
      </w:pPr>
    </w:p>
    <w:p w:rsidR="00F37A5D" w:rsidRPr="00C851C4" w:rsidRDefault="00F37A5D" w:rsidP="00F37A5D">
      <w:pPr>
        <w:ind w:firstLine="1418"/>
        <w:rPr>
          <w:b/>
          <w:lang w:val="sr-Cyrl-CS"/>
        </w:rPr>
      </w:pPr>
      <w:r w:rsidRPr="00C851C4">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F37A5D" w:rsidRPr="00C851C4" w:rsidRDefault="00F37A5D" w:rsidP="00F37A5D">
      <w:pPr>
        <w:rPr>
          <w:lang w:val="sr-Cyrl-CS"/>
        </w:rPr>
      </w:pPr>
    </w:p>
    <w:p w:rsidR="00F37A5D" w:rsidRPr="00C851C4" w:rsidRDefault="00F37A5D" w:rsidP="00F37A5D">
      <w:pPr>
        <w:ind w:firstLine="1418"/>
        <w:rPr>
          <w:b/>
          <w:lang w:val="sr-Cyrl-CS"/>
        </w:rPr>
      </w:pPr>
      <w:r w:rsidRPr="00C851C4">
        <w:rPr>
          <w:b/>
          <w:lang w:val="sr-Cyrl-CS"/>
        </w:rPr>
        <w:t>а) Одредба Споразума која се односи на нормативну садржину прописа</w:t>
      </w:r>
    </w:p>
    <w:p w:rsidR="00F37A5D" w:rsidRPr="00C851C4" w:rsidRDefault="00F37A5D" w:rsidP="00F37A5D">
      <w:pPr>
        <w:tabs>
          <w:tab w:val="left" w:pos="0"/>
        </w:tabs>
        <w:rPr>
          <w:lang w:val="sr-Cyrl-CS"/>
        </w:rPr>
      </w:pPr>
      <w:r w:rsidRPr="00C851C4">
        <w:rPr>
          <w:lang w:val="sr-Cyrl-CS"/>
        </w:rPr>
        <w:tab/>
      </w:r>
      <w:r w:rsidRPr="00C851C4">
        <w:rPr>
          <w:lang w:val="sr-Cyrl-CS"/>
        </w:rPr>
        <w:tab/>
        <w:t>-</w:t>
      </w:r>
    </w:p>
    <w:p w:rsidR="00F37A5D" w:rsidRPr="00C851C4" w:rsidRDefault="00F37A5D" w:rsidP="00F37A5D">
      <w:pPr>
        <w:tabs>
          <w:tab w:val="left" w:pos="0"/>
        </w:tabs>
        <w:rPr>
          <w:lang w:val="sr-Cyrl-CS"/>
        </w:rPr>
      </w:pPr>
    </w:p>
    <w:p w:rsidR="00F37A5D" w:rsidRPr="00C851C4" w:rsidRDefault="00F37A5D" w:rsidP="00F37A5D">
      <w:pPr>
        <w:ind w:firstLine="1418"/>
        <w:rPr>
          <w:b/>
          <w:lang w:val="sr-Cyrl-CS"/>
        </w:rPr>
      </w:pPr>
      <w:r w:rsidRPr="00C851C4">
        <w:rPr>
          <w:b/>
          <w:lang w:val="sr-Cyrl-CS"/>
        </w:rPr>
        <w:t xml:space="preserve">б) Прелазни рок за усклађивање законодавства према одредбама Споразума </w:t>
      </w:r>
    </w:p>
    <w:p w:rsidR="00F37A5D" w:rsidRPr="00C851C4" w:rsidRDefault="00F37A5D" w:rsidP="00F37A5D">
      <w:pPr>
        <w:ind w:firstLine="1418"/>
        <w:rPr>
          <w:b/>
          <w:lang w:val="sr-Cyrl-CS"/>
        </w:rPr>
      </w:pPr>
      <w:r w:rsidRPr="00C851C4">
        <w:rPr>
          <w:lang w:val="sr-Cyrl-CS"/>
        </w:rPr>
        <w:t>Не постоји прелазни рок према одредбама Споразума (члан 21. Споразума).</w:t>
      </w:r>
    </w:p>
    <w:p w:rsidR="00F37A5D" w:rsidRPr="00C851C4" w:rsidRDefault="00F37A5D" w:rsidP="00F37A5D">
      <w:pPr>
        <w:rPr>
          <w:lang w:val="sr-Cyrl-CS"/>
        </w:rPr>
      </w:pPr>
    </w:p>
    <w:p w:rsidR="00F37A5D" w:rsidRPr="00C851C4" w:rsidRDefault="00F37A5D" w:rsidP="00F37A5D">
      <w:pPr>
        <w:ind w:firstLine="1418"/>
        <w:rPr>
          <w:b/>
          <w:lang w:val="sr-Cyrl-CS"/>
        </w:rPr>
      </w:pPr>
      <w:r w:rsidRPr="00C851C4">
        <w:rPr>
          <w:b/>
          <w:lang w:val="sr-Cyrl-CS"/>
        </w:rPr>
        <w:t>в) Оцена испуњености обавезе које произлазе из наведене одредбе Споразума</w:t>
      </w:r>
    </w:p>
    <w:p w:rsidR="00F37A5D" w:rsidRPr="00C851C4" w:rsidRDefault="00F37A5D" w:rsidP="00F37A5D">
      <w:pPr>
        <w:tabs>
          <w:tab w:val="left" w:pos="1800"/>
        </w:tabs>
        <w:ind w:left="1440"/>
        <w:contextualSpacing/>
        <w:rPr>
          <w:rFonts w:eastAsia="Calibri"/>
          <w:lang w:val="sr-Cyrl-CS"/>
        </w:rPr>
      </w:pPr>
      <w:r w:rsidRPr="00C851C4">
        <w:rPr>
          <w:rFonts w:eastAsia="Calibri"/>
          <w:lang w:val="sr-Cyrl-CS"/>
        </w:rPr>
        <w:t>-</w:t>
      </w:r>
    </w:p>
    <w:p w:rsidR="00F37A5D" w:rsidRPr="00C851C4" w:rsidRDefault="00F37A5D" w:rsidP="00F37A5D">
      <w:pPr>
        <w:tabs>
          <w:tab w:val="left" w:pos="0"/>
        </w:tabs>
        <w:rPr>
          <w:lang w:val="sr-Cyrl-CS"/>
        </w:rPr>
      </w:pPr>
    </w:p>
    <w:p w:rsidR="00F37A5D" w:rsidRPr="00C851C4" w:rsidRDefault="00F37A5D" w:rsidP="00F37A5D">
      <w:pPr>
        <w:ind w:firstLine="1418"/>
        <w:rPr>
          <w:b/>
          <w:lang w:val="sr-Cyrl-CS"/>
        </w:rPr>
      </w:pPr>
      <w:r w:rsidRPr="00C851C4">
        <w:rPr>
          <w:b/>
          <w:lang w:val="sr-Cyrl-CS"/>
        </w:rPr>
        <w:t>г) Разлози за делимично испуњавање, односно неиспуњавање обавеза које произлазе из наведене одредбе Споразума</w:t>
      </w:r>
    </w:p>
    <w:p w:rsidR="00F37A5D" w:rsidRPr="00C851C4" w:rsidRDefault="00F37A5D" w:rsidP="00F37A5D">
      <w:pPr>
        <w:tabs>
          <w:tab w:val="left" w:pos="1800"/>
        </w:tabs>
        <w:ind w:left="1440"/>
        <w:contextualSpacing/>
        <w:rPr>
          <w:rFonts w:eastAsia="Calibri"/>
          <w:lang w:val="sr-Cyrl-CS"/>
        </w:rPr>
      </w:pPr>
      <w:r w:rsidRPr="00C851C4">
        <w:rPr>
          <w:rFonts w:eastAsia="Calibri"/>
          <w:lang w:val="sr-Cyrl-CS"/>
        </w:rPr>
        <w:t>-</w:t>
      </w:r>
    </w:p>
    <w:p w:rsidR="00F37A5D" w:rsidRPr="00C851C4" w:rsidRDefault="00F37A5D" w:rsidP="00F37A5D">
      <w:pPr>
        <w:rPr>
          <w:lang w:val="sr-Cyrl-CS"/>
        </w:rPr>
      </w:pPr>
    </w:p>
    <w:p w:rsidR="00F37A5D" w:rsidRPr="00C851C4" w:rsidRDefault="00F37A5D" w:rsidP="00F37A5D">
      <w:pPr>
        <w:ind w:firstLine="1418"/>
        <w:rPr>
          <w:b/>
          <w:lang w:val="sr-Cyrl-CS"/>
        </w:rPr>
      </w:pPr>
      <w:r w:rsidRPr="00C851C4">
        <w:rPr>
          <w:b/>
          <w:lang w:val="sr-Cyrl-CS"/>
        </w:rPr>
        <w:t>д) Веза са Националним програмом за усвајање правних тековина Европске уније.</w:t>
      </w:r>
    </w:p>
    <w:p w:rsidR="00F37A5D" w:rsidRPr="00C851C4" w:rsidRDefault="00F37A5D" w:rsidP="00F37A5D">
      <w:pPr>
        <w:spacing w:line="276" w:lineRule="auto"/>
        <w:rPr>
          <w:lang w:val="sr-Cyrl-CS"/>
        </w:rPr>
      </w:pPr>
      <w:r w:rsidRPr="00C851C4">
        <w:rPr>
          <w:lang w:val="sr-Cyrl-CS"/>
        </w:rPr>
        <w:tab/>
        <w:t xml:space="preserve">Планирано је </w:t>
      </w:r>
      <w:r w:rsidR="00E823B7">
        <w:rPr>
          <w:lang w:val="sr-Cyrl-RS"/>
        </w:rPr>
        <w:t xml:space="preserve">потпуно </w:t>
      </w:r>
      <w:r w:rsidRPr="00C851C4">
        <w:rPr>
          <w:lang w:val="sr-Cyrl-CS"/>
        </w:rPr>
        <w:t xml:space="preserve">усклађивање до </w:t>
      </w:r>
      <w:r w:rsidR="00E823B7">
        <w:rPr>
          <w:lang w:val="sr-Cyrl-CS"/>
        </w:rPr>
        <w:t>дана приступања ЕУ, а</w:t>
      </w:r>
      <w:r w:rsidRPr="00C851C4">
        <w:rPr>
          <w:lang w:val="sr-Cyrl-CS"/>
        </w:rPr>
        <w:t xml:space="preserve"> пуна имплементација по пријему у чланству у ЕУ.</w:t>
      </w:r>
    </w:p>
    <w:p w:rsidR="00F37A5D" w:rsidRPr="00C851C4" w:rsidRDefault="00F37A5D" w:rsidP="00F37A5D">
      <w:pPr>
        <w:tabs>
          <w:tab w:val="left" w:pos="0"/>
        </w:tabs>
        <w:rPr>
          <w:lang w:val="sr-Cyrl-CS"/>
        </w:rPr>
      </w:pPr>
    </w:p>
    <w:p w:rsidR="00F37A5D" w:rsidRPr="00C851C4" w:rsidRDefault="00F37A5D" w:rsidP="00F37A5D">
      <w:pPr>
        <w:ind w:firstLine="1418"/>
        <w:rPr>
          <w:b/>
          <w:lang w:val="sr-Cyrl-CS"/>
        </w:rPr>
      </w:pPr>
      <w:r w:rsidRPr="00C851C4">
        <w:rPr>
          <w:b/>
          <w:lang w:val="sr-Cyrl-CS"/>
        </w:rPr>
        <w:t>4. Усклађеност прописа са прописима Европске уније:</w:t>
      </w:r>
    </w:p>
    <w:p w:rsidR="00F37A5D" w:rsidRPr="00C851C4" w:rsidRDefault="00F37A5D" w:rsidP="00F37A5D">
      <w:pPr>
        <w:ind w:firstLine="1418"/>
        <w:rPr>
          <w:b/>
          <w:lang w:val="sr-Cyrl-CS"/>
        </w:rPr>
      </w:pPr>
      <w:r w:rsidRPr="00C851C4">
        <w:rPr>
          <w:b/>
          <w:lang w:val="sr-Cyrl-CS"/>
        </w:rPr>
        <w:t>а) Навођење одредби примарних извора права Европске уније и оцене усклађености са њима</w:t>
      </w:r>
    </w:p>
    <w:p w:rsidR="00F37A5D" w:rsidRPr="00C851C4" w:rsidRDefault="00F37A5D" w:rsidP="00F37A5D">
      <w:pPr>
        <w:tabs>
          <w:tab w:val="left" w:pos="284"/>
        </w:tabs>
        <w:autoSpaceDE w:val="0"/>
        <w:autoSpaceDN w:val="0"/>
        <w:adjustRightInd w:val="0"/>
        <w:rPr>
          <w:rFonts w:eastAsia="Calibri"/>
          <w:color w:val="000000"/>
          <w:lang w:val="sr-Cyrl-CS"/>
        </w:rPr>
      </w:pPr>
    </w:p>
    <w:p w:rsidR="00F37A5D" w:rsidRPr="00C851C4" w:rsidRDefault="00F37A5D" w:rsidP="00F37A5D">
      <w:pPr>
        <w:ind w:firstLine="1440"/>
        <w:rPr>
          <w:lang w:val="sr-Cyrl-CS"/>
        </w:rPr>
      </w:pPr>
      <w:r w:rsidRPr="00C851C4">
        <w:rPr>
          <w:lang w:val="sr-Cyrl-CS"/>
        </w:rPr>
        <w:t>Члан 192. став 1. Уговора о функционисању Европске уније (Уредба (ЕУ) број 995/2010); члан 133. Уговора о оснивању Европске заједнице (Уредба Савета (EЗ) број 2173/2005) и члан 207. став 2. Уговора о функционисању Европске уније (Уредба (EU) број 657/2014).</w:t>
      </w:r>
    </w:p>
    <w:p w:rsidR="00F37A5D" w:rsidRPr="00C851C4" w:rsidRDefault="00F37A5D" w:rsidP="00F37A5D">
      <w:pPr>
        <w:spacing w:line="276" w:lineRule="auto"/>
        <w:rPr>
          <w:rFonts w:eastAsia="Calibri"/>
          <w:lang w:val="sr-Cyrl-CS"/>
        </w:rPr>
      </w:pPr>
      <w:r w:rsidRPr="00C851C4">
        <w:rPr>
          <w:rFonts w:eastAsia="Calibri"/>
          <w:lang w:val="sr-Cyrl-CS"/>
        </w:rPr>
        <w:lastRenderedPageBreak/>
        <w:t xml:space="preserve">                   Као и Закон о здрављу биља  („Службени гласник РС”, брoj 41/09) и Предлог закона о изменама и допунама Закона о здрављу биља је у начелу усклађен са Оснивачким уговорима (УЕЗ и УЕУ), обзиром да се ни један члан оснивачких уговора не односи искључиво на здравље биља. </w:t>
      </w:r>
    </w:p>
    <w:p w:rsidR="00F37A5D" w:rsidRPr="00C851C4" w:rsidRDefault="00F37A5D" w:rsidP="00F37A5D">
      <w:pPr>
        <w:rPr>
          <w:lang w:val="sr-Cyrl-CS"/>
        </w:rPr>
      </w:pPr>
    </w:p>
    <w:p w:rsidR="00F37A5D" w:rsidRPr="00C851C4" w:rsidRDefault="00F37A5D" w:rsidP="00F37A5D">
      <w:pPr>
        <w:tabs>
          <w:tab w:val="left" w:pos="284"/>
        </w:tabs>
        <w:autoSpaceDE w:val="0"/>
        <w:autoSpaceDN w:val="0"/>
        <w:adjustRightInd w:val="0"/>
        <w:ind w:firstLine="1418"/>
        <w:rPr>
          <w:rFonts w:eastAsia="Calibri"/>
          <w:b/>
          <w:color w:val="000000"/>
          <w:lang w:val="sr-Cyrl-CS"/>
        </w:rPr>
      </w:pPr>
      <w:r w:rsidRPr="00C851C4">
        <w:rPr>
          <w:rFonts w:eastAsia="Calibri"/>
          <w:b/>
          <w:color w:val="000000"/>
          <w:lang w:val="sr-Cyrl-CS"/>
        </w:rPr>
        <w:t>б) Навођење секундарних извора права Европске уније и оцене усклађености са њима</w:t>
      </w:r>
    </w:p>
    <w:p w:rsidR="00F37A5D" w:rsidRPr="00C851C4" w:rsidRDefault="00F37A5D" w:rsidP="00F37A5D">
      <w:pPr>
        <w:spacing w:line="276" w:lineRule="auto"/>
        <w:rPr>
          <w:rFonts w:eastAsia="Calibri"/>
          <w:lang w:val="sr-Cyrl-CS"/>
        </w:rPr>
      </w:pPr>
      <w:r w:rsidRPr="00C851C4">
        <w:rPr>
          <w:rFonts w:eastAsia="Calibri"/>
          <w:lang w:val="sr-Cyrl-CS"/>
        </w:rPr>
        <w:tab/>
        <w:t>Предлог закона о изменама и допунама Закона о здрављу биља не утиче на степен усклађености Закона о здрављу биља („Службени гласник РС”, брoj 41/09) са одговарајућим прописима Европске уније, нити се њиме транспонује било који део права Европске уније, јер се истим не врше суштинске измене, већ измене које се односе на организациону структуру, као и појашњење одређених поступака и процедура.</w:t>
      </w:r>
    </w:p>
    <w:p w:rsidR="00F37A5D" w:rsidRPr="00C851C4" w:rsidRDefault="00F37A5D" w:rsidP="00F37A5D">
      <w:pPr>
        <w:spacing w:line="276" w:lineRule="auto"/>
        <w:rPr>
          <w:rStyle w:val="Strong"/>
          <w:lang w:val="sr-Cyrl-CS"/>
        </w:rPr>
      </w:pPr>
      <w:r w:rsidRPr="00C851C4">
        <w:rPr>
          <w:rStyle w:val="Strong"/>
          <w:lang w:val="sr-Cyrl-CS"/>
        </w:rPr>
        <w:t xml:space="preserve">           Предлог закон остаје начелно (делимично) усаглашен са Директивом Савета 2000/29/ЕC oд 8. маја 2000. године  o заштитним мерама против уношења у Заједницу организама штетних за биље или биљне производе и њиховог ширења унутар Заједнице</w:t>
      </w:r>
    </w:p>
    <w:p w:rsidR="00F37A5D" w:rsidRPr="00C851C4" w:rsidRDefault="00F37A5D" w:rsidP="00F37A5D">
      <w:pPr>
        <w:spacing w:line="276" w:lineRule="auto"/>
        <w:rPr>
          <w:lang w:val="sr-Cyrl-CS"/>
        </w:rPr>
      </w:pPr>
      <w:r w:rsidRPr="00C851C4">
        <w:rPr>
          <w:rStyle w:val="Strong"/>
          <w:lang w:val="sr-Cyrl-CS"/>
        </w:rPr>
        <w:t xml:space="preserve">           </w:t>
      </w:r>
      <w:r w:rsidRPr="00C851C4">
        <w:rPr>
          <w:lang w:val="sr-Cyrl-CS" w:eastAsia="sr-Latn-CS"/>
        </w:rPr>
        <w:t xml:space="preserve"> </w:t>
      </w:r>
      <w:r w:rsidRPr="00C851C4">
        <w:rPr>
          <w:iCs/>
          <w:lang w:val="sr-Cyrl-CS"/>
        </w:rPr>
        <w:t>„CELEX”  (</w:t>
      </w:r>
      <w:r w:rsidRPr="00C851C4">
        <w:rPr>
          <w:lang w:val="sr-Cyrl-CS"/>
        </w:rPr>
        <w:t xml:space="preserve">32000L0029) - </w:t>
      </w:r>
      <w:r w:rsidRPr="00C851C4">
        <w:rPr>
          <w:i/>
          <w:lang w:val="sr-Cyrl-CS"/>
        </w:rPr>
        <w:t xml:space="preserve">Council Directive 2000/29/EC of 8 May 2000 on protective measures against the introduction into the Community of organisms harmful to plants or plant products and against their spread within the Community </w:t>
      </w:r>
      <w:r w:rsidRPr="00C851C4">
        <w:rPr>
          <w:lang w:val="sr-Cyrl-CS"/>
        </w:rPr>
        <w:t>која остаје на снази у наредне три године.</w:t>
      </w:r>
    </w:p>
    <w:p w:rsidR="00F37A5D" w:rsidRPr="00C851C4" w:rsidRDefault="00F37A5D" w:rsidP="00F37A5D">
      <w:pPr>
        <w:tabs>
          <w:tab w:val="left" w:pos="0"/>
        </w:tabs>
        <w:autoSpaceDE w:val="0"/>
        <w:autoSpaceDN w:val="0"/>
        <w:adjustRightInd w:val="0"/>
        <w:rPr>
          <w:rFonts w:eastAsia="Calibri"/>
          <w:lang w:val="sr-Cyrl-CS"/>
        </w:rPr>
      </w:pPr>
    </w:p>
    <w:p w:rsidR="00F37A5D" w:rsidRPr="00C851C4" w:rsidRDefault="00F37A5D" w:rsidP="00F37A5D">
      <w:pPr>
        <w:tabs>
          <w:tab w:val="left" w:pos="900"/>
        </w:tabs>
        <w:autoSpaceDE w:val="0"/>
        <w:autoSpaceDN w:val="0"/>
        <w:adjustRightInd w:val="0"/>
        <w:ind w:firstLine="1418"/>
        <w:rPr>
          <w:rFonts w:eastAsia="Calibri"/>
          <w:b/>
          <w:lang w:val="sr-Cyrl-CS"/>
        </w:rPr>
      </w:pPr>
      <w:r w:rsidRPr="00C851C4">
        <w:rPr>
          <w:rFonts w:eastAsia="Calibri"/>
          <w:b/>
          <w:lang w:val="sr-Cyrl-CS"/>
        </w:rPr>
        <w:t>в) Навођење осталих извора права Европске уније и усклађен</w:t>
      </w:r>
      <w:r w:rsidR="00C851C4">
        <w:rPr>
          <w:rFonts w:eastAsia="Calibri"/>
          <w:b/>
        </w:rPr>
        <w:t>o</w:t>
      </w:r>
      <w:r w:rsidRPr="00C851C4">
        <w:rPr>
          <w:rFonts w:eastAsia="Calibri"/>
          <w:b/>
          <w:lang w:val="sr-Cyrl-CS"/>
        </w:rPr>
        <w:t>ст са њима</w:t>
      </w:r>
    </w:p>
    <w:p w:rsidR="00F37A5D" w:rsidRPr="00C851C4" w:rsidRDefault="00F37A5D" w:rsidP="00F37A5D">
      <w:pPr>
        <w:tabs>
          <w:tab w:val="left" w:pos="0"/>
          <w:tab w:val="left" w:pos="1800"/>
        </w:tabs>
        <w:ind w:left="1500"/>
        <w:contextualSpacing/>
        <w:rPr>
          <w:rFonts w:eastAsia="Calibri"/>
          <w:lang w:val="sr-Cyrl-CS"/>
        </w:rPr>
      </w:pPr>
      <w:r w:rsidRPr="00C851C4">
        <w:rPr>
          <w:rFonts w:eastAsia="Calibri"/>
          <w:lang w:val="sr-Cyrl-CS"/>
        </w:rPr>
        <w:t>-</w:t>
      </w:r>
    </w:p>
    <w:p w:rsidR="00F37A5D" w:rsidRPr="00C851C4" w:rsidRDefault="00F37A5D" w:rsidP="00F37A5D">
      <w:pPr>
        <w:ind w:firstLine="1418"/>
        <w:rPr>
          <w:b/>
          <w:lang w:val="sr-Cyrl-CS"/>
        </w:rPr>
      </w:pPr>
      <w:r w:rsidRPr="00C851C4">
        <w:rPr>
          <w:b/>
          <w:lang w:val="sr-Cyrl-CS"/>
        </w:rPr>
        <w:t>г) Разлози за делимичну усклађеност, односно неусклађеност</w:t>
      </w:r>
    </w:p>
    <w:p w:rsidR="00F37A5D" w:rsidRPr="00C851C4" w:rsidRDefault="00F37A5D" w:rsidP="00F37A5D">
      <w:pPr>
        <w:ind w:firstLine="1440"/>
        <w:rPr>
          <w:lang w:val="sr-Cyrl-CS"/>
        </w:rPr>
      </w:pPr>
      <w:r w:rsidRPr="00C851C4">
        <w:rPr>
          <w:lang w:val="sr-Cyrl-CS"/>
        </w:rPr>
        <w:t>Делимично усклађено, с обзиром да су наведени прописи у подељеној надлежности  између Министарства пољопривреде,</w:t>
      </w:r>
      <w:r w:rsidR="00DF2192">
        <w:t xml:space="preserve"> </w:t>
      </w:r>
      <w:r w:rsidRPr="00C851C4">
        <w:rPr>
          <w:lang w:val="sr-Cyrl-CS"/>
        </w:rPr>
        <w:t>шумарства и водопривреде, Министарства финансија, Министарства привреде и Министарства трговине, туризма и телекомуникација.</w:t>
      </w:r>
    </w:p>
    <w:p w:rsidR="00F37A5D" w:rsidRPr="00C851C4" w:rsidRDefault="00F37A5D" w:rsidP="00F37A5D">
      <w:pPr>
        <w:ind w:firstLine="1440"/>
        <w:rPr>
          <w:lang w:val="sr-Cyrl-CS"/>
        </w:rPr>
      </w:pPr>
      <w:r w:rsidRPr="00C851C4">
        <w:rPr>
          <w:lang w:val="sr-Cyrl-CS"/>
        </w:rPr>
        <w:t xml:space="preserve">Предложене измене суштински не мењају политику у области здравља биља која је дефинисана у Закону о здрављу биља из 2009. године. </w:t>
      </w:r>
    </w:p>
    <w:p w:rsidR="00F37A5D" w:rsidRPr="00C851C4" w:rsidRDefault="00F37A5D" w:rsidP="00F37A5D">
      <w:pPr>
        <w:tabs>
          <w:tab w:val="left" w:pos="0"/>
        </w:tabs>
        <w:rPr>
          <w:b/>
          <w:lang w:val="sr-Cyrl-CS"/>
        </w:rPr>
      </w:pPr>
    </w:p>
    <w:p w:rsidR="00F37A5D" w:rsidRPr="00C851C4" w:rsidRDefault="00F37A5D" w:rsidP="00F37A5D">
      <w:pPr>
        <w:ind w:firstLine="1418"/>
        <w:rPr>
          <w:b/>
          <w:i/>
          <w:lang w:val="sr-Cyrl-CS"/>
        </w:rPr>
      </w:pPr>
      <w:r w:rsidRPr="00C851C4">
        <w:rPr>
          <w:b/>
          <w:lang w:val="sr-Cyrl-CS"/>
        </w:rPr>
        <w:t>д) Рок у којем је предвиђено постизање потпуне усклађености прописа са прописима Европске уније</w:t>
      </w:r>
    </w:p>
    <w:p w:rsidR="00F37A5D" w:rsidRPr="00C851C4" w:rsidRDefault="00F37A5D" w:rsidP="00F37A5D">
      <w:pPr>
        <w:rPr>
          <w:color w:val="00B050"/>
          <w:lang w:val="sr-Cyrl-CS"/>
        </w:rPr>
      </w:pPr>
      <w:r w:rsidRPr="00C851C4">
        <w:rPr>
          <w:lang w:val="sr-Cyrl-CS"/>
        </w:rPr>
        <w:tab/>
        <w:t>Планирано је усклађивање  до предприступног периода</w:t>
      </w:r>
      <w:r w:rsidRPr="00C851C4">
        <w:rPr>
          <w:color w:val="00B050"/>
          <w:lang w:val="sr-Cyrl-CS"/>
        </w:rPr>
        <w:t>.</w:t>
      </w: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rPr>
          <w:color w:val="00B050"/>
          <w:lang w:val="sr-Cyrl-CS"/>
        </w:rPr>
      </w:pPr>
    </w:p>
    <w:p w:rsidR="00F37A5D" w:rsidRPr="00C851C4" w:rsidRDefault="00F37A5D" w:rsidP="00F37A5D">
      <w:pPr>
        <w:tabs>
          <w:tab w:val="left" w:pos="0"/>
        </w:tabs>
        <w:rPr>
          <w:lang w:val="sr-Cyrl-CS"/>
        </w:rPr>
      </w:pPr>
    </w:p>
    <w:p w:rsidR="00F37A5D" w:rsidRPr="00C851C4" w:rsidRDefault="00F37A5D" w:rsidP="00F37A5D">
      <w:pPr>
        <w:ind w:firstLine="1418"/>
        <w:rPr>
          <w:b/>
          <w:color w:val="000000"/>
          <w:lang w:val="sr-Cyrl-CS"/>
        </w:rPr>
      </w:pPr>
      <w:r w:rsidRPr="00C851C4">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C851C4">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37A5D" w:rsidRPr="00C851C4" w:rsidRDefault="00F37A5D" w:rsidP="00F37A5D">
      <w:pPr>
        <w:ind w:firstLine="1418"/>
        <w:rPr>
          <w:color w:val="000000"/>
          <w:lang w:val="sr-Cyrl-CS"/>
        </w:rPr>
      </w:pPr>
      <w:r w:rsidRPr="00C851C4">
        <w:rPr>
          <w:color w:val="000000"/>
          <w:lang w:val="sr-Cyrl-CS"/>
        </w:rPr>
        <w:t>Не</w:t>
      </w:r>
    </w:p>
    <w:p w:rsidR="00F37A5D" w:rsidRPr="00C851C4" w:rsidRDefault="00F37A5D" w:rsidP="00F37A5D">
      <w:pPr>
        <w:tabs>
          <w:tab w:val="left" w:pos="900"/>
        </w:tabs>
        <w:rPr>
          <w:lang w:val="sr-Cyrl-CS"/>
        </w:rPr>
      </w:pPr>
    </w:p>
    <w:p w:rsidR="00F37A5D" w:rsidRPr="00C851C4" w:rsidRDefault="00F37A5D" w:rsidP="00F37A5D">
      <w:pPr>
        <w:ind w:firstLine="1418"/>
        <w:rPr>
          <w:b/>
          <w:lang w:val="sr-Cyrl-CS"/>
        </w:rPr>
      </w:pPr>
      <w:r w:rsidRPr="00C851C4">
        <w:rPr>
          <w:b/>
          <w:lang w:val="sr-Cyrl-CS"/>
        </w:rPr>
        <w:t>6. Да ли су претходно наведени извори права Европске уније преведени на српски језик?</w:t>
      </w:r>
    </w:p>
    <w:p w:rsidR="00F37A5D" w:rsidRPr="00C851C4" w:rsidRDefault="00F37A5D" w:rsidP="00F37A5D">
      <w:pPr>
        <w:tabs>
          <w:tab w:val="left" w:pos="0"/>
          <w:tab w:val="left" w:pos="1800"/>
        </w:tabs>
        <w:ind w:left="1440"/>
        <w:contextualSpacing/>
        <w:rPr>
          <w:rFonts w:eastAsia="Calibri"/>
          <w:lang w:val="sr-Cyrl-CS"/>
        </w:rPr>
      </w:pPr>
      <w:r w:rsidRPr="00C851C4">
        <w:rPr>
          <w:rFonts w:eastAsia="Calibri"/>
          <w:lang w:val="sr-Cyrl-CS"/>
        </w:rPr>
        <w:t>Не</w:t>
      </w:r>
    </w:p>
    <w:p w:rsidR="00F37A5D" w:rsidRPr="00C851C4" w:rsidRDefault="00F37A5D" w:rsidP="00F37A5D">
      <w:pPr>
        <w:rPr>
          <w:lang w:val="sr-Cyrl-CS"/>
        </w:rPr>
      </w:pPr>
    </w:p>
    <w:p w:rsidR="00F37A5D" w:rsidRPr="00C851C4" w:rsidRDefault="00F37A5D" w:rsidP="00F37A5D">
      <w:pPr>
        <w:ind w:firstLine="1418"/>
        <w:rPr>
          <w:b/>
          <w:lang w:val="sr-Cyrl-CS"/>
        </w:rPr>
      </w:pPr>
      <w:r w:rsidRPr="00C851C4">
        <w:rPr>
          <w:b/>
          <w:lang w:val="sr-Cyrl-CS"/>
        </w:rPr>
        <w:t>7. Да ли је пропис преведен на неки службени језик Европске уније?</w:t>
      </w:r>
    </w:p>
    <w:p w:rsidR="00F37A5D" w:rsidRPr="00C851C4" w:rsidRDefault="00F37A5D" w:rsidP="00F37A5D">
      <w:pPr>
        <w:ind w:firstLine="720"/>
        <w:rPr>
          <w:lang w:val="sr-Cyrl-CS"/>
        </w:rPr>
      </w:pPr>
      <w:r w:rsidRPr="00C851C4">
        <w:rPr>
          <w:lang w:val="sr-Cyrl-CS"/>
        </w:rPr>
        <w:tab/>
        <w:t>Не</w:t>
      </w:r>
    </w:p>
    <w:p w:rsidR="00F37A5D" w:rsidRPr="00C851C4" w:rsidRDefault="00F37A5D" w:rsidP="00F37A5D">
      <w:pPr>
        <w:ind w:firstLine="720"/>
        <w:rPr>
          <w:lang w:val="sr-Cyrl-CS"/>
        </w:rPr>
      </w:pPr>
    </w:p>
    <w:p w:rsidR="00F37A5D" w:rsidRPr="00C851C4" w:rsidRDefault="00F37A5D" w:rsidP="00F37A5D">
      <w:pPr>
        <w:ind w:firstLine="1418"/>
        <w:rPr>
          <w:b/>
          <w:lang w:val="sr-Cyrl-CS"/>
        </w:rPr>
      </w:pPr>
      <w:r w:rsidRPr="00C851C4">
        <w:rPr>
          <w:b/>
          <w:lang w:val="sr-Cyrl-CS"/>
        </w:rPr>
        <w:t>8. Сарадња са Европском унијом и учешће консултаната у изради прописа и њихово мишљење о усклађености</w:t>
      </w:r>
    </w:p>
    <w:p w:rsidR="00F37A5D" w:rsidRPr="00C851C4" w:rsidRDefault="00F37A5D" w:rsidP="00F37A5D">
      <w:pPr>
        <w:ind w:firstLine="1440"/>
        <w:rPr>
          <w:lang w:val="sr-Cyrl-CS"/>
        </w:rPr>
      </w:pPr>
      <w:r w:rsidRPr="00C851C4">
        <w:rPr>
          <w:lang w:val="sr-Cyrl-CS"/>
        </w:rPr>
        <w:t xml:space="preserve">Није било учешћа консултаната у изради Предлога закона, уз напомену да је наведени закон </w:t>
      </w:r>
      <w:r w:rsidRPr="00C851C4">
        <w:rPr>
          <w:rFonts w:eastAsia="Calibri"/>
          <w:lang w:val="sr-Cyrl-CS"/>
        </w:rPr>
        <w:t>у сарадњи са експертима током свих претходних година, на бројним радионицама и експертским мисијама у оквиру стручне помоћи TAIEX и TWINNING програма, када су и дате прве сугестије о одређеним недостацима у важећен Закону о здрављу биља, пре свега када је у питању уређење организације послова.</w:t>
      </w:r>
    </w:p>
    <w:p w:rsidR="00F37A5D" w:rsidRPr="00C851C4" w:rsidRDefault="00F37A5D" w:rsidP="00F37A5D">
      <w:pPr>
        <w:rPr>
          <w:lang w:val="sr-Cyrl-CS"/>
        </w:rPr>
      </w:pPr>
    </w:p>
    <w:p w:rsidR="00F37A5D" w:rsidRPr="00C851C4" w:rsidRDefault="00F37A5D" w:rsidP="00F37A5D">
      <w:pPr>
        <w:tabs>
          <w:tab w:val="num" w:pos="0"/>
        </w:tabs>
        <w:rPr>
          <w:bCs/>
          <w:lang w:val="sr-Cyrl-CS"/>
        </w:rPr>
      </w:pPr>
    </w:p>
    <w:p w:rsidR="00F37A5D" w:rsidRPr="00C851C4" w:rsidRDefault="00F37A5D" w:rsidP="00F37A5D">
      <w:pPr>
        <w:shd w:val="clear" w:color="auto" w:fill="FFFFFF"/>
        <w:rPr>
          <w:lang w:val="sr-Cyrl-CS"/>
        </w:rPr>
      </w:pPr>
    </w:p>
    <w:p w:rsidR="00F37A5D" w:rsidRPr="00C851C4" w:rsidRDefault="00F37A5D" w:rsidP="00F37A5D">
      <w:pPr>
        <w:tabs>
          <w:tab w:val="left" w:pos="1440"/>
        </w:tabs>
        <w:rPr>
          <w:color w:val="000000"/>
          <w:lang w:val="sr-Cyrl-CS"/>
        </w:rPr>
      </w:pPr>
    </w:p>
    <w:p w:rsidR="00E02771" w:rsidRPr="00C851C4" w:rsidRDefault="00E02771">
      <w:pPr>
        <w:rPr>
          <w:lang w:val="sr-Cyrl-CS"/>
        </w:rPr>
      </w:pPr>
    </w:p>
    <w:sectPr w:rsidR="00E02771" w:rsidRPr="00C851C4" w:rsidSect="0015781D">
      <w:head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D72" w:rsidRDefault="001D6D72" w:rsidP="0015781D">
      <w:r>
        <w:separator/>
      </w:r>
    </w:p>
  </w:endnote>
  <w:endnote w:type="continuationSeparator" w:id="0">
    <w:p w:rsidR="001D6D72" w:rsidRDefault="001D6D72" w:rsidP="00157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D72" w:rsidRDefault="001D6D72" w:rsidP="0015781D">
      <w:r>
        <w:separator/>
      </w:r>
    </w:p>
  </w:footnote>
  <w:footnote w:type="continuationSeparator" w:id="0">
    <w:p w:rsidR="001D6D72" w:rsidRDefault="001D6D72" w:rsidP="00157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883519"/>
      <w:docPartObj>
        <w:docPartGallery w:val="Page Numbers (Top of Page)"/>
        <w:docPartUnique/>
      </w:docPartObj>
    </w:sdtPr>
    <w:sdtEndPr>
      <w:rPr>
        <w:noProof/>
      </w:rPr>
    </w:sdtEndPr>
    <w:sdtContent>
      <w:p w:rsidR="0015781D" w:rsidRDefault="0015781D">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rsidR="0015781D" w:rsidRDefault="001578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A5D"/>
    <w:rsid w:val="0015781D"/>
    <w:rsid w:val="0019272A"/>
    <w:rsid w:val="001D6D72"/>
    <w:rsid w:val="004B5DCE"/>
    <w:rsid w:val="005775B6"/>
    <w:rsid w:val="00780F0B"/>
    <w:rsid w:val="00925102"/>
    <w:rsid w:val="009F2FF9"/>
    <w:rsid w:val="00C851C4"/>
    <w:rsid w:val="00DF2192"/>
    <w:rsid w:val="00E02771"/>
    <w:rsid w:val="00E61C80"/>
    <w:rsid w:val="00E823B7"/>
    <w:rsid w:val="00EE48C3"/>
    <w:rsid w:val="00F37A5D"/>
    <w:rsid w:val="00F56AF7"/>
    <w:rsid w:val="00F75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A5D"/>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liases w:val="Plain Text,Char Char Char Char Char,Char Char Char Char"/>
    <w:basedOn w:val="Normal"/>
    <w:rsid w:val="00F37A5D"/>
    <w:pPr>
      <w:tabs>
        <w:tab w:val="left" w:pos="567"/>
      </w:tabs>
      <w:spacing w:before="120" w:after="160" w:line="240" w:lineRule="exact"/>
      <w:ind w:left="1584" w:hanging="504"/>
      <w:jc w:val="left"/>
    </w:pPr>
    <w:rPr>
      <w:rFonts w:ascii="Arial" w:hAnsi="Arial"/>
      <w:b/>
      <w:bCs/>
      <w:color w:val="000000"/>
    </w:rPr>
  </w:style>
  <w:style w:type="character" w:styleId="Strong">
    <w:name w:val="Strong"/>
    <w:qFormat/>
    <w:rsid w:val="00F37A5D"/>
    <w:rPr>
      <w:b/>
      <w:bCs/>
    </w:rPr>
  </w:style>
  <w:style w:type="paragraph" w:styleId="Header">
    <w:name w:val="header"/>
    <w:basedOn w:val="Normal"/>
    <w:link w:val="HeaderChar"/>
    <w:uiPriority w:val="99"/>
    <w:unhideWhenUsed/>
    <w:rsid w:val="0015781D"/>
    <w:pPr>
      <w:tabs>
        <w:tab w:val="center" w:pos="4680"/>
        <w:tab w:val="right" w:pos="9360"/>
      </w:tabs>
    </w:pPr>
  </w:style>
  <w:style w:type="character" w:customStyle="1" w:styleId="HeaderChar">
    <w:name w:val="Header Char"/>
    <w:basedOn w:val="DefaultParagraphFont"/>
    <w:link w:val="Header"/>
    <w:uiPriority w:val="99"/>
    <w:rsid w:val="0015781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5781D"/>
    <w:pPr>
      <w:tabs>
        <w:tab w:val="center" w:pos="4680"/>
        <w:tab w:val="right" w:pos="9360"/>
      </w:tabs>
    </w:pPr>
  </w:style>
  <w:style w:type="character" w:customStyle="1" w:styleId="FooterChar">
    <w:name w:val="Footer Char"/>
    <w:basedOn w:val="DefaultParagraphFont"/>
    <w:link w:val="Footer"/>
    <w:uiPriority w:val="99"/>
    <w:rsid w:val="0015781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A5D"/>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liases w:val="Plain Text,Char Char Char Char Char,Char Char Char Char"/>
    <w:basedOn w:val="Normal"/>
    <w:rsid w:val="00F37A5D"/>
    <w:pPr>
      <w:tabs>
        <w:tab w:val="left" w:pos="567"/>
      </w:tabs>
      <w:spacing w:before="120" w:after="160" w:line="240" w:lineRule="exact"/>
      <w:ind w:left="1584" w:hanging="504"/>
      <w:jc w:val="left"/>
    </w:pPr>
    <w:rPr>
      <w:rFonts w:ascii="Arial" w:hAnsi="Arial"/>
      <w:b/>
      <w:bCs/>
      <w:color w:val="000000"/>
    </w:rPr>
  </w:style>
  <w:style w:type="character" w:styleId="Strong">
    <w:name w:val="Strong"/>
    <w:qFormat/>
    <w:rsid w:val="00F37A5D"/>
    <w:rPr>
      <w:b/>
      <w:bCs/>
    </w:rPr>
  </w:style>
  <w:style w:type="paragraph" w:styleId="Header">
    <w:name w:val="header"/>
    <w:basedOn w:val="Normal"/>
    <w:link w:val="HeaderChar"/>
    <w:uiPriority w:val="99"/>
    <w:unhideWhenUsed/>
    <w:rsid w:val="0015781D"/>
    <w:pPr>
      <w:tabs>
        <w:tab w:val="center" w:pos="4680"/>
        <w:tab w:val="right" w:pos="9360"/>
      </w:tabs>
    </w:pPr>
  </w:style>
  <w:style w:type="character" w:customStyle="1" w:styleId="HeaderChar">
    <w:name w:val="Header Char"/>
    <w:basedOn w:val="DefaultParagraphFont"/>
    <w:link w:val="Header"/>
    <w:uiPriority w:val="99"/>
    <w:rsid w:val="0015781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5781D"/>
    <w:pPr>
      <w:tabs>
        <w:tab w:val="center" w:pos="4680"/>
        <w:tab w:val="right" w:pos="9360"/>
      </w:tabs>
    </w:pPr>
  </w:style>
  <w:style w:type="character" w:customStyle="1" w:styleId="FooterChar">
    <w:name w:val="Footer Char"/>
    <w:basedOn w:val="DefaultParagraphFont"/>
    <w:link w:val="Footer"/>
    <w:uiPriority w:val="99"/>
    <w:rsid w:val="0015781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734</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7</cp:revision>
  <dcterms:created xsi:type="dcterms:W3CDTF">2018-11-16T09:11:00Z</dcterms:created>
  <dcterms:modified xsi:type="dcterms:W3CDTF">2018-11-16T11:29:00Z</dcterms:modified>
</cp:coreProperties>
</file>