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D8F" w:rsidRPr="00C12624" w:rsidRDefault="00C90D8F" w:rsidP="00311785">
      <w:pPr>
        <w:jc w:val="center"/>
        <w:rPr>
          <w:rFonts w:ascii="Times New Roman" w:hAnsi="Times New Roman" w:cs="Times New Roman"/>
          <w:b/>
          <w:bCs/>
          <w:sz w:val="24"/>
          <w:szCs w:val="24"/>
          <w:lang w:val="sr-Cyrl-CS"/>
        </w:rPr>
      </w:pPr>
      <w:bookmarkStart w:id="0" w:name="_GoBack"/>
      <w:bookmarkEnd w:id="0"/>
      <w:r w:rsidRPr="00C12624">
        <w:rPr>
          <w:rFonts w:ascii="Times New Roman" w:hAnsi="Times New Roman" w:cs="Times New Roman"/>
          <w:b/>
          <w:bCs/>
          <w:sz w:val="24"/>
          <w:szCs w:val="24"/>
          <w:lang w:val="sr-Cyrl-CS"/>
        </w:rPr>
        <w:t>О Б Р А З Л О Ж Е Њ Е</w:t>
      </w:r>
    </w:p>
    <w:p w:rsidR="00C90D8F" w:rsidRPr="00C12624" w:rsidRDefault="00C90D8F" w:rsidP="00311785">
      <w:pPr>
        <w:pStyle w:val="Default"/>
        <w:jc w:val="both"/>
        <w:rPr>
          <w:rFonts w:ascii="Times New Roman" w:hAnsi="Times New Roman" w:cs="Times New Roman"/>
          <w:color w:val="auto"/>
          <w:lang w:val="sr-Cyrl-CS"/>
        </w:rPr>
      </w:pPr>
    </w:p>
    <w:p w:rsidR="00C90D8F" w:rsidRPr="00C12624" w:rsidRDefault="00C90D8F" w:rsidP="00311785">
      <w:pPr>
        <w:pStyle w:val="Default"/>
        <w:jc w:val="center"/>
        <w:rPr>
          <w:rFonts w:ascii="Times New Roman" w:hAnsi="Times New Roman" w:cs="Times New Roman"/>
          <w:b/>
          <w:color w:val="auto"/>
          <w:lang w:val="sr-Cyrl-CS"/>
        </w:rPr>
      </w:pPr>
      <w:r w:rsidRPr="00C12624">
        <w:rPr>
          <w:rFonts w:ascii="Times New Roman" w:hAnsi="Times New Roman" w:cs="Times New Roman"/>
          <w:b/>
          <w:color w:val="auto"/>
          <w:lang w:val="sr-Cyrl-CS"/>
        </w:rPr>
        <w:t>I</w:t>
      </w:r>
      <w:r w:rsidR="00CA4A11">
        <w:rPr>
          <w:rFonts w:ascii="Times New Roman" w:hAnsi="Times New Roman" w:cs="Times New Roman"/>
          <w:b/>
          <w:color w:val="auto"/>
          <w:lang w:val="sr-Cyrl-CS"/>
        </w:rPr>
        <w:t>.</w:t>
      </w:r>
      <w:r w:rsidRPr="00C12624">
        <w:rPr>
          <w:rFonts w:ascii="Times New Roman" w:hAnsi="Times New Roman" w:cs="Times New Roman"/>
          <w:b/>
          <w:color w:val="auto"/>
          <w:lang w:val="sr-Cyrl-CS"/>
        </w:rPr>
        <w:t xml:space="preserve"> УСТАВНИ ОСНОВ ЗА ДОНОШЕЊЕ ЗАКОНА</w:t>
      </w:r>
    </w:p>
    <w:p w:rsidR="00C90D8F" w:rsidRPr="00C12624" w:rsidRDefault="00C90D8F" w:rsidP="00311785">
      <w:pPr>
        <w:pStyle w:val="Default"/>
        <w:jc w:val="both"/>
        <w:rPr>
          <w:rFonts w:ascii="Times New Roman" w:hAnsi="Times New Roman" w:cs="Times New Roman"/>
          <w:color w:val="auto"/>
          <w:lang w:val="sr-Cyrl-CS"/>
        </w:rPr>
      </w:pPr>
    </w:p>
    <w:p w:rsidR="00C90D8F" w:rsidRPr="00C12624" w:rsidRDefault="00C90D8F" w:rsidP="00311785">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Правни основ за доношење</w:t>
      </w:r>
      <w:r w:rsidR="00CA4A11">
        <w:rPr>
          <w:rFonts w:ascii="Times New Roman" w:hAnsi="Times New Roman" w:cs="Times New Roman"/>
          <w:sz w:val="24"/>
          <w:szCs w:val="24"/>
          <w:lang w:val="sr-Cyrl-RS"/>
        </w:rPr>
        <w:t xml:space="preserve"> овог</w:t>
      </w:r>
      <w:r w:rsidRPr="00C12624">
        <w:rPr>
          <w:rFonts w:ascii="Times New Roman" w:hAnsi="Times New Roman" w:cs="Times New Roman"/>
          <w:sz w:val="24"/>
          <w:szCs w:val="24"/>
          <w:lang w:val="sr-Cyrl-CS"/>
        </w:rPr>
        <w:t xml:space="preserve"> </w:t>
      </w:r>
      <w:r w:rsidR="00CA4A11" w:rsidRPr="00C12624">
        <w:rPr>
          <w:rFonts w:ascii="Times New Roman" w:hAnsi="Times New Roman" w:cs="Times New Roman"/>
          <w:sz w:val="24"/>
          <w:szCs w:val="24"/>
          <w:lang w:val="sr-Cyrl-CS"/>
        </w:rPr>
        <w:t xml:space="preserve">закона </w:t>
      </w:r>
      <w:r w:rsidRPr="00C12624">
        <w:rPr>
          <w:rFonts w:ascii="Times New Roman" w:hAnsi="Times New Roman" w:cs="Times New Roman"/>
          <w:sz w:val="24"/>
          <w:szCs w:val="24"/>
          <w:lang w:val="sr-Cyrl-CS"/>
        </w:rPr>
        <w:t>садржан је у одредби члана 99. став 1. тачка 7. Устава Републике Србије</w:t>
      </w:r>
      <w:r w:rsidR="00CA4A11">
        <w:rPr>
          <w:rFonts w:ascii="Times New Roman" w:hAnsi="Times New Roman" w:cs="Times New Roman"/>
          <w:sz w:val="24"/>
          <w:szCs w:val="24"/>
          <w:lang w:val="sr-Cyrl-CS"/>
        </w:rPr>
        <w:t>,</w:t>
      </w:r>
      <w:r w:rsidRPr="00C12624">
        <w:rPr>
          <w:rFonts w:ascii="Times New Roman" w:hAnsi="Times New Roman" w:cs="Times New Roman"/>
          <w:sz w:val="24"/>
          <w:szCs w:val="24"/>
          <w:lang w:val="sr-Cyrl-CS"/>
        </w:rPr>
        <w:t xml:space="preserve">  која прописује да Народна скупштина доноси законе и друге опште акте из надлежности Републике Србије, као и одредби члана 97. тач. 6. и 8, којима је прописано да Република Србија, поред осталог, уређује и обезбеђује: јединствено тржиште,</w:t>
      </w:r>
      <w:r w:rsidR="00C12624">
        <w:rPr>
          <w:rFonts w:ascii="Times New Roman" w:hAnsi="Times New Roman" w:cs="Times New Roman"/>
          <w:sz w:val="24"/>
          <w:szCs w:val="24"/>
        </w:rPr>
        <w:t xml:space="preserve"> </w:t>
      </w:r>
      <w:r w:rsidRPr="00C12624">
        <w:rPr>
          <w:rFonts w:ascii="Times New Roman" w:hAnsi="Times New Roman" w:cs="Times New Roman"/>
          <w:sz w:val="24"/>
          <w:szCs w:val="24"/>
          <w:lang w:val="sr-Cyrl-CS"/>
        </w:rPr>
        <w:t>систем</w:t>
      </w:r>
      <w:r w:rsidR="0092395D" w:rsidRPr="00C12624">
        <w:rPr>
          <w:rFonts w:ascii="Times New Roman" w:hAnsi="Times New Roman" w:cs="Times New Roman"/>
          <w:sz w:val="24"/>
          <w:szCs w:val="24"/>
          <w:lang w:val="sr-Cyrl-CS"/>
        </w:rPr>
        <w:t xml:space="preserve"> </w:t>
      </w:r>
      <w:r w:rsidRPr="00C12624">
        <w:rPr>
          <w:rFonts w:ascii="Times New Roman" w:hAnsi="Times New Roman" w:cs="Times New Roman"/>
          <w:sz w:val="24"/>
          <w:szCs w:val="24"/>
          <w:lang w:val="sr-Cyrl-CS"/>
        </w:rPr>
        <w:t>обављања</w:t>
      </w:r>
      <w:r w:rsidR="002B5BB7" w:rsidRPr="00C12624">
        <w:rPr>
          <w:rFonts w:ascii="Times New Roman" w:hAnsi="Times New Roman" w:cs="Times New Roman"/>
          <w:sz w:val="24"/>
          <w:szCs w:val="24"/>
          <w:lang w:val="sr-Cyrl-CS"/>
        </w:rPr>
        <w:t xml:space="preserve"> </w:t>
      </w:r>
      <w:r w:rsidRPr="00C12624">
        <w:rPr>
          <w:rFonts w:ascii="Times New Roman" w:hAnsi="Times New Roman" w:cs="Times New Roman"/>
          <w:sz w:val="24"/>
          <w:szCs w:val="24"/>
          <w:lang w:val="sr-Cyrl-CS"/>
        </w:rPr>
        <w:t>привредних</w:t>
      </w:r>
      <w:r w:rsidR="002B5BB7" w:rsidRPr="00C12624">
        <w:rPr>
          <w:rFonts w:ascii="Times New Roman" w:hAnsi="Times New Roman" w:cs="Times New Roman"/>
          <w:sz w:val="24"/>
          <w:szCs w:val="24"/>
          <w:lang w:val="sr-Cyrl-CS"/>
        </w:rPr>
        <w:t xml:space="preserve"> </w:t>
      </w:r>
      <w:r w:rsidRPr="00C12624">
        <w:rPr>
          <w:rFonts w:ascii="Times New Roman" w:hAnsi="Times New Roman" w:cs="Times New Roman"/>
          <w:sz w:val="24"/>
          <w:szCs w:val="24"/>
          <w:lang w:val="sr-Cyrl-CS"/>
        </w:rPr>
        <w:t>и других делатности, те друге економске и социјалне односе од општег интереса.</w:t>
      </w:r>
    </w:p>
    <w:p w:rsidR="00C90D8F" w:rsidRPr="00C12624" w:rsidRDefault="00C90D8F" w:rsidP="00311785">
      <w:pPr>
        <w:pStyle w:val="Default"/>
        <w:jc w:val="both"/>
        <w:rPr>
          <w:rFonts w:ascii="Times New Roman" w:hAnsi="Times New Roman" w:cs="Times New Roman"/>
          <w:color w:val="auto"/>
          <w:lang w:val="sr-Cyrl-CS"/>
        </w:rPr>
      </w:pPr>
    </w:p>
    <w:p w:rsidR="00C90D8F" w:rsidRPr="00C12624" w:rsidRDefault="00C90D8F" w:rsidP="00311785">
      <w:pPr>
        <w:pStyle w:val="Default"/>
        <w:ind w:firstLine="720"/>
        <w:jc w:val="center"/>
        <w:rPr>
          <w:rFonts w:ascii="Times New Roman" w:hAnsi="Times New Roman" w:cs="Times New Roman"/>
          <w:b/>
          <w:color w:val="auto"/>
          <w:lang w:val="sr-Cyrl-CS"/>
        </w:rPr>
      </w:pPr>
      <w:r w:rsidRPr="00C12624">
        <w:rPr>
          <w:rFonts w:ascii="Times New Roman" w:hAnsi="Times New Roman" w:cs="Times New Roman"/>
          <w:b/>
          <w:color w:val="auto"/>
          <w:lang w:val="sr-Cyrl-CS"/>
        </w:rPr>
        <w:t>II</w:t>
      </w:r>
      <w:r w:rsidR="00CA4A11">
        <w:rPr>
          <w:rFonts w:ascii="Times New Roman" w:hAnsi="Times New Roman" w:cs="Times New Roman"/>
          <w:b/>
          <w:color w:val="auto"/>
          <w:lang w:val="sr-Cyrl-CS"/>
        </w:rPr>
        <w:t>.</w:t>
      </w:r>
      <w:r w:rsidRPr="00C12624">
        <w:rPr>
          <w:rFonts w:ascii="Times New Roman" w:hAnsi="Times New Roman" w:cs="Times New Roman"/>
          <w:b/>
          <w:color w:val="auto"/>
          <w:lang w:val="sr-Cyrl-CS"/>
        </w:rPr>
        <w:t xml:space="preserve"> РАЗЛОЗИ ЗА </w:t>
      </w:r>
      <w:r w:rsidR="008760EB" w:rsidRPr="00C12624">
        <w:rPr>
          <w:rFonts w:ascii="Times New Roman" w:hAnsi="Times New Roman" w:cs="Times New Roman"/>
          <w:b/>
          <w:color w:val="auto"/>
          <w:lang w:val="sr-Cyrl-CS"/>
        </w:rPr>
        <w:t>ДОПУНУ</w:t>
      </w:r>
      <w:r w:rsidR="00CC05BA" w:rsidRPr="00C12624">
        <w:rPr>
          <w:rFonts w:ascii="Times New Roman" w:hAnsi="Times New Roman" w:cs="Times New Roman"/>
          <w:b/>
          <w:color w:val="auto"/>
          <w:lang w:val="sr-Cyrl-CS"/>
        </w:rPr>
        <w:t xml:space="preserve"> </w:t>
      </w:r>
      <w:r w:rsidRPr="00C12624">
        <w:rPr>
          <w:rFonts w:ascii="Times New Roman" w:hAnsi="Times New Roman" w:cs="Times New Roman"/>
          <w:b/>
          <w:color w:val="auto"/>
          <w:lang w:val="sr-Cyrl-CS"/>
        </w:rPr>
        <w:t>ЗАКОНА О КОМУНАЛНИМ ДЕЛАТНОСТИМА И ЦИЉЕВИ КОЈИ СЕ ОСТВАРУЈУ</w:t>
      </w:r>
    </w:p>
    <w:p w:rsidR="00C90D8F" w:rsidRPr="00C12624" w:rsidRDefault="00C90D8F" w:rsidP="00311785">
      <w:pPr>
        <w:pStyle w:val="Default"/>
        <w:jc w:val="both"/>
        <w:rPr>
          <w:rFonts w:ascii="Times New Roman" w:hAnsi="Times New Roman" w:cs="Times New Roman"/>
          <w:color w:val="auto"/>
          <w:lang w:val="sr-Cyrl-CS"/>
        </w:rPr>
      </w:pPr>
    </w:p>
    <w:p w:rsidR="00567BD7" w:rsidRPr="00C12624" w:rsidRDefault="00311785" w:rsidP="00311785">
      <w:pPr>
        <w:tabs>
          <w:tab w:val="left" w:pos="709"/>
        </w:tabs>
        <w:rPr>
          <w:rFonts w:ascii="Times New Roman" w:hAnsi="Times New Roman" w:cs="Times New Roman"/>
          <w:sz w:val="24"/>
          <w:szCs w:val="24"/>
          <w:lang w:val="sr-Cyrl-CS"/>
        </w:rPr>
      </w:pPr>
      <w:r w:rsidRPr="00C12624">
        <w:rPr>
          <w:rFonts w:ascii="Times New Roman" w:hAnsi="Times New Roman" w:cs="Times New Roman"/>
          <w:sz w:val="24"/>
          <w:szCs w:val="24"/>
          <w:lang w:val="sr-Cyrl-CS"/>
        </w:rPr>
        <w:tab/>
      </w:r>
      <w:r w:rsidR="00C90D8F" w:rsidRPr="00C12624">
        <w:rPr>
          <w:rFonts w:ascii="Times New Roman" w:hAnsi="Times New Roman" w:cs="Times New Roman"/>
          <w:sz w:val="24"/>
          <w:szCs w:val="24"/>
          <w:lang w:val="sr-Cyrl-CS"/>
        </w:rPr>
        <w:t>Комуналне делатности су делатности од општег интереса и од изузетног су значаја за нормално функционисање заједнице, њених становника и правних лица. Закон о комуналним делатностима прописује комуналне делатности и уређује опште услове и начин њиховог обав</w:t>
      </w:r>
      <w:r w:rsidR="00567BD7" w:rsidRPr="00C12624">
        <w:rPr>
          <w:rFonts w:ascii="Times New Roman" w:hAnsi="Times New Roman" w:cs="Times New Roman"/>
          <w:sz w:val="24"/>
          <w:szCs w:val="24"/>
          <w:lang w:val="sr-Cyrl-CS"/>
        </w:rPr>
        <w:t>љања.</w:t>
      </w:r>
    </w:p>
    <w:p w:rsidR="00311785" w:rsidRPr="00C12624" w:rsidRDefault="00C90D8F" w:rsidP="00311785">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Уставом Републике Србије, чланом 190.</w:t>
      </w:r>
      <w:r w:rsidR="002B5BB7" w:rsidRPr="00C12624">
        <w:rPr>
          <w:rFonts w:ascii="Times New Roman" w:hAnsi="Times New Roman" w:cs="Times New Roman"/>
          <w:sz w:val="24"/>
          <w:szCs w:val="24"/>
          <w:lang w:val="sr-Cyrl-CS"/>
        </w:rPr>
        <w:t xml:space="preserve"> </w:t>
      </w:r>
      <w:r w:rsidRPr="00C12624">
        <w:rPr>
          <w:rFonts w:ascii="Times New Roman" w:hAnsi="Times New Roman" w:cs="Times New Roman"/>
          <w:sz w:val="24"/>
          <w:szCs w:val="24"/>
          <w:lang w:val="sr-Cyrl-CS"/>
        </w:rPr>
        <w:t>став 1. тачка 1) прописано је да општина, преко својих органа, у складу са законом уређује и обезбеђује обављање и развој комуналних делатности. Дакле, јединице локалне самоуправе су у уставној и законској обавези да обезбеде услове за обављање комуналних делатности у складу са законом који регулише комуналне делатности.</w:t>
      </w:r>
    </w:p>
    <w:p w:rsidR="00311785" w:rsidRPr="00C12624" w:rsidRDefault="00C90D8F" w:rsidP="00311785">
      <w:pPr>
        <w:ind w:firstLine="720"/>
        <w:rPr>
          <w:rFonts w:ascii="Times New Roman" w:hAnsi="Times New Roman" w:cs="Times New Roman"/>
          <w:sz w:val="24"/>
          <w:szCs w:val="24"/>
          <w:lang w:val="sr-Cyrl-CS"/>
        </w:rPr>
      </w:pPr>
      <w:r w:rsidRPr="00C12624">
        <w:rPr>
          <w:rFonts w:ascii="Times New Roman" w:eastAsia="Calibri" w:hAnsi="Times New Roman" w:cs="Times New Roman"/>
          <w:sz w:val="24"/>
          <w:szCs w:val="24"/>
          <w:lang w:val="sr-Cyrl-CS"/>
        </w:rPr>
        <w:t>Одредбом члана 190. став 1. т</w:t>
      </w:r>
      <w:r w:rsidR="008760EB" w:rsidRPr="00C12624">
        <w:rPr>
          <w:rFonts w:ascii="Times New Roman" w:eastAsia="Calibri" w:hAnsi="Times New Roman" w:cs="Times New Roman"/>
          <w:sz w:val="24"/>
          <w:szCs w:val="24"/>
          <w:lang w:val="sr-Cyrl-CS"/>
        </w:rPr>
        <w:t xml:space="preserve">ачка 1. Устава Републике Србије је </w:t>
      </w:r>
      <w:r w:rsidRPr="00C12624">
        <w:rPr>
          <w:rFonts w:ascii="Times New Roman" w:eastAsia="Calibri" w:hAnsi="Times New Roman" w:cs="Times New Roman"/>
          <w:sz w:val="24"/>
          <w:szCs w:val="24"/>
          <w:lang w:val="sr-Cyrl-CS"/>
        </w:rPr>
        <w:t xml:space="preserve">прописано да општина, преко својих органа, у складу са законом уређује и обезбеђује обављање и развој комуналних делатности, а Законом о комуналним делатностима предвиђено је да је </w:t>
      </w:r>
      <w:r w:rsidRPr="00C12624">
        <w:rPr>
          <w:rFonts w:ascii="Times New Roman" w:hAnsi="Times New Roman" w:cs="Times New Roman"/>
          <w:bCs/>
          <w:iCs/>
          <w:sz w:val="24"/>
          <w:szCs w:val="24"/>
          <w:lang w:val="sr-Cyrl-CS"/>
        </w:rPr>
        <w:t xml:space="preserve">јединица локалне самоуправе дужна да створи услове за обезбеђење одговарајућег квалитета, обима, доступности и континуитета, као и надзор над њиховим вршењем </w:t>
      </w:r>
      <w:r w:rsidRPr="00C12624">
        <w:rPr>
          <w:rFonts w:ascii="Times New Roman" w:hAnsi="Times New Roman" w:cs="Times New Roman"/>
          <w:sz w:val="24"/>
          <w:szCs w:val="24"/>
          <w:lang w:val="sr-Cyrl-CS"/>
        </w:rPr>
        <w:t>(члан 2. став 1.).</w:t>
      </w:r>
    </w:p>
    <w:p w:rsidR="00311785" w:rsidRPr="00C12624" w:rsidRDefault="00C90D8F" w:rsidP="00311785">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Одредбама </w:t>
      </w:r>
      <w:r w:rsidRPr="00C12624">
        <w:rPr>
          <w:rFonts w:ascii="Times New Roman" w:eastAsia="Calibri" w:hAnsi="Times New Roman" w:cs="Times New Roman"/>
          <w:sz w:val="24"/>
          <w:szCs w:val="24"/>
          <w:lang w:val="sr-Cyrl-CS"/>
        </w:rPr>
        <w:t>Закона о комуналним делатностима прописано је да</w:t>
      </w:r>
      <w:r w:rsidRPr="00C12624">
        <w:rPr>
          <w:rFonts w:ascii="Times New Roman" w:hAnsi="Times New Roman" w:cs="Times New Roman"/>
          <w:sz w:val="24"/>
          <w:szCs w:val="24"/>
          <w:lang w:val="sr-Cyrl-CS"/>
        </w:rPr>
        <w:t xml:space="preserve"> комуналне делатности могу обављати јавна предузећа, привредна друштва, предузетници или други привредни субјекти</w:t>
      </w:r>
      <w:r w:rsidR="002B5BB7" w:rsidRPr="00C12624">
        <w:rPr>
          <w:rFonts w:ascii="Times New Roman" w:hAnsi="Times New Roman" w:cs="Times New Roman"/>
          <w:sz w:val="24"/>
          <w:szCs w:val="24"/>
          <w:lang w:val="sr-Cyrl-CS"/>
        </w:rPr>
        <w:t xml:space="preserve"> </w:t>
      </w:r>
      <w:r w:rsidRPr="00C12624">
        <w:rPr>
          <w:rFonts w:ascii="Times New Roman" w:hAnsi="Times New Roman" w:cs="Times New Roman"/>
          <w:sz w:val="24"/>
          <w:szCs w:val="24"/>
          <w:lang w:val="sr-Cyrl-CS"/>
        </w:rPr>
        <w:t>(члан 5. став 1), као и да</w:t>
      </w:r>
      <w:r w:rsidR="002B5BB7" w:rsidRPr="00C12624">
        <w:rPr>
          <w:rFonts w:ascii="Times New Roman" w:hAnsi="Times New Roman" w:cs="Times New Roman"/>
          <w:sz w:val="24"/>
          <w:szCs w:val="24"/>
          <w:lang w:val="sr-Cyrl-CS"/>
        </w:rPr>
        <w:t xml:space="preserve"> </w:t>
      </w:r>
      <w:r w:rsidRPr="00C12624">
        <w:rPr>
          <w:rFonts w:ascii="Times New Roman" w:eastAsia="Calibri" w:hAnsi="Times New Roman" w:cs="Times New Roman"/>
          <w:sz w:val="24"/>
          <w:szCs w:val="24"/>
          <w:lang w:val="sr-Cyrl-CS"/>
        </w:rPr>
        <w:t xml:space="preserve">се </w:t>
      </w:r>
      <w:r w:rsidRPr="00C12624">
        <w:rPr>
          <w:rFonts w:ascii="Times New Roman" w:hAnsi="Times New Roman" w:cs="Times New Roman"/>
          <w:color w:val="000000"/>
          <w:sz w:val="24"/>
          <w:szCs w:val="24"/>
          <w:shd w:val="clear" w:color="auto" w:fill="FFFFFF"/>
          <w:lang w:val="sr-Cyrl-CS"/>
        </w:rPr>
        <w:t>поверавање обављања комуналне делатности врши на основу одлуке скупштине јединице локалне самоуправе о начину обављања комуналне делатности и уговора о поверавању, осим када се оснива јавно предузеће</w:t>
      </w:r>
      <w:r w:rsidR="002B5BB7" w:rsidRPr="00C12624">
        <w:rPr>
          <w:rFonts w:ascii="Times New Roman" w:hAnsi="Times New Roman" w:cs="Times New Roman"/>
          <w:color w:val="000000"/>
          <w:sz w:val="24"/>
          <w:szCs w:val="24"/>
          <w:shd w:val="clear" w:color="auto" w:fill="FFFFFF"/>
          <w:lang w:val="sr-Cyrl-CS"/>
        </w:rPr>
        <w:t xml:space="preserve"> </w:t>
      </w:r>
      <w:r w:rsidRPr="00C12624">
        <w:rPr>
          <w:rFonts w:ascii="Times New Roman" w:hAnsi="Times New Roman" w:cs="Times New Roman"/>
          <w:sz w:val="24"/>
          <w:szCs w:val="24"/>
          <w:lang w:val="sr-Cyrl-CS"/>
        </w:rPr>
        <w:t>(члан 9).</w:t>
      </w:r>
    </w:p>
    <w:p w:rsidR="00311785" w:rsidRPr="00C12624" w:rsidRDefault="00C90D8F" w:rsidP="00311785">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Међутим, одредбом члана 5. став 2. истог закона прописано је да комуналну делатност снабдевање водом за пиће и комуналну делатност градски и приградски превоз путника у делу који обухвата обављање јавног линијског превоза путника тролејбусима и трамвајима могу обављати искључиво јавна предузећа које оснива јединица локалне самоуправе, друштво с ограниченом одговорношћу и акционарско друштво (у даљем тексту: друштво капитала) чији је једини власник јавно предузеће, односно чији је једини власник јединица локалне самоуправе, као и зависно друштво чији је једини власник то друштво капитала.</w:t>
      </w:r>
    </w:p>
    <w:p w:rsidR="00311785" w:rsidRPr="00C12624" w:rsidRDefault="00C90D8F" w:rsidP="00311785">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Из наведеног произлази да искључиво </w:t>
      </w:r>
      <w:r w:rsidR="00363E87" w:rsidRPr="00C12624">
        <w:rPr>
          <w:rFonts w:ascii="Times New Roman" w:hAnsi="Times New Roman" w:cs="Times New Roman"/>
          <w:sz w:val="24"/>
          <w:szCs w:val="24"/>
          <w:lang w:val="sr-Cyrl-CS"/>
        </w:rPr>
        <w:t xml:space="preserve">лице из правног сектора </w:t>
      </w:r>
      <w:r w:rsidR="00792238" w:rsidRPr="00C12624">
        <w:rPr>
          <w:rFonts w:ascii="Times New Roman" w:hAnsi="Times New Roman" w:cs="Times New Roman"/>
          <w:sz w:val="24"/>
          <w:szCs w:val="24"/>
          <w:lang w:val="sr-Cyrl-CS"/>
        </w:rPr>
        <w:t>или друштво капитала</w:t>
      </w:r>
      <w:r w:rsidRPr="00C12624">
        <w:rPr>
          <w:rFonts w:ascii="Times New Roman" w:hAnsi="Times New Roman" w:cs="Times New Roman"/>
          <w:sz w:val="24"/>
          <w:szCs w:val="24"/>
          <w:lang w:val="sr-Cyrl-CS"/>
        </w:rPr>
        <w:t xml:space="preserve"> које оснива јединица локалне самоуправе</w:t>
      </w:r>
      <w:r w:rsidR="00A53416" w:rsidRPr="00C12624">
        <w:rPr>
          <w:rFonts w:ascii="Times New Roman" w:hAnsi="Times New Roman" w:cs="Times New Roman"/>
          <w:sz w:val="24"/>
          <w:szCs w:val="24"/>
          <w:lang w:val="sr-Cyrl-CS"/>
        </w:rPr>
        <w:t>, односно јавно предузеће</w:t>
      </w:r>
      <w:r w:rsidR="008760EB" w:rsidRPr="00C12624">
        <w:rPr>
          <w:rFonts w:ascii="Times New Roman" w:hAnsi="Times New Roman" w:cs="Times New Roman"/>
          <w:sz w:val="24"/>
          <w:szCs w:val="24"/>
          <w:lang w:val="sr-Cyrl-CS"/>
        </w:rPr>
        <w:t xml:space="preserve"> може</w:t>
      </w:r>
      <w:r w:rsidRPr="00C12624">
        <w:rPr>
          <w:rFonts w:ascii="Times New Roman" w:hAnsi="Times New Roman" w:cs="Times New Roman"/>
          <w:sz w:val="24"/>
          <w:szCs w:val="24"/>
          <w:lang w:val="sr-Cyrl-CS"/>
        </w:rPr>
        <w:t xml:space="preserve"> обављати комуналну делатност снабдевање водом за пиће и јавни превоз трамвајима и </w:t>
      </w:r>
      <w:r w:rsidRPr="00C12624">
        <w:rPr>
          <w:rFonts w:ascii="Times New Roman" w:hAnsi="Times New Roman" w:cs="Times New Roman"/>
          <w:sz w:val="24"/>
          <w:szCs w:val="24"/>
          <w:lang w:val="sr-Cyrl-CS"/>
        </w:rPr>
        <w:lastRenderedPageBreak/>
        <w:t>тролејбусима</w:t>
      </w:r>
      <w:r w:rsidRPr="00C12624">
        <w:rPr>
          <w:rFonts w:ascii="Times New Roman" w:hAnsi="Times New Roman" w:cs="Times New Roman"/>
          <w:bCs/>
          <w:color w:val="000000"/>
          <w:sz w:val="24"/>
          <w:szCs w:val="24"/>
          <w:shd w:val="clear" w:color="auto" w:fill="FFFFFF"/>
          <w:lang w:val="sr-Cyrl-CS"/>
        </w:rPr>
        <w:t>, а да</w:t>
      </w:r>
      <w:r w:rsidRPr="00C12624">
        <w:rPr>
          <w:rFonts w:ascii="Times New Roman" w:eastAsia="Calibri" w:hAnsi="Times New Roman" w:cs="Times New Roman"/>
          <w:sz w:val="24"/>
          <w:szCs w:val="24"/>
          <w:lang w:val="sr-Cyrl-CS"/>
        </w:rPr>
        <w:t xml:space="preserve"> је да је </w:t>
      </w:r>
      <w:r w:rsidRPr="00C12624">
        <w:rPr>
          <w:rFonts w:ascii="Times New Roman" w:hAnsi="Times New Roman" w:cs="Times New Roman"/>
          <w:bCs/>
          <w:iCs/>
          <w:sz w:val="24"/>
          <w:szCs w:val="24"/>
          <w:lang w:val="sr-Cyrl-CS"/>
        </w:rPr>
        <w:t>јединица локалне самоуправе дужна да створи услове за обезбеђење одговарајућег квалитета, обима, доступности и континуитета, као и надзор над њиховим вршењем</w:t>
      </w:r>
      <w:r w:rsidRPr="00C12624">
        <w:rPr>
          <w:rFonts w:ascii="Times New Roman" w:hAnsi="Times New Roman" w:cs="Times New Roman"/>
          <w:bCs/>
          <w:color w:val="000000"/>
          <w:sz w:val="24"/>
          <w:szCs w:val="24"/>
          <w:shd w:val="clear" w:color="auto" w:fill="FFFFFF"/>
          <w:lang w:val="sr-Cyrl-CS"/>
        </w:rPr>
        <w:t>.</w:t>
      </w:r>
    </w:p>
    <w:p w:rsidR="00311785" w:rsidRPr="00C12624" w:rsidRDefault="00567BD7" w:rsidP="00311785">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Имајући у виду да су локалне самоуправе под сталним притиском да подигну ниво квалитета комуналних делатности и унапреде пружање јавних услуга, при чему располажу ограниченим средствима, </w:t>
      </w:r>
      <w:r w:rsidR="00A53416" w:rsidRPr="00C12624">
        <w:rPr>
          <w:rFonts w:ascii="Times New Roman" w:hAnsi="Times New Roman" w:cs="Times New Roman"/>
          <w:sz w:val="24"/>
          <w:szCs w:val="24"/>
          <w:lang w:val="sr-Cyrl-CS"/>
        </w:rPr>
        <w:t>п</w:t>
      </w:r>
      <w:r w:rsidRPr="00C12624">
        <w:rPr>
          <w:rFonts w:ascii="Times New Roman" w:hAnsi="Times New Roman" w:cs="Times New Roman"/>
          <w:sz w:val="24"/>
          <w:szCs w:val="24"/>
          <w:lang w:val="sr-Cyrl-CS"/>
        </w:rPr>
        <w:t>овезивање јавног и приватног сектора омогућава трајну подршку развоју и имплементацији локалних стратегија одрживог развоја ради унапређења квалитета живота грађана. Суштина увођења приватног сектора у традиционалне јавне послове јесте смањење фискалног притиска на локални буџет, убрзање инфраструктурних улагања, побољшање услуга, али и подстицање раста друштвеног производа и бољег живота грађана. До развоја овакве сарадње, односно поверавања одређених делатности од стране јавног сектора долази услед недостатка јавних средстава за финансирање јавних услуга и комуналне инфраструктуре.</w:t>
      </w:r>
    </w:p>
    <w:p w:rsidR="00311785" w:rsidRPr="00C12624" w:rsidRDefault="00C90D8F" w:rsidP="00311785">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На овај начин омогућава се и изградња </w:t>
      </w:r>
      <w:r w:rsidR="00A53416" w:rsidRPr="00C12624">
        <w:rPr>
          <w:rFonts w:ascii="Times New Roman" w:hAnsi="Times New Roman" w:cs="Times New Roman"/>
          <w:sz w:val="24"/>
          <w:szCs w:val="24"/>
          <w:lang w:val="sr-Cyrl-CS"/>
        </w:rPr>
        <w:t xml:space="preserve">комуналне инфраструктуре </w:t>
      </w:r>
      <w:r w:rsidRPr="00C12624">
        <w:rPr>
          <w:rFonts w:ascii="Times New Roman" w:hAnsi="Times New Roman" w:cs="Times New Roman"/>
          <w:sz w:val="24"/>
          <w:szCs w:val="24"/>
          <w:lang w:val="sr-Cyrl-CS"/>
        </w:rPr>
        <w:t>која изискуј</w:t>
      </w:r>
      <w:r w:rsidR="00A53416" w:rsidRPr="00C12624">
        <w:rPr>
          <w:rFonts w:ascii="Times New Roman" w:hAnsi="Times New Roman" w:cs="Times New Roman"/>
          <w:sz w:val="24"/>
          <w:szCs w:val="24"/>
          <w:lang w:val="sr-Cyrl-CS"/>
        </w:rPr>
        <w:t>е</w:t>
      </w:r>
      <w:r w:rsidRPr="00C12624">
        <w:rPr>
          <w:rFonts w:ascii="Times New Roman" w:hAnsi="Times New Roman" w:cs="Times New Roman"/>
          <w:sz w:val="24"/>
          <w:szCs w:val="24"/>
          <w:lang w:val="sr-Cyrl-CS"/>
        </w:rPr>
        <w:t xml:space="preserve"> знатна финансијска средства кој</w:t>
      </w:r>
      <w:r w:rsidR="008760EB" w:rsidRPr="00C12624">
        <w:rPr>
          <w:rFonts w:ascii="Times New Roman" w:hAnsi="Times New Roman" w:cs="Times New Roman"/>
          <w:sz w:val="24"/>
          <w:szCs w:val="24"/>
          <w:lang w:val="sr-Cyrl-CS"/>
        </w:rPr>
        <w:t>е</w:t>
      </w:r>
      <w:r w:rsidR="003816FC" w:rsidRPr="00C12624">
        <w:rPr>
          <w:rFonts w:ascii="Times New Roman" w:hAnsi="Times New Roman" w:cs="Times New Roman"/>
          <w:sz w:val="24"/>
          <w:szCs w:val="24"/>
          <w:lang w:val="sr-Cyrl-CS"/>
        </w:rPr>
        <w:t xml:space="preserve"> </w:t>
      </w:r>
      <w:r w:rsidR="008760EB" w:rsidRPr="00C12624">
        <w:rPr>
          <w:rFonts w:ascii="Times New Roman" w:hAnsi="Times New Roman" w:cs="Times New Roman"/>
          <w:sz w:val="24"/>
          <w:szCs w:val="24"/>
          <w:lang w:val="sr-Cyrl-CS"/>
        </w:rPr>
        <w:t>јединице</w:t>
      </w:r>
      <w:r w:rsidRPr="00C12624">
        <w:rPr>
          <w:rFonts w:ascii="Times New Roman" w:hAnsi="Times New Roman" w:cs="Times New Roman"/>
          <w:sz w:val="24"/>
          <w:szCs w:val="24"/>
          <w:lang w:val="sr-Cyrl-CS"/>
        </w:rPr>
        <w:t xml:space="preserve"> локалне самоуправе без приватног партнера нису у позицији да изграде, а што у крајњем исходу има утицај на повећање квалитета комуналне услуге за крајње кориснике - грађане и грађанке Републике Србије.</w:t>
      </w:r>
    </w:p>
    <w:p w:rsidR="00C90D8F" w:rsidRPr="00C12624" w:rsidRDefault="00C90D8F" w:rsidP="009A6D65">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Због све веће потребе за изградњом јавне </w:t>
      </w:r>
      <w:r w:rsidR="00A53416" w:rsidRPr="00C12624">
        <w:rPr>
          <w:rFonts w:ascii="Times New Roman" w:hAnsi="Times New Roman" w:cs="Times New Roman"/>
          <w:sz w:val="24"/>
          <w:szCs w:val="24"/>
          <w:lang w:val="sr-Cyrl-CS"/>
        </w:rPr>
        <w:t xml:space="preserve">(посебно комуналне) </w:t>
      </w:r>
      <w:r w:rsidRPr="00C12624">
        <w:rPr>
          <w:rFonts w:ascii="Times New Roman" w:hAnsi="Times New Roman" w:cs="Times New Roman"/>
          <w:sz w:val="24"/>
          <w:szCs w:val="24"/>
          <w:lang w:val="sr-Cyrl-CS"/>
        </w:rPr>
        <w:t>инфраструктуре, улагањима у добра од општег интереса и ефикасним пружањем услуга од јавног значаја, као неопходном се указала потреба за стварањем одговарајућег правног оквира. Јавна комунална предузећа из сопствених прихода треба не само да финансирају текуће издатке, већ и капитална улагања и инвестиције у опрему и објекте комуналне инфраструктуре без којих није могуће поуздано и стабилно задовољити комуналне потребе становништва.</w:t>
      </w:r>
    </w:p>
    <w:p w:rsidR="00C90D8F" w:rsidRPr="00C12624" w:rsidRDefault="00C90D8F" w:rsidP="00311785">
      <w:pPr>
        <w:shd w:val="clear" w:color="auto" w:fill="FFFFFF"/>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Стога је неопходно да се правна форма у којој послују вршиоци комуналних де</w:t>
      </w:r>
      <w:r w:rsidR="002B6CFB" w:rsidRPr="00C12624">
        <w:rPr>
          <w:rFonts w:ascii="Times New Roman" w:hAnsi="Times New Roman" w:cs="Times New Roman"/>
          <w:sz w:val="24"/>
          <w:szCs w:val="24"/>
          <w:lang w:val="sr-Cyrl-CS"/>
        </w:rPr>
        <w:t>латности допуном</w:t>
      </w:r>
      <w:r w:rsidRPr="00C12624">
        <w:rPr>
          <w:rFonts w:ascii="Times New Roman" w:hAnsi="Times New Roman" w:cs="Times New Roman"/>
          <w:sz w:val="24"/>
          <w:szCs w:val="24"/>
          <w:lang w:val="sr-Cyrl-CS"/>
        </w:rPr>
        <w:t xml:space="preserve"> Закона о комуналним делатностима уреди да комуналне дел</w:t>
      </w:r>
      <w:r w:rsidR="00363E87" w:rsidRPr="00C12624">
        <w:rPr>
          <w:rFonts w:ascii="Times New Roman" w:hAnsi="Times New Roman" w:cs="Times New Roman"/>
          <w:sz w:val="24"/>
          <w:szCs w:val="24"/>
          <w:lang w:val="sr-Cyrl-CS"/>
        </w:rPr>
        <w:t>атности обављају правна лица из јавног сектора</w:t>
      </w:r>
      <w:r w:rsidRPr="00C12624">
        <w:rPr>
          <w:rFonts w:ascii="Times New Roman" w:hAnsi="Times New Roman" w:cs="Times New Roman"/>
          <w:sz w:val="24"/>
          <w:szCs w:val="24"/>
          <w:lang w:val="sr-Cyrl-CS"/>
        </w:rPr>
        <w:t xml:space="preserve"> уз могућност закључивања уговара са правним лицима из приватног сектора ради обављањ</w:t>
      </w:r>
      <w:r w:rsidR="002B6CFB" w:rsidRPr="00C12624">
        <w:rPr>
          <w:rFonts w:ascii="Times New Roman" w:hAnsi="Times New Roman" w:cs="Times New Roman"/>
          <w:sz w:val="24"/>
          <w:szCs w:val="24"/>
          <w:lang w:val="sr-Cyrl-CS"/>
        </w:rPr>
        <w:t>а одређених послова из комуналних</w:t>
      </w:r>
      <w:r w:rsidR="00F00945" w:rsidRPr="00C12624">
        <w:rPr>
          <w:rFonts w:ascii="Times New Roman" w:hAnsi="Times New Roman" w:cs="Times New Roman"/>
          <w:sz w:val="24"/>
          <w:szCs w:val="24"/>
          <w:lang w:val="sr-Cyrl-CS"/>
        </w:rPr>
        <w:t xml:space="preserve"> </w:t>
      </w:r>
      <w:r w:rsidRPr="00C12624">
        <w:rPr>
          <w:rFonts w:ascii="Times New Roman" w:hAnsi="Times New Roman" w:cs="Times New Roman"/>
          <w:sz w:val="24"/>
          <w:szCs w:val="24"/>
          <w:lang w:val="sr-Cyrl-CS"/>
        </w:rPr>
        <w:t>де</w:t>
      </w:r>
      <w:r w:rsidR="002B6CFB" w:rsidRPr="00C12624">
        <w:rPr>
          <w:rFonts w:ascii="Times New Roman" w:hAnsi="Times New Roman" w:cs="Times New Roman"/>
          <w:sz w:val="24"/>
          <w:szCs w:val="24"/>
          <w:lang w:val="sr-Cyrl-CS"/>
        </w:rPr>
        <w:t>латности</w:t>
      </w:r>
      <w:r w:rsidR="00363E87" w:rsidRPr="00C12624">
        <w:rPr>
          <w:rFonts w:ascii="Times New Roman" w:hAnsi="Times New Roman" w:cs="Times New Roman"/>
          <w:sz w:val="24"/>
          <w:szCs w:val="24"/>
          <w:lang w:val="sr-Cyrl-CS"/>
        </w:rPr>
        <w:t>, при чему правно лице из јавног сектора</w:t>
      </w:r>
      <w:r w:rsidRPr="00C12624">
        <w:rPr>
          <w:rFonts w:ascii="Times New Roman" w:hAnsi="Times New Roman" w:cs="Times New Roman"/>
          <w:sz w:val="24"/>
          <w:szCs w:val="24"/>
          <w:lang w:val="sr-Cyrl-CS"/>
        </w:rPr>
        <w:t xml:space="preserve"> остаје као искључиви вршилац комуналне делатности.</w:t>
      </w:r>
    </w:p>
    <w:p w:rsidR="00C90D8F" w:rsidRPr="00C12624" w:rsidRDefault="00C90D8F" w:rsidP="00311785">
      <w:pPr>
        <w:shd w:val="clear" w:color="auto" w:fill="FFFFFF"/>
        <w:ind w:firstLine="720"/>
        <w:rPr>
          <w:rFonts w:ascii="Times New Roman" w:eastAsiaTheme="minorHAnsi" w:hAnsi="Times New Roman" w:cs="Times New Roman"/>
          <w:sz w:val="24"/>
          <w:szCs w:val="24"/>
          <w:lang w:val="sr-Cyrl-CS"/>
        </w:rPr>
      </w:pPr>
      <w:r w:rsidRPr="00C12624">
        <w:rPr>
          <w:rFonts w:ascii="Times New Roman" w:eastAsiaTheme="minorHAnsi" w:hAnsi="Times New Roman" w:cs="Times New Roman"/>
          <w:sz w:val="24"/>
          <w:szCs w:val="24"/>
          <w:lang w:val="sr-Cyrl-CS"/>
        </w:rPr>
        <w:t xml:space="preserve">С обзиром на уложене напоре </w:t>
      </w:r>
      <w:r w:rsidRPr="00C12624">
        <w:rPr>
          <w:rFonts w:ascii="Times New Roman" w:hAnsi="Times New Roman" w:cs="Times New Roman"/>
          <w:sz w:val="24"/>
          <w:szCs w:val="24"/>
          <w:lang w:val="sr-Cyrl-CS"/>
        </w:rPr>
        <w:t xml:space="preserve">Министарства </w:t>
      </w:r>
      <w:r w:rsidRPr="00C12624">
        <w:rPr>
          <w:rFonts w:ascii="Times New Roman" w:eastAsiaTheme="minorHAnsi" w:hAnsi="Times New Roman" w:cs="Times New Roman"/>
          <w:sz w:val="24"/>
          <w:szCs w:val="24"/>
          <w:lang w:val="sr-Cyrl-CS"/>
        </w:rPr>
        <w:t>грађевинарства, саобраћаја и инфраструктуре за унапређење у области комуналних делатности проценом финансијског и инвестиционог нивоа</w:t>
      </w:r>
      <w:r w:rsidR="002B6CFB" w:rsidRPr="00C12624">
        <w:rPr>
          <w:rFonts w:ascii="Times New Roman" w:eastAsiaTheme="minorHAnsi" w:hAnsi="Times New Roman" w:cs="Times New Roman"/>
          <w:sz w:val="24"/>
          <w:szCs w:val="24"/>
          <w:lang w:val="sr-Cyrl-CS"/>
        </w:rPr>
        <w:t xml:space="preserve"> у области пружања услуга у овим комуналним</w:t>
      </w:r>
      <w:r w:rsidRPr="00C12624">
        <w:rPr>
          <w:rFonts w:ascii="Times New Roman" w:eastAsiaTheme="minorHAnsi" w:hAnsi="Times New Roman" w:cs="Times New Roman"/>
          <w:sz w:val="24"/>
          <w:szCs w:val="24"/>
          <w:lang w:val="sr-Cyrl-CS"/>
        </w:rPr>
        <w:t xml:space="preserve"> делатности</w:t>
      </w:r>
      <w:r w:rsidR="002B6CFB" w:rsidRPr="00C12624">
        <w:rPr>
          <w:rFonts w:ascii="Times New Roman" w:eastAsiaTheme="minorHAnsi" w:hAnsi="Times New Roman" w:cs="Times New Roman"/>
          <w:sz w:val="24"/>
          <w:szCs w:val="24"/>
          <w:lang w:val="sr-Cyrl-CS"/>
        </w:rPr>
        <w:t>ма</w:t>
      </w:r>
      <w:r w:rsidRPr="00C12624">
        <w:rPr>
          <w:rFonts w:ascii="Times New Roman" w:eastAsiaTheme="minorHAnsi" w:hAnsi="Times New Roman" w:cs="Times New Roman"/>
          <w:sz w:val="24"/>
          <w:szCs w:val="24"/>
          <w:lang w:val="sr-Cyrl-CS"/>
        </w:rPr>
        <w:t>, указује се на неопходност ових измена.</w:t>
      </w:r>
    </w:p>
    <w:p w:rsidR="00C90D8F" w:rsidRPr="00C12624" w:rsidRDefault="00C90D8F" w:rsidP="00311785">
      <w:pPr>
        <w:widowControl w:val="0"/>
        <w:tabs>
          <w:tab w:val="left" w:pos="993"/>
        </w:tabs>
        <w:ind w:right="-23"/>
        <w:rPr>
          <w:rFonts w:ascii="Times New Roman" w:hAnsi="Times New Roman" w:cs="Times New Roman"/>
          <w:sz w:val="24"/>
          <w:szCs w:val="24"/>
          <w:lang w:val="sr-Cyrl-CS"/>
        </w:rPr>
      </w:pPr>
    </w:p>
    <w:p w:rsidR="0087579F" w:rsidRPr="00C12624" w:rsidRDefault="0087579F" w:rsidP="00311785">
      <w:pPr>
        <w:jc w:val="center"/>
        <w:rPr>
          <w:rFonts w:ascii="Times New Roman" w:hAnsi="Times New Roman" w:cs="Times New Roman"/>
          <w:b/>
          <w:sz w:val="24"/>
          <w:szCs w:val="24"/>
          <w:lang w:val="sr-Cyrl-CS"/>
        </w:rPr>
      </w:pPr>
      <w:r w:rsidRPr="00C12624">
        <w:rPr>
          <w:rFonts w:ascii="Times New Roman" w:hAnsi="Times New Roman" w:cs="Times New Roman"/>
          <w:b/>
          <w:sz w:val="24"/>
          <w:szCs w:val="24"/>
          <w:lang w:val="sr-Cyrl-CS"/>
        </w:rPr>
        <w:t>III</w:t>
      </w:r>
      <w:r w:rsidR="00CA4A11">
        <w:rPr>
          <w:rFonts w:ascii="Times New Roman" w:hAnsi="Times New Roman" w:cs="Times New Roman"/>
          <w:b/>
          <w:sz w:val="24"/>
          <w:szCs w:val="24"/>
          <w:lang w:val="sr-Cyrl-CS"/>
        </w:rPr>
        <w:t>.</w:t>
      </w:r>
      <w:r w:rsidRPr="00C12624">
        <w:rPr>
          <w:rFonts w:ascii="Times New Roman" w:hAnsi="Times New Roman" w:cs="Times New Roman"/>
          <w:b/>
          <w:sz w:val="24"/>
          <w:szCs w:val="24"/>
          <w:lang w:val="sr-Cyrl-CS"/>
        </w:rPr>
        <w:t xml:space="preserve"> ОБЈАШЊЕЊЕ ОСНОВНИХ ПРАВНИХ ИНСТИТУТА И </w:t>
      </w:r>
    </w:p>
    <w:p w:rsidR="0087579F" w:rsidRPr="00C12624" w:rsidRDefault="0087579F" w:rsidP="00311785">
      <w:pPr>
        <w:jc w:val="center"/>
        <w:rPr>
          <w:rFonts w:ascii="Times New Roman" w:hAnsi="Times New Roman" w:cs="Times New Roman"/>
          <w:b/>
          <w:sz w:val="24"/>
          <w:szCs w:val="24"/>
          <w:lang w:val="sr-Cyrl-CS"/>
        </w:rPr>
      </w:pPr>
      <w:r w:rsidRPr="00C12624">
        <w:rPr>
          <w:rFonts w:ascii="Times New Roman" w:hAnsi="Times New Roman" w:cs="Times New Roman"/>
          <w:b/>
          <w:sz w:val="24"/>
          <w:szCs w:val="24"/>
          <w:lang w:val="sr-Cyrl-CS"/>
        </w:rPr>
        <w:t>ПОЈЕДИНАЧНИХ РЕШЕЊА</w:t>
      </w:r>
    </w:p>
    <w:p w:rsidR="0087579F" w:rsidRPr="00C12624" w:rsidRDefault="0087579F" w:rsidP="00311785">
      <w:pPr>
        <w:jc w:val="center"/>
        <w:rPr>
          <w:rFonts w:ascii="Times New Roman" w:hAnsi="Times New Roman" w:cs="Times New Roman"/>
          <w:b/>
          <w:sz w:val="24"/>
          <w:szCs w:val="24"/>
          <w:lang w:val="sr-Cyrl-CS"/>
        </w:rPr>
      </w:pPr>
    </w:p>
    <w:p w:rsidR="00203CBD" w:rsidRPr="00C12624" w:rsidRDefault="0087579F" w:rsidP="00311785">
      <w:pPr>
        <w:ind w:firstLine="720"/>
        <w:rPr>
          <w:rFonts w:ascii="Times New Roman" w:hAnsi="Times New Roman" w:cs="Times New Roman"/>
          <w:sz w:val="24"/>
          <w:szCs w:val="24"/>
          <w:lang w:val="sr-Cyrl-CS"/>
        </w:rPr>
      </w:pPr>
      <w:r w:rsidRPr="00C12624">
        <w:rPr>
          <w:rFonts w:ascii="Times New Roman" w:hAnsi="Times New Roman" w:cs="Times New Roman"/>
          <w:b/>
          <w:sz w:val="24"/>
          <w:szCs w:val="24"/>
          <w:lang w:val="sr-Cyrl-CS"/>
        </w:rPr>
        <w:t xml:space="preserve">Чланом </w:t>
      </w:r>
      <w:r w:rsidR="000773AA" w:rsidRPr="00C12624">
        <w:rPr>
          <w:rFonts w:ascii="Times New Roman" w:hAnsi="Times New Roman" w:cs="Times New Roman"/>
          <w:b/>
          <w:sz w:val="24"/>
          <w:szCs w:val="24"/>
          <w:lang w:val="sr-Cyrl-CS"/>
        </w:rPr>
        <w:t xml:space="preserve">1. </w:t>
      </w:r>
      <w:r w:rsidR="00CA4A11">
        <w:rPr>
          <w:rFonts w:ascii="Times New Roman" w:hAnsi="Times New Roman" w:cs="Times New Roman"/>
          <w:sz w:val="24"/>
          <w:szCs w:val="24"/>
          <w:lang w:val="sr-Cyrl-CS"/>
        </w:rPr>
        <w:t>Предлога</w:t>
      </w:r>
      <w:r w:rsidR="00795A65" w:rsidRPr="00C12624">
        <w:rPr>
          <w:rFonts w:ascii="Times New Roman" w:hAnsi="Times New Roman" w:cs="Times New Roman"/>
          <w:sz w:val="24"/>
          <w:szCs w:val="24"/>
          <w:lang w:val="sr-Cyrl-CS"/>
        </w:rPr>
        <w:t xml:space="preserve"> закона</w:t>
      </w:r>
      <w:r w:rsidR="00F00945" w:rsidRPr="00C12624">
        <w:rPr>
          <w:rFonts w:ascii="Times New Roman" w:hAnsi="Times New Roman" w:cs="Times New Roman"/>
          <w:sz w:val="24"/>
          <w:szCs w:val="24"/>
          <w:lang w:val="sr-Cyrl-CS"/>
        </w:rPr>
        <w:t xml:space="preserve"> </w:t>
      </w:r>
      <w:r w:rsidR="007A5AEF" w:rsidRPr="00C12624">
        <w:rPr>
          <w:rFonts w:ascii="Times New Roman" w:hAnsi="Times New Roman" w:cs="Times New Roman"/>
          <w:sz w:val="24"/>
          <w:szCs w:val="24"/>
          <w:lang w:val="sr-Cyrl-CS"/>
        </w:rPr>
        <w:t>извршена је допуна члана 5. Закона о комуналним делатностима тако што је додат став 3. којим је прописан</w:t>
      </w:r>
      <w:r w:rsidR="00292ED0" w:rsidRPr="00C12624">
        <w:rPr>
          <w:rFonts w:ascii="Times New Roman" w:hAnsi="Times New Roman" w:cs="Times New Roman"/>
          <w:sz w:val="24"/>
          <w:szCs w:val="24"/>
          <w:lang w:val="sr-Cyrl-CS"/>
        </w:rPr>
        <w:t xml:space="preserve"> начин организовања послова јавног сектора у обављању комуналних делатности снаб</w:t>
      </w:r>
      <w:r w:rsidR="00C12624">
        <w:rPr>
          <w:rFonts w:ascii="Times New Roman" w:hAnsi="Times New Roman" w:cs="Times New Roman"/>
          <w:sz w:val="24"/>
          <w:szCs w:val="24"/>
          <w:lang w:val="sr-Cyrl-RS"/>
        </w:rPr>
        <w:t>д</w:t>
      </w:r>
      <w:r w:rsidR="00292ED0" w:rsidRPr="00C12624">
        <w:rPr>
          <w:rFonts w:ascii="Times New Roman" w:hAnsi="Times New Roman" w:cs="Times New Roman"/>
          <w:sz w:val="24"/>
          <w:szCs w:val="24"/>
          <w:lang w:val="sr-Cyrl-CS"/>
        </w:rPr>
        <w:t>евањ</w:t>
      </w:r>
      <w:r w:rsidR="0051059D" w:rsidRPr="00C12624">
        <w:rPr>
          <w:rFonts w:ascii="Times New Roman" w:hAnsi="Times New Roman" w:cs="Times New Roman"/>
          <w:sz w:val="24"/>
          <w:szCs w:val="24"/>
          <w:lang w:val="sr-Cyrl-CS"/>
        </w:rPr>
        <w:t>е</w:t>
      </w:r>
      <w:r w:rsidR="00292ED0" w:rsidRPr="00C12624">
        <w:rPr>
          <w:rFonts w:ascii="Times New Roman" w:hAnsi="Times New Roman" w:cs="Times New Roman"/>
          <w:sz w:val="24"/>
          <w:szCs w:val="24"/>
          <w:lang w:val="sr-Cyrl-CS"/>
        </w:rPr>
        <w:t xml:space="preserve"> водом </w:t>
      </w:r>
      <w:r w:rsidR="0051059D" w:rsidRPr="00C12624">
        <w:rPr>
          <w:rFonts w:ascii="Times New Roman" w:hAnsi="Times New Roman" w:cs="Times New Roman"/>
          <w:sz w:val="24"/>
          <w:szCs w:val="24"/>
          <w:lang w:val="sr-Cyrl-CS"/>
        </w:rPr>
        <w:t xml:space="preserve">за пиће </w:t>
      </w:r>
      <w:r w:rsidR="00292ED0" w:rsidRPr="00C12624">
        <w:rPr>
          <w:rFonts w:ascii="Times New Roman" w:hAnsi="Times New Roman" w:cs="Times New Roman"/>
          <w:sz w:val="24"/>
          <w:szCs w:val="24"/>
          <w:lang w:val="sr-Cyrl-CS"/>
        </w:rPr>
        <w:t xml:space="preserve">и </w:t>
      </w:r>
      <w:r w:rsidR="0051059D" w:rsidRPr="00C12624">
        <w:rPr>
          <w:rFonts w:ascii="Times New Roman" w:hAnsi="Times New Roman" w:cs="Times New Roman"/>
          <w:sz w:val="24"/>
          <w:szCs w:val="24"/>
          <w:lang w:val="sr-Cyrl-CS"/>
        </w:rPr>
        <w:t xml:space="preserve">градски и приградски </w:t>
      </w:r>
      <w:r w:rsidR="0051059D" w:rsidRPr="00C12624">
        <w:rPr>
          <w:rFonts w:ascii="Times New Roman" w:hAnsi="Times New Roman" w:cs="Times New Roman"/>
          <w:color w:val="000000" w:themeColor="text1"/>
          <w:sz w:val="24"/>
          <w:szCs w:val="24"/>
          <w:lang w:val="sr-Cyrl-CS"/>
        </w:rPr>
        <w:t>превоза путника тролејбусима и трамвајима</w:t>
      </w:r>
      <w:r w:rsidR="00292ED0" w:rsidRPr="00C12624">
        <w:rPr>
          <w:rFonts w:ascii="Times New Roman" w:hAnsi="Times New Roman" w:cs="Times New Roman"/>
          <w:sz w:val="24"/>
          <w:szCs w:val="24"/>
          <w:lang w:val="sr-Cyrl-CS"/>
        </w:rPr>
        <w:t>, тако да правн</w:t>
      </w:r>
      <w:r w:rsidR="00197C16" w:rsidRPr="00C12624">
        <w:rPr>
          <w:rFonts w:ascii="Times New Roman" w:hAnsi="Times New Roman" w:cs="Times New Roman"/>
          <w:sz w:val="24"/>
          <w:szCs w:val="24"/>
          <w:lang w:val="sr-Cyrl-CS"/>
        </w:rPr>
        <w:t>а</w:t>
      </w:r>
      <w:r w:rsidR="00292ED0" w:rsidRPr="00C12624">
        <w:rPr>
          <w:rFonts w:ascii="Times New Roman" w:hAnsi="Times New Roman" w:cs="Times New Roman"/>
          <w:sz w:val="24"/>
          <w:szCs w:val="24"/>
          <w:lang w:val="sr-Cyrl-CS"/>
        </w:rPr>
        <w:t xml:space="preserve"> лиц</w:t>
      </w:r>
      <w:r w:rsidR="00197C16" w:rsidRPr="00C12624">
        <w:rPr>
          <w:rFonts w:ascii="Times New Roman" w:hAnsi="Times New Roman" w:cs="Times New Roman"/>
          <w:sz w:val="24"/>
          <w:szCs w:val="24"/>
          <w:lang w:val="sr-Cyrl-CS"/>
        </w:rPr>
        <w:t>а</w:t>
      </w:r>
      <w:r w:rsidR="00292ED0" w:rsidRPr="00C12624">
        <w:rPr>
          <w:rFonts w:ascii="Times New Roman" w:hAnsi="Times New Roman" w:cs="Times New Roman"/>
          <w:sz w:val="24"/>
          <w:szCs w:val="24"/>
          <w:lang w:val="sr-Cyrl-CS"/>
        </w:rPr>
        <w:t xml:space="preserve"> из </w:t>
      </w:r>
      <w:r w:rsidR="007A5AEF" w:rsidRPr="00C12624">
        <w:rPr>
          <w:rFonts w:ascii="Times New Roman" w:hAnsi="Times New Roman" w:cs="Times New Roman"/>
          <w:sz w:val="24"/>
          <w:szCs w:val="24"/>
          <w:lang w:val="sr-Cyrl-CS"/>
        </w:rPr>
        <w:t>јав</w:t>
      </w:r>
      <w:r w:rsidR="00292ED0" w:rsidRPr="00C12624">
        <w:rPr>
          <w:rFonts w:ascii="Times New Roman" w:hAnsi="Times New Roman" w:cs="Times New Roman"/>
          <w:sz w:val="24"/>
          <w:szCs w:val="24"/>
          <w:lang w:val="sr-Cyrl-CS"/>
        </w:rPr>
        <w:t>ног сектора описаних у члану 5. став 2</w:t>
      </w:r>
      <w:r w:rsidR="009A6D65" w:rsidRPr="00C12624">
        <w:rPr>
          <w:rFonts w:ascii="Times New Roman" w:hAnsi="Times New Roman" w:cs="Times New Roman"/>
          <w:sz w:val="24"/>
          <w:szCs w:val="24"/>
          <w:lang w:val="sr-Cyrl-CS"/>
        </w:rPr>
        <w:t>.</w:t>
      </w:r>
      <w:r w:rsidR="00292ED0" w:rsidRPr="00C12624">
        <w:rPr>
          <w:rFonts w:ascii="Times New Roman" w:hAnsi="Times New Roman" w:cs="Times New Roman"/>
          <w:sz w:val="24"/>
          <w:szCs w:val="24"/>
          <w:lang w:val="sr-Cyrl-CS"/>
        </w:rPr>
        <w:t xml:space="preserve"> </w:t>
      </w:r>
      <w:r w:rsidR="009A6D65" w:rsidRPr="00C12624">
        <w:rPr>
          <w:rFonts w:ascii="Times New Roman" w:hAnsi="Times New Roman" w:cs="Times New Roman"/>
          <w:sz w:val="24"/>
          <w:szCs w:val="24"/>
          <w:lang w:val="sr-Cyrl-CS"/>
        </w:rPr>
        <w:t>З</w:t>
      </w:r>
      <w:r w:rsidR="00292ED0" w:rsidRPr="00C12624">
        <w:rPr>
          <w:rFonts w:ascii="Times New Roman" w:hAnsi="Times New Roman" w:cs="Times New Roman"/>
          <w:sz w:val="24"/>
          <w:szCs w:val="24"/>
          <w:lang w:val="sr-Cyrl-CS"/>
        </w:rPr>
        <w:t>акона</w:t>
      </w:r>
      <w:r w:rsidR="009A6D65" w:rsidRPr="00C12624">
        <w:rPr>
          <w:rFonts w:ascii="Times New Roman" w:hAnsi="Times New Roman" w:cs="Times New Roman"/>
          <w:sz w:val="24"/>
          <w:szCs w:val="24"/>
          <w:lang w:val="sr-Cyrl-CS"/>
        </w:rPr>
        <w:t xml:space="preserve"> о комуналним делатностима</w:t>
      </w:r>
      <w:r w:rsidR="00292ED0" w:rsidRPr="00C12624">
        <w:rPr>
          <w:rFonts w:ascii="Times New Roman" w:hAnsi="Times New Roman" w:cs="Times New Roman"/>
          <w:sz w:val="24"/>
          <w:szCs w:val="24"/>
          <w:lang w:val="sr-Cyrl-CS"/>
        </w:rPr>
        <w:t xml:space="preserve">, </w:t>
      </w:r>
      <w:r w:rsidR="007A5AEF" w:rsidRPr="00C12624">
        <w:rPr>
          <w:rFonts w:ascii="Times New Roman" w:hAnsi="Times New Roman" w:cs="Times New Roman"/>
          <w:sz w:val="24"/>
          <w:szCs w:val="24"/>
          <w:lang w:val="sr-Cyrl-CS"/>
        </w:rPr>
        <w:t>могу да закључују угов</w:t>
      </w:r>
      <w:r w:rsidR="00EB1B0D" w:rsidRPr="00C12624">
        <w:rPr>
          <w:rFonts w:ascii="Times New Roman" w:hAnsi="Times New Roman" w:cs="Times New Roman"/>
          <w:sz w:val="24"/>
          <w:szCs w:val="24"/>
          <w:lang w:val="sr-Cyrl-CS"/>
        </w:rPr>
        <w:t>оре са другим правним лицима</w:t>
      </w:r>
      <w:r w:rsidR="002B6CFB" w:rsidRPr="00C12624">
        <w:rPr>
          <w:rFonts w:ascii="Times New Roman" w:hAnsi="Times New Roman" w:cs="Times New Roman"/>
          <w:sz w:val="24"/>
          <w:szCs w:val="24"/>
          <w:lang w:val="sr-Cyrl-CS"/>
        </w:rPr>
        <w:t xml:space="preserve"> з</w:t>
      </w:r>
      <w:r w:rsidR="00292ED0" w:rsidRPr="00C12624">
        <w:rPr>
          <w:rFonts w:ascii="Times New Roman" w:hAnsi="Times New Roman" w:cs="Times New Roman"/>
          <w:sz w:val="24"/>
          <w:szCs w:val="24"/>
          <w:lang w:val="sr-Cyrl-CS"/>
        </w:rPr>
        <w:t>а</w:t>
      </w:r>
      <w:r w:rsidR="00F00945" w:rsidRPr="00C12624">
        <w:rPr>
          <w:rFonts w:ascii="Times New Roman" w:hAnsi="Times New Roman" w:cs="Times New Roman"/>
          <w:sz w:val="24"/>
          <w:szCs w:val="24"/>
          <w:lang w:val="sr-Cyrl-CS"/>
        </w:rPr>
        <w:t xml:space="preserve"> </w:t>
      </w:r>
      <w:r w:rsidR="00292ED0" w:rsidRPr="00C12624">
        <w:rPr>
          <w:rFonts w:ascii="Times New Roman" w:hAnsi="Times New Roman" w:cs="Times New Roman"/>
          <w:sz w:val="24"/>
          <w:szCs w:val="24"/>
          <w:lang w:val="sr-Cyrl-CS"/>
        </w:rPr>
        <w:t xml:space="preserve">обављање појединих послова из оквира ових комуналних делатности. Прописано је да им је за такво делање потребна сагласност оснивача, и прецизирано је да се и у том случају, као једини искључиви вршилац </w:t>
      </w:r>
      <w:r w:rsidR="00292ED0" w:rsidRPr="00C12624">
        <w:rPr>
          <w:rFonts w:ascii="Times New Roman" w:hAnsi="Times New Roman" w:cs="Times New Roman"/>
          <w:sz w:val="24"/>
          <w:szCs w:val="24"/>
          <w:lang w:val="sr-Cyrl-CS"/>
        </w:rPr>
        <w:lastRenderedPageBreak/>
        <w:t>комуналне делатности у односу на сва права и обавезе сматра то правно лице из јавног сектора.</w:t>
      </w:r>
    </w:p>
    <w:p w:rsidR="00F42953" w:rsidRPr="00C12624" w:rsidRDefault="00F42953" w:rsidP="00311785">
      <w:pPr>
        <w:ind w:firstLine="720"/>
        <w:rPr>
          <w:rFonts w:ascii="Times New Roman" w:hAnsi="Times New Roman" w:cs="Times New Roman"/>
          <w:sz w:val="24"/>
          <w:szCs w:val="24"/>
          <w:lang w:val="sr-Cyrl-CS"/>
        </w:rPr>
      </w:pPr>
    </w:p>
    <w:p w:rsidR="00F42953" w:rsidRPr="00C12624" w:rsidRDefault="00CA4A11" w:rsidP="00311785">
      <w:pPr>
        <w:tabs>
          <w:tab w:val="left" w:pos="0"/>
        </w:tabs>
        <w:autoSpaceDE w:val="0"/>
        <w:autoSpaceDN w:val="0"/>
        <w:adjustRightInd w:val="0"/>
        <w:ind w:right="1"/>
        <w:jc w:val="center"/>
        <w:rPr>
          <w:rFonts w:ascii="Times New Roman" w:hAnsi="Times New Roman" w:cs="Times New Roman"/>
          <w:b/>
          <w:bCs/>
          <w:sz w:val="24"/>
          <w:szCs w:val="24"/>
          <w:lang w:val="sr-Cyrl-CS"/>
        </w:rPr>
      </w:pPr>
      <w:r>
        <w:rPr>
          <w:rFonts w:ascii="Times New Roman" w:hAnsi="Times New Roman" w:cs="Times New Roman"/>
          <w:b/>
          <w:caps/>
          <w:sz w:val="24"/>
          <w:szCs w:val="24"/>
          <w:lang w:val="sr-Latn-RS"/>
        </w:rPr>
        <w:t>I</w:t>
      </w:r>
      <w:r w:rsidR="00F42953" w:rsidRPr="00C12624">
        <w:rPr>
          <w:rFonts w:ascii="Times New Roman" w:hAnsi="Times New Roman" w:cs="Times New Roman"/>
          <w:b/>
          <w:caps/>
          <w:sz w:val="24"/>
          <w:szCs w:val="24"/>
          <w:lang w:val="sr-Cyrl-CS"/>
        </w:rPr>
        <w:t>V</w:t>
      </w:r>
      <w:r>
        <w:rPr>
          <w:rFonts w:ascii="Times New Roman" w:hAnsi="Times New Roman" w:cs="Times New Roman"/>
          <w:b/>
          <w:caps/>
          <w:sz w:val="24"/>
          <w:szCs w:val="24"/>
          <w:lang w:val="sr-Latn-RS"/>
        </w:rPr>
        <w:t xml:space="preserve">. </w:t>
      </w:r>
      <w:r w:rsidR="00F42953" w:rsidRPr="00C12624">
        <w:rPr>
          <w:rFonts w:ascii="Times New Roman" w:hAnsi="Times New Roman" w:cs="Times New Roman"/>
          <w:b/>
          <w:bCs/>
          <w:sz w:val="24"/>
          <w:szCs w:val="24"/>
          <w:lang w:val="sr-Cyrl-CS"/>
        </w:rPr>
        <w:t xml:space="preserve">ПРОЦЕНА ФИНАНСИЈСКИХ СРЕДСТАВА ПОТРЕБНИХ </w:t>
      </w:r>
    </w:p>
    <w:p w:rsidR="00F42953" w:rsidRPr="00C12624" w:rsidRDefault="00F42953" w:rsidP="00311785">
      <w:pPr>
        <w:tabs>
          <w:tab w:val="left" w:pos="0"/>
        </w:tabs>
        <w:autoSpaceDE w:val="0"/>
        <w:autoSpaceDN w:val="0"/>
        <w:adjustRightInd w:val="0"/>
        <w:ind w:right="1"/>
        <w:jc w:val="center"/>
        <w:rPr>
          <w:rFonts w:ascii="Times New Roman" w:hAnsi="Times New Roman" w:cs="Times New Roman"/>
          <w:b/>
          <w:bCs/>
          <w:sz w:val="24"/>
          <w:szCs w:val="24"/>
          <w:lang w:val="sr-Cyrl-CS"/>
        </w:rPr>
      </w:pPr>
      <w:r w:rsidRPr="00C12624">
        <w:rPr>
          <w:rFonts w:ascii="Times New Roman" w:hAnsi="Times New Roman" w:cs="Times New Roman"/>
          <w:b/>
          <w:bCs/>
          <w:sz w:val="24"/>
          <w:szCs w:val="24"/>
          <w:lang w:val="sr-Cyrl-CS"/>
        </w:rPr>
        <w:t>ЗА СПРОВОЂЕЊЕ</w:t>
      </w:r>
      <w:r w:rsidR="002F255C" w:rsidRPr="00C12624">
        <w:rPr>
          <w:rFonts w:ascii="Times New Roman" w:hAnsi="Times New Roman" w:cs="Times New Roman"/>
          <w:b/>
          <w:bCs/>
          <w:sz w:val="24"/>
          <w:szCs w:val="24"/>
          <w:lang w:val="sr-Cyrl-CS"/>
        </w:rPr>
        <w:t xml:space="preserve"> </w:t>
      </w:r>
      <w:r w:rsidRPr="00C12624">
        <w:rPr>
          <w:rFonts w:ascii="Times New Roman" w:hAnsi="Times New Roman" w:cs="Times New Roman"/>
          <w:b/>
          <w:bCs/>
          <w:sz w:val="24"/>
          <w:szCs w:val="24"/>
          <w:lang w:val="sr-Cyrl-CS"/>
        </w:rPr>
        <w:t>ЗАКОНА</w:t>
      </w:r>
    </w:p>
    <w:p w:rsidR="00F42953" w:rsidRPr="00C12624" w:rsidRDefault="00F42953" w:rsidP="00311785">
      <w:pPr>
        <w:tabs>
          <w:tab w:val="left" w:pos="0"/>
        </w:tabs>
        <w:autoSpaceDE w:val="0"/>
        <w:autoSpaceDN w:val="0"/>
        <w:adjustRightInd w:val="0"/>
        <w:rPr>
          <w:rFonts w:ascii="Times New Roman" w:hAnsi="Times New Roman" w:cs="Times New Roman"/>
          <w:sz w:val="24"/>
          <w:szCs w:val="24"/>
          <w:lang w:val="sr-Cyrl-CS"/>
        </w:rPr>
      </w:pPr>
    </w:p>
    <w:p w:rsidR="00F42953" w:rsidRPr="00C12624" w:rsidRDefault="00F42953" w:rsidP="00311785">
      <w:pPr>
        <w:tabs>
          <w:tab w:val="left" w:pos="0"/>
        </w:tabs>
        <w:autoSpaceDE w:val="0"/>
        <w:autoSpaceDN w:val="0"/>
        <w:adjustRightInd w:val="0"/>
        <w:rPr>
          <w:rFonts w:ascii="Times New Roman" w:hAnsi="Times New Roman" w:cs="Times New Roman"/>
          <w:sz w:val="24"/>
          <w:szCs w:val="24"/>
          <w:lang w:val="sr-Cyrl-CS"/>
        </w:rPr>
      </w:pPr>
      <w:r w:rsidRPr="00C12624">
        <w:rPr>
          <w:rFonts w:ascii="Times New Roman" w:hAnsi="Times New Roman" w:cs="Times New Roman"/>
          <w:sz w:val="24"/>
          <w:szCs w:val="24"/>
          <w:lang w:val="sr-Cyrl-CS"/>
        </w:rPr>
        <w:tab/>
        <w:t>За спровођење овог закона нису потребна финансијска средства из буџета Републике Србије.</w:t>
      </w:r>
    </w:p>
    <w:p w:rsidR="00F42953" w:rsidRPr="00C12624" w:rsidRDefault="00F42953" w:rsidP="00311785">
      <w:pPr>
        <w:tabs>
          <w:tab w:val="left" w:pos="0"/>
        </w:tabs>
        <w:autoSpaceDE w:val="0"/>
        <w:autoSpaceDN w:val="0"/>
        <w:adjustRightInd w:val="0"/>
        <w:rPr>
          <w:rFonts w:ascii="Times New Roman" w:hAnsi="Times New Roman" w:cs="Times New Roman"/>
          <w:sz w:val="24"/>
          <w:szCs w:val="24"/>
          <w:lang w:val="sr-Cyrl-CS"/>
        </w:rPr>
      </w:pPr>
    </w:p>
    <w:p w:rsidR="00F42953" w:rsidRPr="00C12624" w:rsidRDefault="00CA4A11" w:rsidP="00311785">
      <w:pPr>
        <w:pStyle w:val="ListParagraph"/>
        <w:spacing w:after="0" w:line="240" w:lineRule="auto"/>
        <w:ind w:left="0"/>
        <w:jc w:val="center"/>
        <w:rPr>
          <w:rFonts w:ascii="Times New Roman" w:hAnsi="Times New Roman"/>
          <w:b/>
          <w:sz w:val="24"/>
          <w:szCs w:val="24"/>
          <w:lang w:val="sr-Cyrl-CS"/>
        </w:rPr>
      </w:pPr>
      <w:r>
        <w:rPr>
          <w:rFonts w:ascii="Times New Roman" w:hAnsi="Times New Roman"/>
          <w:b/>
          <w:sz w:val="24"/>
          <w:szCs w:val="24"/>
          <w:lang w:val="sr-Cyrl-CS"/>
        </w:rPr>
        <w:t>V.</w:t>
      </w:r>
      <w:r w:rsidR="00F42953" w:rsidRPr="00C12624">
        <w:rPr>
          <w:rFonts w:ascii="Times New Roman" w:hAnsi="Times New Roman"/>
          <w:b/>
          <w:sz w:val="24"/>
          <w:szCs w:val="24"/>
          <w:lang w:val="sr-Cyrl-CS"/>
        </w:rPr>
        <w:t xml:space="preserve"> РАЗЛОЗИ ЗБОГ КОЈИХ СЕ ПРЕДЛАЖЕ ДОНОШЕЊЕ ЗАКОНА ПО </w:t>
      </w:r>
    </w:p>
    <w:p w:rsidR="00F42953" w:rsidRPr="00C12624" w:rsidRDefault="00F42953" w:rsidP="00311785">
      <w:pPr>
        <w:pStyle w:val="ListParagraph"/>
        <w:spacing w:after="0" w:line="240" w:lineRule="auto"/>
        <w:ind w:left="0"/>
        <w:jc w:val="center"/>
        <w:rPr>
          <w:rFonts w:ascii="Times New Roman" w:hAnsi="Times New Roman"/>
          <w:b/>
          <w:sz w:val="24"/>
          <w:szCs w:val="24"/>
          <w:lang w:val="sr-Cyrl-CS"/>
        </w:rPr>
      </w:pPr>
      <w:r w:rsidRPr="00C12624">
        <w:rPr>
          <w:rFonts w:ascii="Times New Roman" w:hAnsi="Times New Roman"/>
          <w:b/>
          <w:sz w:val="24"/>
          <w:szCs w:val="24"/>
          <w:lang w:val="sr-Cyrl-CS"/>
        </w:rPr>
        <w:t>ХИТНОМ ПОСТУПКУ</w:t>
      </w:r>
    </w:p>
    <w:p w:rsidR="00F42953" w:rsidRPr="00C12624" w:rsidRDefault="00F42953" w:rsidP="00311785">
      <w:pPr>
        <w:pStyle w:val="ListParagraph"/>
        <w:spacing w:after="0" w:line="240" w:lineRule="auto"/>
        <w:ind w:left="0"/>
        <w:jc w:val="center"/>
        <w:rPr>
          <w:rFonts w:ascii="Times New Roman" w:hAnsi="Times New Roman"/>
          <w:b/>
          <w:sz w:val="24"/>
          <w:szCs w:val="24"/>
          <w:lang w:val="sr-Cyrl-CS"/>
        </w:rPr>
      </w:pPr>
    </w:p>
    <w:p w:rsidR="00F42953" w:rsidRPr="00C12624" w:rsidRDefault="00F42953" w:rsidP="00575435">
      <w:pPr>
        <w:ind w:firstLine="720"/>
        <w:rPr>
          <w:rFonts w:ascii="Times New Roman" w:hAnsi="Times New Roman" w:cs="Times New Roman"/>
          <w:sz w:val="24"/>
          <w:szCs w:val="24"/>
          <w:lang w:val="sr-Cyrl-CS"/>
        </w:rPr>
      </w:pPr>
      <w:r w:rsidRPr="00C12624">
        <w:rPr>
          <w:rFonts w:ascii="Times New Roman" w:hAnsi="Times New Roman" w:cs="Times New Roman"/>
          <w:color w:val="000000"/>
          <w:sz w:val="24"/>
          <w:szCs w:val="24"/>
          <w:lang w:val="sr-Cyrl-CS"/>
        </w:rPr>
        <w:t>Због све веће потребе за изградњом  јавне инфраструктуре, улагањима у добра од општег интереса и ефикасним пружањем услуга од јавног значаја, као неопходном се указала потреба за стварањем одговарајућег правног оквира.</w:t>
      </w:r>
    </w:p>
    <w:p w:rsidR="00186647" w:rsidRPr="00C12624" w:rsidRDefault="00F42953" w:rsidP="00311785">
      <w:pPr>
        <w:widowControl w:val="0"/>
        <w:autoSpaceDE w:val="0"/>
        <w:autoSpaceDN w:val="0"/>
        <w:adjustRightInd w:val="0"/>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Предлаже се доношење овог закона по хитном поступку у складу са чланом 167. Пословника Народне скупштине („ Службени гласник РС”, број 20/12-пречишћен текст), јер се овим за</w:t>
      </w:r>
      <w:r w:rsidR="00186647" w:rsidRPr="00C12624">
        <w:rPr>
          <w:rFonts w:ascii="Times New Roman" w:hAnsi="Times New Roman" w:cs="Times New Roman"/>
          <w:sz w:val="24"/>
          <w:szCs w:val="24"/>
          <w:lang w:val="sr-Cyrl-CS"/>
        </w:rPr>
        <w:t>коном омогућава пружање комуналних услуга</w:t>
      </w:r>
      <w:r w:rsidRPr="00C12624">
        <w:rPr>
          <w:rFonts w:ascii="Times New Roman" w:hAnsi="Times New Roman" w:cs="Times New Roman"/>
          <w:sz w:val="24"/>
          <w:szCs w:val="24"/>
          <w:lang w:val="sr-Cyrl-CS"/>
        </w:rPr>
        <w:t xml:space="preserve"> –</w:t>
      </w:r>
      <w:r w:rsidR="002F255C" w:rsidRPr="00C12624">
        <w:rPr>
          <w:rFonts w:ascii="Times New Roman" w:hAnsi="Times New Roman" w:cs="Times New Roman"/>
          <w:sz w:val="24"/>
          <w:szCs w:val="24"/>
          <w:lang w:val="sr-Cyrl-CS"/>
        </w:rPr>
        <w:t xml:space="preserve"> </w:t>
      </w:r>
      <w:r w:rsidR="00186647" w:rsidRPr="00C12624">
        <w:rPr>
          <w:rFonts w:ascii="Times New Roman" w:hAnsi="Times New Roman" w:cs="Times New Roman"/>
          <w:sz w:val="24"/>
          <w:szCs w:val="24"/>
          <w:lang w:val="sr-Cyrl-CS"/>
        </w:rPr>
        <w:t>снабдевање водом за пиће и комуналну делатност градски и приградски превоз путника у делу који обухвата обављање јавног линијског превоза путника тролејбусима и трамвајима.</w:t>
      </w:r>
    </w:p>
    <w:p w:rsidR="00F42953" w:rsidRPr="00C12624" w:rsidRDefault="00CA4A11" w:rsidP="00311785">
      <w:pPr>
        <w:widowControl w:val="0"/>
        <w:autoSpaceDE w:val="0"/>
        <w:autoSpaceDN w:val="0"/>
        <w:adjustRightInd w:val="0"/>
        <w:ind w:firstLine="720"/>
        <w:rPr>
          <w:rFonts w:ascii="Times New Roman" w:hAnsi="Times New Roman" w:cs="Times New Roman"/>
          <w:sz w:val="24"/>
          <w:szCs w:val="24"/>
          <w:lang w:val="sr-Cyrl-CS"/>
        </w:rPr>
      </w:pPr>
      <w:r>
        <w:rPr>
          <w:rFonts w:ascii="Times New Roman" w:hAnsi="Times New Roman" w:cs="Times New Roman"/>
          <w:sz w:val="24"/>
          <w:szCs w:val="24"/>
          <w:lang w:val="sr-Cyrl-CS"/>
        </w:rPr>
        <w:t>Овим з</w:t>
      </w:r>
      <w:r w:rsidR="00F42953" w:rsidRPr="00C12624">
        <w:rPr>
          <w:rFonts w:ascii="Times New Roman" w:hAnsi="Times New Roman" w:cs="Times New Roman"/>
          <w:sz w:val="24"/>
          <w:szCs w:val="24"/>
          <w:lang w:val="sr-Cyrl-CS"/>
        </w:rPr>
        <w:t xml:space="preserve">аконом се </w:t>
      </w:r>
      <w:r w:rsidR="00186647" w:rsidRPr="00C12624">
        <w:rPr>
          <w:rFonts w:ascii="Times New Roman" w:hAnsi="Times New Roman" w:cs="Times New Roman"/>
          <w:sz w:val="24"/>
          <w:szCs w:val="24"/>
          <w:lang w:val="sr-Cyrl-CS"/>
        </w:rPr>
        <w:t xml:space="preserve">такође </w:t>
      </w:r>
      <w:r w:rsidR="00F42953" w:rsidRPr="00C12624">
        <w:rPr>
          <w:rFonts w:ascii="Times New Roman" w:hAnsi="Times New Roman" w:cs="Times New Roman"/>
          <w:sz w:val="24"/>
          <w:szCs w:val="24"/>
          <w:lang w:val="sr-Cyrl-CS"/>
        </w:rPr>
        <w:t>омогућа</w:t>
      </w:r>
      <w:r w:rsidR="00396CEE" w:rsidRPr="00C12624">
        <w:rPr>
          <w:rFonts w:ascii="Times New Roman" w:hAnsi="Times New Roman" w:cs="Times New Roman"/>
          <w:sz w:val="24"/>
          <w:szCs w:val="24"/>
          <w:lang w:val="sr-Cyrl-CS"/>
        </w:rPr>
        <w:t>ва правним лицима из јавног сектора</w:t>
      </w:r>
      <w:r w:rsidR="00F42953" w:rsidRPr="00C12624">
        <w:rPr>
          <w:rFonts w:ascii="Times New Roman" w:hAnsi="Times New Roman" w:cs="Times New Roman"/>
          <w:sz w:val="24"/>
          <w:szCs w:val="24"/>
          <w:lang w:val="sr-Cyrl-CS"/>
        </w:rPr>
        <w:t>, односно јединицама локалне самоуправе да кроз јавно-приватно партнерство превазиђу постојеће проблеме у смислу унапређења постојећих, односно изградњу нових инфраструктурних објеката.</w:t>
      </w:r>
    </w:p>
    <w:p w:rsidR="00575435" w:rsidRPr="00C12624" w:rsidRDefault="00575435" w:rsidP="00311785">
      <w:pPr>
        <w:rPr>
          <w:rFonts w:ascii="Times New Roman" w:hAnsi="Times New Roman" w:cs="Times New Roman"/>
          <w:b/>
          <w:sz w:val="24"/>
          <w:szCs w:val="24"/>
          <w:lang w:val="sr-Cyrl-CS"/>
        </w:rPr>
      </w:pPr>
    </w:p>
    <w:p w:rsidR="00F42953" w:rsidRPr="00C12624" w:rsidRDefault="00CA4A11" w:rsidP="00311785">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VI.</w:t>
      </w:r>
      <w:r w:rsidR="00F42953" w:rsidRPr="00C12624">
        <w:rPr>
          <w:rFonts w:ascii="Times New Roman" w:hAnsi="Times New Roman" w:cs="Times New Roman"/>
          <w:b/>
          <w:sz w:val="24"/>
          <w:szCs w:val="24"/>
          <w:lang w:val="sr-Cyrl-CS"/>
        </w:rPr>
        <w:t xml:space="preserve"> ПРЕГЛЕД ОДРЕДАБА ВАЖЕЋЕГ</w:t>
      </w:r>
      <w:r w:rsidR="00ED6CDE" w:rsidRPr="00C12624">
        <w:rPr>
          <w:rFonts w:ascii="Times New Roman" w:hAnsi="Times New Roman" w:cs="Times New Roman"/>
          <w:b/>
          <w:sz w:val="24"/>
          <w:szCs w:val="24"/>
          <w:lang w:val="sr-Cyrl-CS"/>
        </w:rPr>
        <w:t xml:space="preserve"> ЗАКОНА КОЈЕ СЕ </w:t>
      </w:r>
      <w:r w:rsidR="00F42953" w:rsidRPr="00C12624">
        <w:rPr>
          <w:rFonts w:ascii="Times New Roman" w:hAnsi="Times New Roman" w:cs="Times New Roman"/>
          <w:b/>
          <w:sz w:val="24"/>
          <w:szCs w:val="24"/>
          <w:lang w:val="sr-Cyrl-CS"/>
        </w:rPr>
        <w:t>ДОПУЊ</w:t>
      </w:r>
      <w:r w:rsidR="00591643" w:rsidRPr="00C12624">
        <w:rPr>
          <w:rFonts w:ascii="Times New Roman" w:hAnsi="Times New Roman" w:cs="Times New Roman"/>
          <w:b/>
          <w:sz w:val="24"/>
          <w:szCs w:val="24"/>
          <w:lang w:val="sr-Cyrl-CS"/>
        </w:rPr>
        <w:t>УЈУ НАЦРТОМ ЗАКОНА О ДОПУНИ З</w:t>
      </w:r>
      <w:r w:rsidR="00F42953" w:rsidRPr="00C12624">
        <w:rPr>
          <w:rFonts w:ascii="Times New Roman" w:hAnsi="Times New Roman" w:cs="Times New Roman"/>
          <w:b/>
          <w:sz w:val="24"/>
          <w:szCs w:val="24"/>
          <w:lang w:val="sr-Cyrl-CS"/>
        </w:rPr>
        <w:t>АКОНА О КОМУНАЛНИМ ДЕЛАТНОСТИМА</w:t>
      </w:r>
    </w:p>
    <w:p w:rsidR="00F51D03" w:rsidRPr="00C12624" w:rsidRDefault="00F51D03" w:rsidP="00311785">
      <w:pPr>
        <w:jc w:val="center"/>
        <w:rPr>
          <w:rFonts w:ascii="Times New Roman" w:hAnsi="Times New Roman" w:cs="Times New Roman"/>
          <w:b/>
          <w:sz w:val="24"/>
          <w:szCs w:val="24"/>
          <w:lang w:val="sr-Cyrl-CS"/>
        </w:rPr>
      </w:pPr>
    </w:p>
    <w:p w:rsidR="00316B92" w:rsidRPr="00C12624" w:rsidRDefault="00316B92" w:rsidP="00311785">
      <w:pPr>
        <w:jc w:val="center"/>
        <w:rPr>
          <w:rFonts w:ascii="Times New Roman" w:hAnsi="Times New Roman" w:cs="Times New Roman"/>
          <w:sz w:val="24"/>
          <w:szCs w:val="24"/>
          <w:lang w:val="sr-Cyrl-CS"/>
        </w:rPr>
      </w:pPr>
      <w:r w:rsidRPr="00C12624">
        <w:rPr>
          <w:rFonts w:ascii="Times New Roman" w:hAnsi="Times New Roman" w:cs="Times New Roman"/>
          <w:sz w:val="24"/>
          <w:szCs w:val="24"/>
          <w:lang w:val="sr-Cyrl-CS"/>
        </w:rPr>
        <w:t>Члан 5.</w:t>
      </w:r>
    </w:p>
    <w:p w:rsidR="00F42953" w:rsidRPr="00C12624" w:rsidRDefault="00F42953" w:rsidP="00311785">
      <w:pPr>
        <w:rPr>
          <w:rFonts w:ascii="Times New Roman" w:hAnsi="Times New Roman" w:cs="Times New Roman"/>
          <w:color w:val="000000" w:themeColor="text1"/>
          <w:sz w:val="24"/>
          <w:szCs w:val="24"/>
          <w:lang w:val="sr-Cyrl-CS"/>
        </w:rPr>
      </w:pPr>
      <w:r w:rsidRPr="00C12624">
        <w:rPr>
          <w:rFonts w:ascii="Times New Roman" w:hAnsi="Times New Roman" w:cs="Times New Roman"/>
          <w:color w:val="000000" w:themeColor="text1"/>
          <w:sz w:val="24"/>
          <w:szCs w:val="24"/>
          <w:lang w:val="sr-Cyrl-CS"/>
        </w:rPr>
        <w:t xml:space="preserve">Комуналну делатност могу обављати јавно предузеће, привредно друштво, предузетник или други привредни субјект. </w:t>
      </w:r>
    </w:p>
    <w:p w:rsidR="00F52B5A" w:rsidRPr="00C12624" w:rsidRDefault="00F52B5A" w:rsidP="00F52B5A">
      <w:pPr>
        <w:rPr>
          <w:rFonts w:ascii="Times New Roman" w:hAnsi="Times New Roman" w:cs="Times New Roman"/>
          <w:color w:val="000000" w:themeColor="text1"/>
          <w:sz w:val="24"/>
          <w:szCs w:val="24"/>
          <w:lang w:val="sr-Cyrl-CS"/>
        </w:rPr>
      </w:pPr>
      <w:r w:rsidRPr="00C12624">
        <w:rPr>
          <w:rFonts w:ascii="Times New Roman" w:hAnsi="Times New Roman" w:cs="Times New Roman"/>
          <w:color w:val="000000" w:themeColor="text1"/>
          <w:sz w:val="24"/>
          <w:szCs w:val="24"/>
          <w:lang w:val="sr-Cyrl-CS"/>
        </w:rPr>
        <w:t>Комуналну делатност из члана 2. став 3. тачка 1) и комуналну делатност из члана 2. став 3. тачка 5) овог закона у делу који обухвата обављање јавног линијског превоза путника тролејбусима и трамвајима могу обављати искључиво јавна предузећа које оснива јединица локалне самоуправе, друштво с ограниченом одговорношћу и акционарско друштво (у даљем тексту: друштво капитала) чији је једини власник јавно предузеће, односно чији је једини власник јединица локалне самоуправе, као и зависно друштво чији је једини власник то друштво капитала.</w:t>
      </w:r>
    </w:p>
    <w:p w:rsidR="00F42953" w:rsidRPr="00C12624" w:rsidRDefault="00CA4A11" w:rsidP="00311785">
      <w:pPr>
        <w:rPr>
          <w:rFonts w:ascii="Times New Roman" w:hAnsi="Times New Roman" w:cs="Times New Roman"/>
          <w:color w:val="000000" w:themeColor="text1"/>
          <w:sz w:val="24"/>
          <w:szCs w:val="24"/>
          <w:lang w:val="sr-Cyrl-CS"/>
        </w:rPr>
      </w:pPr>
      <w:r>
        <w:rPr>
          <w:rFonts w:ascii="Times New Roman" w:eastAsia="Calibri" w:hAnsi="Times New Roman" w:cs="Times New Roman"/>
          <w:sz w:val="24"/>
          <w:szCs w:val="24"/>
          <w:lang w:val="sr-Cyrl-CS"/>
        </w:rPr>
        <w:t>ПРАВНО ЛИЦЕ ИЗ СТАВА 2. ОВОГ ЧЛАНА МОЖ</w:t>
      </w:r>
      <w:r w:rsidRPr="004F2247">
        <w:rPr>
          <w:rFonts w:ascii="Times New Roman" w:eastAsia="Calibri" w:hAnsi="Times New Roman" w:cs="Times New Roman"/>
          <w:sz w:val="24"/>
          <w:szCs w:val="24"/>
          <w:lang w:val="sr-Cyrl-CS"/>
        </w:rPr>
        <w:t>Е УЗ САГЛАСНОСТ ОСНИВАЧА ДА УГОВОРИ СА ДРУГИМ ПРАВНИМ ЛИЦЕМ ОБАВЉАЊЕ ПОЈЕДИНИХ ПОСЛОВА ИЗ ОКВИРА КО</w:t>
      </w:r>
      <w:r>
        <w:rPr>
          <w:rFonts w:ascii="Times New Roman" w:eastAsia="Calibri" w:hAnsi="Times New Roman" w:cs="Times New Roman"/>
          <w:sz w:val="24"/>
          <w:szCs w:val="24"/>
          <w:lang w:val="sr-Cyrl-CS"/>
        </w:rPr>
        <w:t>МУНАЛНЕ ДЕЛАТНОСТИ ИЗ ЧЛАНА 2. С</w:t>
      </w:r>
      <w:r w:rsidRPr="004F2247">
        <w:rPr>
          <w:rFonts w:ascii="Times New Roman" w:eastAsia="Calibri" w:hAnsi="Times New Roman" w:cs="Times New Roman"/>
          <w:sz w:val="24"/>
          <w:szCs w:val="24"/>
          <w:lang w:val="sr-Cyrl-CS"/>
        </w:rPr>
        <w:t xml:space="preserve">ТАВ 3. </w:t>
      </w:r>
      <w:r>
        <w:rPr>
          <w:rFonts w:ascii="Times New Roman" w:eastAsia="Calibri" w:hAnsi="Times New Roman" w:cs="Times New Roman"/>
          <w:sz w:val="24"/>
          <w:szCs w:val="24"/>
          <w:lang w:val="sr-Cyrl-CS"/>
        </w:rPr>
        <w:t>Т</w:t>
      </w:r>
      <w:r w:rsidRPr="004F2247">
        <w:rPr>
          <w:rFonts w:ascii="Times New Roman" w:eastAsia="Calibri" w:hAnsi="Times New Roman" w:cs="Times New Roman"/>
          <w:sz w:val="24"/>
          <w:szCs w:val="24"/>
          <w:lang w:val="sr-Cyrl-CS"/>
        </w:rPr>
        <w:t>АЧКА 1) И КО</w:t>
      </w:r>
      <w:r>
        <w:rPr>
          <w:rFonts w:ascii="Times New Roman" w:eastAsia="Calibri" w:hAnsi="Times New Roman" w:cs="Times New Roman"/>
          <w:sz w:val="24"/>
          <w:szCs w:val="24"/>
          <w:lang w:val="sr-Cyrl-CS"/>
        </w:rPr>
        <w:t>МУНАЛНЕ ДЕЛАТНОСТИ ИЗ ЧЛАНА 2. С</w:t>
      </w:r>
      <w:r w:rsidRPr="004F2247">
        <w:rPr>
          <w:rFonts w:ascii="Times New Roman" w:eastAsia="Calibri" w:hAnsi="Times New Roman" w:cs="Times New Roman"/>
          <w:sz w:val="24"/>
          <w:szCs w:val="24"/>
          <w:lang w:val="sr-Cyrl-CS"/>
        </w:rPr>
        <w:t xml:space="preserve">ТАВ 3. </w:t>
      </w:r>
      <w:r>
        <w:rPr>
          <w:rFonts w:ascii="Times New Roman" w:eastAsia="Calibri" w:hAnsi="Times New Roman" w:cs="Times New Roman"/>
          <w:sz w:val="24"/>
          <w:szCs w:val="24"/>
          <w:lang w:val="sr-Cyrl-CS"/>
        </w:rPr>
        <w:t>Т</w:t>
      </w:r>
      <w:r w:rsidRPr="004F2247">
        <w:rPr>
          <w:rFonts w:ascii="Times New Roman" w:eastAsia="Calibri" w:hAnsi="Times New Roman" w:cs="Times New Roman"/>
          <w:sz w:val="24"/>
          <w:szCs w:val="24"/>
          <w:lang w:val="sr-Cyrl-CS"/>
        </w:rPr>
        <w:t>АЧКА 5) ОВОГ ЗАКОНА У ДЕЛУ КОЈИ ОБУХВАТА ОБАВЉАЊЕ ЈАВНОГ ЛИНИЈСКОГ ПРЕВОЗА ПУТНИКА ТРОЛЕЈБУСИМА И ТРАМ</w:t>
      </w:r>
      <w:r>
        <w:rPr>
          <w:rFonts w:ascii="Times New Roman" w:eastAsia="Calibri" w:hAnsi="Times New Roman" w:cs="Times New Roman"/>
          <w:sz w:val="24"/>
          <w:szCs w:val="24"/>
          <w:lang w:val="sr-Cyrl-CS"/>
        </w:rPr>
        <w:t>ВАЈИМА, У КОМ СЛУЧАЈУ СЕ КАО ВРШ</w:t>
      </w:r>
      <w:r w:rsidRPr="004F2247">
        <w:rPr>
          <w:rFonts w:ascii="Times New Roman" w:eastAsia="Calibri" w:hAnsi="Times New Roman" w:cs="Times New Roman"/>
          <w:sz w:val="24"/>
          <w:szCs w:val="24"/>
          <w:lang w:val="sr-Cyrl-CS"/>
        </w:rPr>
        <w:t>ИЛАЦ КОМУНАЛНЕ ДЕЛАТНОСТИ У ОДНОСУ НА СВА ПРАВА И ОБАВЕЗЕ</w:t>
      </w:r>
      <w:r w:rsidRPr="00BB455A">
        <w:rPr>
          <w:rFonts w:ascii="Times New Roman" w:hAnsi="Times New Roman" w:cs="Times New Roman"/>
          <w:color w:val="000000" w:themeColor="text1"/>
          <w:sz w:val="24"/>
          <w:szCs w:val="24"/>
          <w:lang w:val="sr-Cyrl-CS"/>
        </w:rPr>
        <w:t xml:space="preserve"> </w:t>
      </w:r>
      <w:r w:rsidRPr="00315062">
        <w:rPr>
          <w:rFonts w:ascii="Times New Roman" w:hAnsi="Times New Roman" w:cs="Times New Roman"/>
          <w:color w:val="000000" w:themeColor="text1"/>
          <w:sz w:val="24"/>
          <w:szCs w:val="24"/>
          <w:lang w:val="sr-Cyrl-CS"/>
        </w:rPr>
        <w:t xml:space="preserve">ПРОПИСАНЕ </w:t>
      </w:r>
      <w:r w:rsidRPr="00315062">
        <w:rPr>
          <w:rFonts w:ascii="Times New Roman" w:hAnsi="Times New Roman" w:cs="Times New Roman"/>
          <w:color w:val="000000" w:themeColor="text1"/>
          <w:sz w:val="24"/>
          <w:szCs w:val="24"/>
          <w:lang w:val="sr-Cyrl-CS"/>
        </w:rPr>
        <w:lastRenderedPageBreak/>
        <w:t>ОВИМ ЗАКОНОМ</w:t>
      </w:r>
      <w:r w:rsidRPr="004F2247">
        <w:rPr>
          <w:rFonts w:ascii="Times New Roman" w:eastAsia="Calibri" w:hAnsi="Times New Roman" w:cs="Times New Roman"/>
          <w:sz w:val="24"/>
          <w:szCs w:val="24"/>
          <w:lang w:val="sr-Cyrl-CS"/>
        </w:rPr>
        <w:t xml:space="preserve"> ИСКЉУЧИВО СМАТРА ПРА</w:t>
      </w:r>
      <w:r>
        <w:rPr>
          <w:rFonts w:ascii="Times New Roman" w:eastAsia="Calibri" w:hAnsi="Times New Roman" w:cs="Times New Roman"/>
          <w:sz w:val="24"/>
          <w:szCs w:val="24"/>
          <w:lang w:val="sr-Cyrl-CS"/>
        </w:rPr>
        <w:t>ВНО ЛИЦЕ ИЗ СТАВА 2. ОВОГ ЧЛАНА</w:t>
      </w:r>
      <w:r w:rsidR="00F42953" w:rsidRPr="00C12624">
        <w:rPr>
          <w:rFonts w:ascii="Times New Roman" w:hAnsi="Times New Roman" w:cs="Times New Roman"/>
          <w:color w:val="000000" w:themeColor="text1"/>
          <w:sz w:val="24"/>
          <w:szCs w:val="24"/>
          <w:lang w:val="sr-Cyrl-CS"/>
        </w:rPr>
        <w:t>.</w:t>
      </w:r>
    </w:p>
    <w:p w:rsidR="00F42953" w:rsidRPr="00C12624" w:rsidRDefault="00F42953" w:rsidP="00311785">
      <w:pPr>
        <w:jc w:val="left"/>
        <w:rPr>
          <w:rFonts w:ascii="Times New Roman" w:hAnsi="Times New Roman" w:cs="Times New Roman"/>
          <w:i/>
          <w:color w:val="FF0000"/>
          <w:sz w:val="24"/>
          <w:szCs w:val="24"/>
          <w:lang w:val="sr-Cyrl-CS"/>
        </w:rPr>
      </w:pPr>
    </w:p>
    <w:p w:rsidR="00CA4A11" w:rsidRPr="00C12624" w:rsidRDefault="00CA4A11" w:rsidP="00CA4A11">
      <w:pPr>
        <w:jc w:val="center"/>
        <w:rPr>
          <w:rFonts w:ascii="Times New Roman" w:hAnsi="Times New Roman" w:cs="Times New Roman"/>
          <w:b/>
          <w:sz w:val="24"/>
          <w:szCs w:val="24"/>
          <w:lang w:val="sr-Cyrl-CS"/>
        </w:rPr>
      </w:pPr>
      <w:r w:rsidRPr="00C12624">
        <w:rPr>
          <w:rFonts w:ascii="Times New Roman" w:hAnsi="Times New Roman" w:cs="Times New Roman"/>
          <w:b/>
          <w:sz w:val="24"/>
          <w:szCs w:val="24"/>
          <w:lang w:val="sr-Cyrl-CS"/>
        </w:rPr>
        <w:t>V</w:t>
      </w:r>
      <w:r>
        <w:rPr>
          <w:rFonts w:ascii="Times New Roman" w:hAnsi="Times New Roman" w:cs="Times New Roman"/>
          <w:b/>
          <w:sz w:val="24"/>
          <w:szCs w:val="24"/>
          <w:lang w:val="sr-Latn-RS"/>
        </w:rPr>
        <w:t>II.</w:t>
      </w:r>
      <w:r w:rsidRPr="00C12624">
        <w:rPr>
          <w:rFonts w:ascii="Times New Roman" w:hAnsi="Times New Roman" w:cs="Times New Roman"/>
          <w:b/>
          <w:sz w:val="24"/>
          <w:szCs w:val="24"/>
          <w:lang w:val="sr-Cyrl-CS"/>
        </w:rPr>
        <w:t xml:space="preserve"> АНАЛИЗА ЕФЕКАТА ЗАКОНА</w:t>
      </w:r>
    </w:p>
    <w:p w:rsidR="00CA4A11" w:rsidRPr="00C12624" w:rsidRDefault="00CA4A11" w:rsidP="00CA4A11">
      <w:pPr>
        <w:rPr>
          <w:rFonts w:ascii="Times New Roman" w:hAnsi="Times New Roman" w:cs="Times New Roman"/>
          <w:sz w:val="24"/>
          <w:szCs w:val="24"/>
          <w:lang w:val="sr-Cyrl-CS"/>
        </w:rPr>
      </w:pPr>
    </w:p>
    <w:p w:rsidR="00CA4A11" w:rsidRPr="00C12624" w:rsidRDefault="00CA4A11" w:rsidP="00CA4A11">
      <w:pPr>
        <w:pStyle w:val="Default"/>
        <w:numPr>
          <w:ilvl w:val="0"/>
          <w:numId w:val="9"/>
        </w:numPr>
        <w:jc w:val="both"/>
        <w:rPr>
          <w:rFonts w:ascii="Times New Roman" w:hAnsi="Times New Roman" w:cs="Times New Roman"/>
          <w:b/>
          <w:color w:val="auto"/>
          <w:lang w:val="sr-Cyrl-CS"/>
        </w:rPr>
      </w:pPr>
      <w:r w:rsidRPr="00C12624">
        <w:rPr>
          <w:rFonts w:ascii="Times New Roman" w:hAnsi="Times New Roman" w:cs="Times New Roman"/>
          <w:b/>
          <w:color w:val="auto"/>
          <w:lang w:val="sr-Cyrl-CS"/>
        </w:rPr>
        <w:t>Одређивање проблема којe Закон о допуни Закона о комуналним делатностима треба да реши:</w:t>
      </w:r>
    </w:p>
    <w:p w:rsidR="00CA4A11" w:rsidRPr="00C12624" w:rsidRDefault="00CA4A11" w:rsidP="00CA4A11">
      <w:pPr>
        <w:pStyle w:val="Default"/>
        <w:ind w:left="644"/>
        <w:jc w:val="both"/>
        <w:rPr>
          <w:rFonts w:ascii="Times New Roman" w:hAnsi="Times New Roman" w:cs="Times New Roman"/>
          <w:b/>
          <w:color w:val="auto"/>
          <w:lang w:val="sr-Cyrl-CS"/>
        </w:rPr>
      </w:pPr>
    </w:p>
    <w:p w:rsidR="00CA4A11" w:rsidRPr="00C12624" w:rsidRDefault="00CA4A11" w:rsidP="00CA4A11">
      <w:pPr>
        <w:ind w:firstLine="644"/>
        <w:rPr>
          <w:rFonts w:ascii="Times New Roman" w:hAnsi="Times New Roman" w:cs="Times New Roman"/>
          <w:sz w:val="24"/>
          <w:szCs w:val="24"/>
          <w:lang w:val="sr-Cyrl-CS" w:eastAsia="sr-Cyrl-CS"/>
        </w:rPr>
      </w:pPr>
      <w:r w:rsidRPr="00C12624">
        <w:rPr>
          <w:rFonts w:ascii="Times New Roman" w:hAnsi="Times New Roman" w:cs="Times New Roman"/>
          <w:sz w:val="24"/>
          <w:szCs w:val="24"/>
          <w:lang w:val="sr-Cyrl-CS" w:eastAsia="sr-Cyrl-CS"/>
        </w:rPr>
        <w:t>Паралелно са променом укупног привредног амбијента мењао се и положај комуналне привреде и комуналних предузећа. Пред крај 20. века комуналној привреди било је најтеже, комунална предузећа су циклично пролазила кроз периоде успона и падова, али последњих година видно је да се положај комуналне привреде перманентно погоршава.</w:t>
      </w:r>
    </w:p>
    <w:p w:rsidR="00CA4A11" w:rsidRPr="00C12624" w:rsidRDefault="00CA4A11" w:rsidP="00CA4A11">
      <w:pPr>
        <w:ind w:firstLine="644"/>
        <w:rPr>
          <w:rFonts w:ascii="Times New Roman" w:hAnsi="Times New Roman" w:cs="Times New Roman"/>
          <w:sz w:val="24"/>
          <w:szCs w:val="24"/>
          <w:lang w:val="sr-Cyrl-CS" w:eastAsia="sr-Cyrl-CS"/>
        </w:rPr>
      </w:pPr>
      <w:r w:rsidRPr="00C12624">
        <w:rPr>
          <w:rFonts w:ascii="Times New Roman" w:hAnsi="Times New Roman" w:cs="Times New Roman"/>
          <w:sz w:val="24"/>
          <w:szCs w:val="24"/>
          <w:lang w:val="sr-Cyrl-CS" w:eastAsia="sr-Cyrl-CS"/>
        </w:rPr>
        <w:t>Показатељи пословања јавних комуналних предузећа из 2009. године до данас недвосмислено потврђују да је комуналној привреди потребна и институционална подршка за развој.</w:t>
      </w:r>
    </w:p>
    <w:p w:rsidR="00CA4A11" w:rsidRPr="00C12624" w:rsidRDefault="00CA4A11" w:rsidP="00CA4A11">
      <w:pPr>
        <w:ind w:firstLine="644"/>
        <w:rPr>
          <w:rFonts w:ascii="Times New Roman" w:hAnsi="Times New Roman" w:cs="Times New Roman"/>
          <w:sz w:val="24"/>
          <w:szCs w:val="24"/>
          <w:lang w:val="sr-Cyrl-CS" w:eastAsia="sr-Cyrl-CS"/>
        </w:rPr>
      </w:pPr>
      <w:r w:rsidRPr="00C12624">
        <w:rPr>
          <w:rFonts w:ascii="Times New Roman" w:hAnsi="Times New Roman" w:cs="Times New Roman"/>
          <w:sz w:val="24"/>
          <w:szCs w:val="24"/>
          <w:lang w:val="sr-Cyrl-CS"/>
        </w:rPr>
        <w:t>Због све веће потребе за изградњом јавне (посебно комуналне) инфраструктуре, улагањима у добра од општег интереса и ефикасним пружањем услуга од јавног значаја, као неопходном се указала потреба за стварањем одговарајућег правног оквира. Правна лица из јавног сектора из сопствених прихода треба не само да финансирају текуће издатке, већ и капитална улагања и инвестиције у опрему и објекте комуналне инфраструктуре без којих није могуће поуздано и стабилно задовољити комуналне потребе становништва.</w:t>
      </w:r>
      <w:bookmarkStart w:id="1" w:name="_Toc501356767"/>
    </w:p>
    <w:p w:rsidR="00CA4A11" w:rsidRPr="00C12624" w:rsidRDefault="00CA4A11" w:rsidP="00CA4A11">
      <w:pPr>
        <w:widowControl w:val="0"/>
        <w:tabs>
          <w:tab w:val="left" w:pos="993"/>
        </w:tabs>
        <w:ind w:right="-23"/>
        <w:rPr>
          <w:rFonts w:ascii="Times New Roman" w:hAnsi="Times New Roman" w:cs="Times New Roman"/>
          <w:sz w:val="24"/>
          <w:szCs w:val="24"/>
          <w:lang w:val="sr-Cyrl-CS"/>
        </w:rPr>
      </w:pPr>
    </w:p>
    <w:p w:rsidR="00CA4A11" w:rsidRPr="00C12624" w:rsidRDefault="00CA4A11" w:rsidP="00CA4A11">
      <w:pPr>
        <w:pStyle w:val="ListParagraph"/>
        <w:widowControl w:val="0"/>
        <w:numPr>
          <w:ilvl w:val="0"/>
          <w:numId w:val="19"/>
        </w:numPr>
        <w:tabs>
          <w:tab w:val="left" w:pos="993"/>
        </w:tabs>
        <w:spacing w:after="0" w:line="240" w:lineRule="auto"/>
        <w:ind w:right="-23"/>
        <w:rPr>
          <w:rFonts w:ascii="Times New Roman" w:eastAsia="Times New Roman" w:hAnsi="Times New Roman"/>
          <w:b/>
          <w:i/>
          <w:sz w:val="24"/>
          <w:szCs w:val="24"/>
          <w:lang w:val="sr-Cyrl-CS"/>
        </w:rPr>
      </w:pPr>
      <w:r w:rsidRPr="00C12624">
        <w:rPr>
          <w:rFonts w:ascii="Times New Roman" w:hAnsi="Times New Roman"/>
          <w:b/>
          <w:bCs/>
          <w:i/>
          <w:sz w:val="24"/>
          <w:szCs w:val="24"/>
          <w:lang w:val="sr-Cyrl-CS"/>
        </w:rPr>
        <w:t>Комунална делатност снабдевање водом за пиће</w:t>
      </w:r>
      <w:bookmarkEnd w:id="1"/>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Снабдевање водом за пиће је захватање, пречишћавање, прерада и испорука воде водоводном мрежом до мерног инструмента потрошача, обухватајући и мерни инструмент.</w:t>
      </w: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Према извештају о обављању комуналних делатности за 2016. годину, у Србији 145 предузећа сектора вода општинских/градских центара снабдева водом 171 јединицу локалне самоуправе (Ниш, Београд и још 169 градова и општина) . Поред њих постоји и известан број предузећа која снабдевају водом поједина насеља ван тих центара.</w:t>
      </w:r>
    </w:p>
    <w:p w:rsidR="00CA4A11" w:rsidRPr="00C12624" w:rsidRDefault="00CA4A11" w:rsidP="00CA4A11">
      <w:pPr>
        <w:ind w:firstLine="708"/>
        <w:rPr>
          <w:rFonts w:ascii="Times New Roman" w:hAnsi="Times New Roman" w:cs="Times New Roman"/>
          <w:sz w:val="24"/>
          <w:szCs w:val="24"/>
          <w:lang w:val="sr-Cyrl-CS"/>
        </w:rPr>
      </w:pPr>
      <w:r w:rsidRPr="00C12624">
        <w:rPr>
          <w:rFonts w:ascii="Times New Roman" w:hAnsi="Times New Roman" w:cs="Times New Roman"/>
          <w:color w:val="000000" w:themeColor="text1"/>
          <w:sz w:val="24"/>
          <w:szCs w:val="24"/>
          <w:lang w:val="sr-Cyrl-CS"/>
        </w:rPr>
        <w:t xml:space="preserve">Подаци РЗС за 2017. годину су да се у републици, преко комуналних водоводних система центара ЈЛС, захвата око 21 m³/s (659 милиона m³ годишње). У потрошњу се пошаље око 64% захваћене воде тј. 425 милиона m³ - 13 m³/s, а од тога око 48% (317 милиона m³ годишње - </w:t>
      </w:r>
      <w:bookmarkStart w:id="2" w:name="_Hlk507592399"/>
      <w:r w:rsidRPr="00C12624">
        <w:rPr>
          <w:rFonts w:ascii="Times New Roman" w:hAnsi="Times New Roman" w:cs="Times New Roman"/>
          <w:color w:val="000000" w:themeColor="text1"/>
          <w:sz w:val="24"/>
          <w:szCs w:val="24"/>
          <w:lang w:val="sr-Cyrl-CS"/>
        </w:rPr>
        <w:t>10 m³/s</w:t>
      </w:r>
      <w:bookmarkEnd w:id="2"/>
      <w:r w:rsidRPr="00C12624">
        <w:rPr>
          <w:rFonts w:ascii="Times New Roman" w:hAnsi="Times New Roman" w:cs="Times New Roman"/>
          <w:color w:val="000000" w:themeColor="text1"/>
          <w:sz w:val="24"/>
          <w:szCs w:val="24"/>
          <w:lang w:val="sr-Cyrl-CS"/>
        </w:rPr>
        <w:t>) за потрошњу домаћинстава, и око 16% (108 милиона m³ годишње - 3 m³/s) за потрошњу индустрије и институција. Домаћинства троше око 74,5%, индустријски сектор око 10,4%, а остали корисници око 15,1% испоручене воде.</w:t>
      </w:r>
    </w:p>
    <w:p w:rsidR="00CA4A11" w:rsidRPr="00C12624" w:rsidRDefault="00CA4A11" w:rsidP="00CA4A11">
      <w:pPr>
        <w:pStyle w:val="a"/>
        <w:spacing w:before="0" w:after="0"/>
        <w:rPr>
          <w:b w:val="0"/>
          <w:color w:val="auto"/>
        </w:rPr>
      </w:pPr>
      <w:r w:rsidRPr="00C12624">
        <w:rPr>
          <w:b w:val="0"/>
          <w:color w:val="auto"/>
        </w:rPr>
        <w:t xml:space="preserve">У току 2017. године изграђено је још једно постројење за пречишћавање воде за пиће. </w:t>
      </w:r>
    </w:p>
    <w:p w:rsidR="00CA4A11" w:rsidRPr="00C12624" w:rsidRDefault="00CA4A11" w:rsidP="00CA4A11">
      <w:pPr>
        <w:pStyle w:val="a"/>
        <w:spacing w:before="0" w:after="0"/>
        <w:rPr>
          <w:b w:val="0"/>
          <w:color w:val="000000" w:themeColor="text1"/>
        </w:rPr>
      </w:pPr>
      <w:r w:rsidRPr="00C12624">
        <w:rPr>
          <w:b w:val="0"/>
          <w:color w:val="auto"/>
        </w:rPr>
        <w:t>На централне системе снабдевања водом прикључено</w:t>
      </w:r>
      <w:r w:rsidRPr="00C12624">
        <w:rPr>
          <w:b w:val="0"/>
          <w:color w:val="000000" w:themeColor="text1"/>
        </w:rPr>
        <w:t xml:space="preserve"> је 5,9 милиона становника (83%);</w:t>
      </w:r>
    </w:p>
    <w:p w:rsidR="00CA4A11" w:rsidRPr="00C12624" w:rsidRDefault="00CA4A11" w:rsidP="00CA4A11">
      <w:pPr>
        <w:pStyle w:val="a"/>
        <w:spacing w:before="0" w:after="0"/>
        <w:rPr>
          <w:b w:val="0"/>
          <w:color w:val="000000" w:themeColor="text1"/>
        </w:rPr>
      </w:pPr>
      <w:r w:rsidRPr="00C12624">
        <w:rPr>
          <w:b w:val="0"/>
          <w:color w:val="000000" w:themeColor="text1"/>
        </w:rPr>
        <w:t>Системи за снабдевање водом се састоје од 57 постројења за пречишћавање воде за пиће. Постројењима као и мрежи су потребне реконструкције или побољшање капацитета и технологије пречишћавања.</w:t>
      </w:r>
    </w:p>
    <w:p w:rsidR="00CA4A11" w:rsidRPr="00C12624" w:rsidRDefault="00CA4A11" w:rsidP="00CA4A11">
      <w:pPr>
        <w:pStyle w:val="a"/>
        <w:spacing w:before="0" w:after="0"/>
        <w:rPr>
          <w:color w:val="000000" w:themeColor="text1"/>
        </w:rPr>
      </w:pPr>
      <w:bookmarkStart w:id="3" w:name="_Toc501356770"/>
    </w:p>
    <w:p w:rsidR="00CA4A11" w:rsidRPr="00C12624" w:rsidRDefault="00CA4A11" w:rsidP="00CA4A11">
      <w:pPr>
        <w:pStyle w:val="a"/>
        <w:spacing w:before="0" w:after="0"/>
        <w:rPr>
          <w:color w:val="000000" w:themeColor="text1"/>
        </w:rPr>
      </w:pPr>
      <w:r w:rsidRPr="00C12624">
        <w:rPr>
          <w:color w:val="000000" w:themeColor="text1"/>
        </w:rPr>
        <w:lastRenderedPageBreak/>
        <w:t>Биланс воде</w:t>
      </w:r>
      <w:bookmarkEnd w:id="3"/>
    </w:p>
    <w:p w:rsidR="00CA4A11" w:rsidRPr="00C12624" w:rsidRDefault="00CA4A11" w:rsidP="00CA4A11">
      <w:pPr>
        <w:pStyle w:val="a"/>
        <w:spacing w:before="0" w:after="0"/>
        <w:rPr>
          <w:color w:val="000000" w:themeColor="text1"/>
        </w:rPr>
      </w:pPr>
    </w:p>
    <w:p w:rsidR="00CA4A11" w:rsidRPr="00C12624" w:rsidRDefault="00CA4A11" w:rsidP="00CA4A11">
      <w:pPr>
        <w:pStyle w:val="a"/>
        <w:spacing w:before="0" w:after="0"/>
        <w:jc w:val="center"/>
        <w:rPr>
          <w:color w:val="000000" w:themeColor="text1"/>
        </w:rPr>
      </w:pPr>
      <w:r w:rsidRPr="00C12624">
        <w:rPr>
          <w:color w:val="000000" w:themeColor="text1"/>
        </w:rPr>
        <w:t>Табела 1: Биланс воде у Републици Србији (2017. година)</w:t>
      </w:r>
    </w:p>
    <w:tbl>
      <w:tblPr>
        <w:tblW w:w="8926" w:type="dxa"/>
        <w:jc w:val="center"/>
        <w:tblBorders>
          <w:top w:val="single" w:sz="4" w:space="0" w:color="auto"/>
          <w:bottom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1707"/>
        <w:gridCol w:w="1990"/>
        <w:gridCol w:w="425"/>
        <w:gridCol w:w="1260"/>
        <w:gridCol w:w="1134"/>
        <w:gridCol w:w="1276"/>
        <w:gridCol w:w="1134"/>
      </w:tblGrid>
      <w:tr w:rsidR="00CA4A11" w:rsidRPr="00C12624" w:rsidTr="00FC4C05">
        <w:trPr>
          <w:trHeight w:val="113"/>
          <w:jc w:val="center"/>
        </w:trPr>
        <w:tc>
          <w:tcPr>
            <w:tcW w:w="1707" w:type="dxa"/>
            <w:vMerge w:val="restart"/>
            <w:tcBorders>
              <w:left w:val="single" w:sz="4" w:space="0" w:color="auto"/>
              <w:right w:val="single" w:sz="4" w:space="0" w:color="auto"/>
            </w:tcBorders>
            <w:shd w:val="clear" w:color="auto" w:fill="DBE5F1" w:themeFill="accent1" w:themeFillTint="33"/>
            <w:tcMar>
              <w:top w:w="15" w:type="dxa"/>
              <w:left w:w="108" w:type="dxa"/>
              <w:bottom w:w="0" w:type="dxa"/>
              <w:right w:w="108" w:type="dxa"/>
            </w:tcMar>
            <w:vAlign w:val="center"/>
            <w:hideMark/>
          </w:tcPr>
          <w:p w:rsidR="00CA4A11" w:rsidRPr="00C12624" w:rsidRDefault="00CA4A11" w:rsidP="00FC4C05">
            <w:pPr>
              <w:pStyle w:val="a1"/>
              <w:spacing w:before="0" w:after="0"/>
              <w:jc w:val="center"/>
              <w:rPr>
                <w:rFonts w:cs="Times New Roman"/>
                <w:color w:val="000000" w:themeColor="text1"/>
                <w:sz w:val="18"/>
                <w:szCs w:val="18"/>
                <w:lang w:val="sr-Cyrl-CS"/>
              </w:rPr>
            </w:pPr>
            <w:r w:rsidRPr="00C12624">
              <w:rPr>
                <w:rFonts w:cs="Times New Roman"/>
                <w:color w:val="000000" w:themeColor="text1"/>
                <w:sz w:val="18"/>
                <w:szCs w:val="18"/>
                <w:lang w:val="sr-Cyrl-CS"/>
              </w:rPr>
              <w:t>Р. БРОЈ</w:t>
            </w:r>
          </w:p>
        </w:tc>
        <w:tc>
          <w:tcPr>
            <w:tcW w:w="2415" w:type="dxa"/>
            <w:gridSpan w:val="2"/>
            <w:vMerge w:val="restart"/>
            <w:tcBorders>
              <w:left w:val="single" w:sz="4" w:space="0" w:color="auto"/>
              <w:right w:val="single" w:sz="4" w:space="0" w:color="auto"/>
            </w:tcBorders>
            <w:shd w:val="clear" w:color="auto" w:fill="DBE5F1" w:themeFill="accent1" w:themeFillTint="33"/>
            <w:tcMar>
              <w:top w:w="15" w:type="dxa"/>
              <w:left w:w="108" w:type="dxa"/>
              <w:bottom w:w="0" w:type="dxa"/>
              <w:right w:w="108" w:type="dxa"/>
            </w:tcMar>
            <w:vAlign w:val="center"/>
            <w:hideMark/>
          </w:tcPr>
          <w:p w:rsidR="00CA4A11" w:rsidRPr="00C12624" w:rsidRDefault="00CA4A11" w:rsidP="00FC4C05">
            <w:pPr>
              <w:pStyle w:val="a1"/>
              <w:spacing w:before="0" w:after="0"/>
              <w:jc w:val="center"/>
              <w:rPr>
                <w:rFonts w:cs="Times New Roman"/>
                <w:color w:val="000000" w:themeColor="text1"/>
                <w:sz w:val="18"/>
                <w:szCs w:val="18"/>
                <w:lang w:val="sr-Cyrl-CS"/>
              </w:rPr>
            </w:pPr>
            <w:r w:rsidRPr="00C12624">
              <w:rPr>
                <w:rFonts w:cs="Times New Roman"/>
                <w:color w:val="000000" w:themeColor="text1"/>
                <w:sz w:val="18"/>
                <w:szCs w:val="18"/>
                <w:lang w:val="sr-Cyrl-CS"/>
              </w:rPr>
              <w:t>СТАВКА</w:t>
            </w:r>
          </w:p>
        </w:tc>
        <w:tc>
          <w:tcPr>
            <w:tcW w:w="2394" w:type="dxa"/>
            <w:gridSpan w:val="2"/>
            <w:tcBorders>
              <w:left w:val="single" w:sz="4" w:space="0" w:color="auto"/>
              <w:right w:val="single" w:sz="4" w:space="0" w:color="auto"/>
            </w:tcBorders>
            <w:shd w:val="clear" w:color="auto" w:fill="DBE5F1" w:themeFill="accent1" w:themeFillTint="33"/>
            <w:tcMar>
              <w:top w:w="15" w:type="dxa"/>
              <w:left w:w="108" w:type="dxa"/>
              <w:bottom w:w="0" w:type="dxa"/>
              <w:right w:w="108" w:type="dxa"/>
            </w:tcMar>
            <w:vAlign w:val="center"/>
          </w:tcPr>
          <w:p w:rsidR="00CA4A11" w:rsidRPr="00C12624" w:rsidRDefault="00CA4A11" w:rsidP="00FC4C05">
            <w:pPr>
              <w:pStyle w:val="a1"/>
              <w:spacing w:before="0" w:after="0"/>
              <w:ind w:right="83"/>
              <w:jc w:val="center"/>
              <w:rPr>
                <w:rFonts w:cs="Times New Roman"/>
                <w:color w:val="000000" w:themeColor="text1"/>
                <w:sz w:val="18"/>
                <w:szCs w:val="18"/>
                <w:lang w:val="sr-Cyrl-CS"/>
              </w:rPr>
            </w:pPr>
            <w:r w:rsidRPr="00C12624">
              <w:rPr>
                <w:rFonts w:cs="Times New Roman"/>
                <w:color w:val="000000" w:themeColor="text1"/>
                <w:sz w:val="18"/>
                <w:szCs w:val="18"/>
                <w:lang w:val="sr-Cyrl-CS"/>
              </w:rPr>
              <w:t>РЕПУБЛИЧКИ ЗАВОД ЗА СТАТИСТИКУ</w:t>
            </w:r>
          </w:p>
        </w:tc>
        <w:tc>
          <w:tcPr>
            <w:tcW w:w="2410" w:type="dxa"/>
            <w:gridSpan w:val="2"/>
            <w:tcBorders>
              <w:left w:val="single" w:sz="4" w:space="0" w:color="auto"/>
              <w:bottom w:val="single" w:sz="4" w:space="0" w:color="auto"/>
              <w:right w:val="single" w:sz="4" w:space="0" w:color="auto"/>
            </w:tcBorders>
            <w:shd w:val="clear" w:color="auto" w:fill="DBE5F1" w:themeFill="accent1" w:themeFillTint="33"/>
            <w:vAlign w:val="center"/>
          </w:tcPr>
          <w:p w:rsidR="00CA4A11" w:rsidRPr="00C12624" w:rsidRDefault="00CA4A11" w:rsidP="00FC4C05">
            <w:pPr>
              <w:pStyle w:val="a1"/>
              <w:spacing w:before="0" w:after="0"/>
              <w:ind w:right="83"/>
              <w:jc w:val="center"/>
              <w:rPr>
                <w:rFonts w:cs="Times New Roman"/>
                <w:color w:val="000000" w:themeColor="text1"/>
                <w:sz w:val="18"/>
                <w:szCs w:val="18"/>
                <w:lang w:val="sr-Cyrl-CS"/>
              </w:rPr>
            </w:pPr>
            <w:r w:rsidRPr="00C12624">
              <w:rPr>
                <w:rFonts w:cs="Times New Roman"/>
                <w:color w:val="000000" w:themeColor="text1"/>
                <w:sz w:val="18"/>
                <w:szCs w:val="18"/>
                <w:lang w:val="sr-Cyrl-CS"/>
              </w:rPr>
              <w:t>ОБУХВАЋЕНО ОВИМ ИСТРАЖИВАЊЕМ</w:t>
            </w:r>
          </w:p>
        </w:tc>
      </w:tr>
      <w:tr w:rsidR="00CA4A11" w:rsidRPr="00C12624" w:rsidTr="00FC4C05">
        <w:trPr>
          <w:trHeight w:val="111"/>
          <w:jc w:val="center"/>
        </w:trPr>
        <w:tc>
          <w:tcPr>
            <w:tcW w:w="1707" w:type="dxa"/>
            <w:vMerge/>
            <w:tcBorders>
              <w:left w:val="single" w:sz="4" w:space="0" w:color="auto"/>
              <w:right w:val="single" w:sz="4" w:space="0" w:color="auto"/>
            </w:tcBorders>
            <w:shd w:val="clear" w:color="auto" w:fill="DBE5F1" w:themeFill="accent1" w:themeFillTint="33"/>
            <w:tcMar>
              <w:top w:w="15" w:type="dxa"/>
              <w:left w:w="108" w:type="dxa"/>
              <w:bottom w:w="0" w:type="dxa"/>
              <w:right w:w="108" w:type="dxa"/>
            </w:tcMar>
            <w:vAlign w:val="center"/>
          </w:tcPr>
          <w:p w:rsidR="00CA4A11" w:rsidRPr="00C12624" w:rsidRDefault="00CA4A11" w:rsidP="00FC4C05">
            <w:pPr>
              <w:pStyle w:val="a1"/>
              <w:spacing w:before="0" w:after="0"/>
              <w:jc w:val="center"/>
              <w:rPr>
                <w:rFonts w:cs="Times New Roman"/>
                <w:color w:val="000000" w:themeColor="text1"/>
                <w:sz w:val="18"/>
                <w:szCs w:val="18"/>
                <w:lang w:val="sr-Cyrl-CS"/>
              </w:rPr>
            </w:pPr>
          </w:p>
        </w:tc>
        <w:tc>
          <w:tcPr>
            <w:tcW w:w="2415" w:type="dxa"/>
            <w:gridSpan w:val="2"/>
            <w:vMerge/>
            <w:tcBorders>
              <w:left w:val="single" w:sz="4" w:space="0" w:color="auto"/>
              <w:right w:val="single" w:sz="4" w:space="0" w:color="auto"/>
            </w:tcBorders>
            <w:shd w:val="clear" w:color="auto" w:fill="DBE5F1" w:themeFill="accent1" w:themeFillTint="33"/>
            <w:tcMar>
              <w:top w:w="15" w:type="dxa"/>
              <w:left w:w="108" w:type="dxa"/>
              <w:bottom w:w="0" w:type="dxa"/>
              <w:right w:w="108" w:type="dxa"/>
            </w:tcMar>
            <w:vAlign w:val="center"/>
          </w:tcPr>
          <w:p w:rsidR="00CA4A11" w:rsidRPr="00C12624" w:rsidRDefault="00CA4A11" w:rsidP="00FC4C05">
            <w:pPr>
              <w:pStyle w:val="a1"/>
              <w:spacing w:before="0" w:after="0"/>
              <w:jc w:val="center"/>
              <w:rPr>
                <w:rFonts w:cs="Times New Roman"/>
                <w:color w:val="000000" w:themeColor="text1"/>
                <w:sz w:val="18"/>
                <w:szCs w:val="18"/>
                <w:lang w:val="sr-Cyrl-CS"/>
              </w:rPr>
            </w:pPr>
          </w:p>
        </w:tc>
        <w:tc>
          <w:tcPr>
            <w:tcW w:w="1260" w:type="dxa"/>
            <w:tcBorders>
              <w:left w:val="single" w:sz="4" w:space="0" w:color="auto"/>
              <w:bottom w:val="single" w:sz="4" w:space="0" w:color="auto"/>
            </w:tcBorders>
            <w:shd w:val="clear" w:color="auto" w:fill="DBE5F1" w:themeFill="accent1" w:themeFillTint="33"/>
            <w:tcMar>
              <w:top w:w="15" w:type="dxa"/>
              <w:left w:w="108" w:type="dxa"/>
              <w:bottom w:w="0" w:type="dxa"/>
              <w:right w:w="108" w:type="dxa"/>
            </w:tcMar>
            <w:vAlign w:val="center"/>
          </w:tcPr>
          <w:p w:rsidR="00CA4A11" w:rsidRPr="00C12624" w:rsidRDefault="00CA4A11" w:rsidP="00FC4C05">
            <w:pPr>
              <w:pStyle w:val="a1"/>
              <w:spacing w:before="0" w:after="0"/>
              <w:jc w:val="center"/>
              <w:rPr>
                <w:rFonts w:cs="Times New Roman"/>
                <w:color w:val="000000" w:themeColor="text1"/>
                <w:sz w:val="18"/>
                <w:szCs w:val="18"/>
                <w:lang w:val="sr-Cyrl-CS"/>
              </w:rPr>
            </w:pPr>
            <w:r w:rsidRPr="00C12624">
              <w:rPr>
                <w:rFonts w:cs="Times New Roman"/>
                <w:color w:val="000000" w:themeColor="text1"/>
                <w:sz w:val="18"/>
                <w:szCs w:val="18"/>
                <w:lang w:val="sr-Cyrl-CS"/>
              </w:rPr>
              <w:t>Х 10</w:t>
            </w:r>
            <w:r w:rsidRPr="00C12624">
              <w:rPr>
                <w:rFonts w:cs="Times New Roman"/>
                <w:color w:val="000000" w:themeColor="text1"/>
                <w:sz w:val="18"/>
                <w:szCs w:val="18"/>
                <w:vertAlign w:val="superscript"/>
                <w:lang w:val="sr-Cyrl-CS"/>
              </w:rPr>
              <w:t>6</w:t>
            </w:r>
            <w:r w:rsidRPr="00C12624">
              <w:rPr>
                <w:rFonts w:cs="Times New Roman"/>
                <w:color w:val="000000" w:themeColor="text1"/>
                <w:sz w:val="18"/>
                <w:szCs w:val="18"/>
                <w:lang w:val="sr-Cyrl-CS"/>
              </w:rPr>
              <w:t xml:space="preserve"> M³</w:t>
            </w:r>
          </w:p>
        </w:tc>
        <w:tc>
          <w:tcPr>
            <w:tcW w:w="1134" w:type="dxa"/>
            <w:tcBorders>
              <w:bottom w:val="single" w:sz="4" w:space="0" w:color="auto"/>
              <w:right w:val="single" w:sz="4" w:space="0" w:color="auto"/>
            </w:tcBorders>
            <w:shd w:val="clear" w:color="auto" w:fill="DBE5F1" w:themeFill="accent1" w:themeFillTint="33"/>
            <w:tcMar>
              <w:top w:w="15" w:type="dxa"/>
              <w:left w:w="108" w:type="dxa"/>
              <w:bottom w:w="0" w:type="dxa"/>
              <w:right w:w="108" w:type="dxa"/>
            </w:tcMar>
            <w:vAlign w:val="center"/>
          </w:tcPr>
          <w:p w:rsidR="00CA4A11" w:rsidRPr="00C12624" w:rsidRDefault="00CA4A11" w:rsidP="00FC4C05">
            <w:pPr>
              <w:pStyle w:val="a1"/>
              <w:spacing w:before="0" w:after="0"/>
              <w:ind w:right="83"/>
              <w:jc w:val="center"/>
              <w:rPr>
                <w:rFonts w:cs="Times New Roman"/>
                <w:color w:val="000000" w:themeColor="text1"/>
                <w:sz w:val="18"/>
                <w:szCs w:val="18"/>
                <w:lang w:val="sr-Cyrl-CS"/>
              </w:rPr>
            </w:pPr>
            <w:r w:rsidRPr="00C12624">
              <w:rPr>
                <w:rFonts w:cs="Times New Roman"/>
                <w:color w:val="000000" w:themeColor="text1"/>
                <w:sz w:val="18"/>
                <w:szCs w:val="18"/>
                <w:lang w:val="sr-Cyrl-CS"/>
              </w:rPr>
              <w:t>%</w:t>
            </w:r>
          </w:p>
        </w:tc>
        <w:tc>
          <w:tcPr>
            <w:tcW w:w="1276" w:type="dxa"/>
            <w:tcBorders>
              <w:left w:val="single" w:sz="4" w:space="0" w:color="auto"/>
              <w:right w:val="single" w:sz="4" w:space="0" w:color="auto"/>
            </w:tcBorders>
            <w:shd w:val="clear" w:color="auto" w:fill="DBE5F1" w:themeFill="accent1" w:themeFillTint="33"/>
            <w:vAlign w:val="center"/>
          </w:tcPr>
          <w:p w:rsidR="00CA4A11" w:rsidRPr="00C12624" w:rsidRDefault="00CA4A11" w:rsidP="00FC4C05">
            <w:pPr>
              <w:pStyle w:val="a1"/>
              <w:spacing w:before="0" w:after="0"/>
              <w:ind w:right="83"/>
              <w:jc w:val="center"/>
              <w:rPr>
                <w:rFonts w:cs="Times New Roman"/>
                <w:color w:val="000000" w:themeColor="text1"/>
                <w:sz w:val="18"/>
                <w:szCs w:val="18"/>
                <w:lang w:val="sr-Cyrl-CS"/>
              </w:rPr>
            </w:pPr>
            <w:r w:rsidRPr="00C12624">
              <w:rPr>
                <w:rFonts w:cs="Times New Roman"/>
                <w:color w:val="000000" w:themeColor="text1"/>
                <w:sz w:val="18"/>
                <w:szCs w:val="18"/>
                <w:lang w:val="sr-Cyrl-CS"/>
              </w:rPr>
              <w:t>Х 10</w:t>
            </w:r>
            <w:r w:rsidRPr="00C12624">
              <w:rPr>
                <w:rFonts w:cs="Times New Roman"/>
                <w:color w:val="000000" w:themeColor="text1"/>
                <w:sz w:val="18"/>
                <w:szCs w:val="18"/>
                <w:vertAlign w:val="superscript"/>
                <w:lang w:val="sr-Cyrl-CS"/>
              </w:rPr>
              <w:t>6</w:t>
            </w:r>
            <w:r w:rsidRPr="00C12624">
              <w:rPr>
                <w:rFonts w:cs="Times New Roman"/>
                <w:color w:val="000000" w:themeColor="text1"/>
                <w:sz w:val="18"/>
                <w:szCs w:val="18"/>
                <w:lang w:val="sr-Cyrl-CS"/>
              </w:rPr>
              <w:t xml:space="preserve"> M³</w:t>
            </w:r>
          </w:p>
        </w:tc>
        <w:tc>
          <w:tcPr>
            <w:tcW w:w="1134" w:type="dxa"/>
            <w:tcBorders>
              <w:left w:val="single" w:sz="4" w:space="0" w:color="auto"/>
              <w:right w:val="single" w:sz="4" w:space="0" w:color="auto"/>
            </w:tcBorders>
            <w:shd w:val="clear" w:color="auto" w:fill="DBE5F1" w:themeFill="accent1" w:themeFillTint="33"/>
            <w:vAlign w:val="center"/>
          </w:tcPr>
          <w:p w:rsidR="00CA4A11" w:rsidRPr="00C12624" w:rsidRDefault="00CA4A11" w:rsidP="00FC4C05">
            <w:pPr>
              <w:pStyle w:val="a1"/>
              <w:spacing w:before="0" w:after="0"/>
              <w:ind w:right="83"/>
              <w:jc w:val="center"/>
              <w:rPr>
                <w:rFonts w:cs="Times New Roman"/>
                <w:color w:val="000000" w:themeColor="text1"/>
                <w:sz w:val="18"/>
                <w:szCs w:val="18"/>
                <w:lang w:val="sr-Cyrl-CS"/>
              </w:rPr>
            </w:pPr>
            <w:r w:rsidRPr="00C12624">
              <w:rPr>
                <w:rFonts w:cs="Times New Roman"/>
                <w:color w:val="000000" w:themeColor="text1"/>
                <w:sz w:val="18"/>
                <w:szCs w:val="18"/>
                <w:lang w:val="sr-Cyrl-CS"/>
              </w:rPr>
              <w:t>%</w:t>
            </w:r>
          </w:p>
        </w:tc>
      </w:tr>
      <w:tr w:rsidR="00CA4A11" w:rsidRPr="00C12624" w:rsidTr="00FC4C05">
        <w:trPr>
          <w:trHeight w:val="284"/>
          <w:jc w:val="center"/>
        </w:trPr>
        <w:tc>
          <w:tcPr>
            <w:tcW w:w="1707" w:type="dxa"/>
            <w:tcBorders>
              <w:left w:val="single" w:sz="4" w:space="0" w:color="auto"/>
              <w:right w:val="single" w:sz="4" w:space="0" w:color="auto"/>
            </w:tcBorders>
            <w:shd w:val="clear" w:color="auto" w:fill="auto"/>
            <w:tcMar>
              <w:top w:w="15" w:type="dxa"/>
              <w:left w:w="108" w:type="dxa"/>
              <w:bottom w:w="0" w:type="dxa"/>
              <w:right w:w="108" w:type="dxa"/>
            </w:tcMar>
            <w:hideMark/>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w:t>
            </w:r>
          </w:p>
        </w:tc>
        <w:tc>
          <w:tcPr>
            <w:tcW w:w="2415" w:type="dxa"/>
            <w:gridSpan w:val="2"/>
            <w:tcBorders>
              <w:left w:val="single" w:sz="4" w:space="0" w:color="auto"/>
              <w:right w:val="single" w:sz="4" w:space="0" w:color="auto"/>
            </w:tcBorders>
            <w:shd w:val="clear" w:color="auto" w:fill="auto"/>
            <w:tcMar>
              <w:top w:w="15" w:type="dxa"/>
              <w:left w:w="108" w:type="dxa"/>
              <w:bottom w:w="0" w:type="dxa"/>
              <w:right w:w="108" w:type="dxa"/>
            </w:tcMar>
            <w:hideMark/>
          </w:tcPr>
          <w:p w:rsidR="00CA4A11" w:rsidRPr="00C12624" w:rsidDel="009667BB" w:rsidRDefault="00CA4A11" w:rsidP="00FC4C05">
            <w:pPr>
              <w:jc w:val="left"/>
              <w:rPr>
                <w:rFonts w:ascii="Times New Roman" w:hAnsi="Times New Roman" w:cs="Times New Roman"/>
                <w:color w:val="000000" w:themeColor="text1"/>
                <w:sz w:val="18"/>
                <w:szCs w:val="18"/>
                <w:vertAlign w:val="superscript"/>
                <w:lang w:val="sr-Cyrl-CS"/>
              </w:rPr>
            </w:pPr>
            <w:r w:rsidRPr="00C12624">
              <w:rPr>
                <w:rFonts w:ascii="Times New Roman" w:hAnsi="Times New Roman" w:cs="Times New Roman"/>
                <w:color w:val="000000" w:themeColor="text1"/>
                <w:sz w:val="18"/>
                <w:szCs w:val="18"/>
                <w:lang w:val="sr-Cyrl-CS"/>
              </w:rPr>
              <w:t>Захваћена вода</w:t>
            </w:r>
          </w:p>
        </w:tc>
        <w:tc>
          <w:tcPr>
            <w:tcW w:w="1260"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659</w:t>
            </w:r>
          </w:p>
        </w:tc>
        <w:tc>
          <w:tcPr>
            <w:tcW w:w="1134"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ind w:right="83"/>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100</w:t>
            </w:r>
          </w:p>
        </w:tc>
        <w:tc>
          <w:tcPr>
            <w:tcW w:w="1276" w:type="dxa"/>
            <w:tcBorders>
              <w:left w:val="single" w:sz="4" w:space="0" w:color="auto"/>
              <w:right w:val="single" w:sz="4" w:space="0" w:color="auto"/>
            </w:tcBorders>
          </w:tcPr>
          <w:p w:rsidR="00CA4A11" w:rsidRPr="00C12624" w:rsidRDefault="00CA4A11" w:rsidP="00FC4C05">
            <w:pPr>
              <w:ind w:right="83"/>
              <w:jc w:val="center"/>
              <w:rPr>
                <w:rFonts w:ascii="Times New Roman" w:hAnsi="Times New Roman" w:cs="Times New Roman"/>
                <w:color w:val="000000" w:themeColor="text1"/>
                <w:sz w:val="18"/>
                <w:szCs w:val="18"/>
                <w:lang w:val="sr-Cyrl-CS"/>
              </w:rPr>
            </w:pPr>
          </w:p>
        </w:tc>
        <w:tc>
          <w:tcPr>
            <w:tcW w:w="1134" w:type="dxa"/>
            <w:tcBorders>
              <w:left w:val="single" w:sz="4" w:space="0" w:color="auto"/>
              <w:right w:val="single" w:sz="4" w:space="0" w:color="auto"/>
            </w:tcBorders>
          </w:tcPr>
          <w:p w:rsidR="00CA4A11" w:rsidRPr="00C12624" w:rsidRDefault="00CA4A11" w:rsidP="00FC4C05">
            <w:pPr>
              <w:ind w:right="83"/>
              <w:jc w:val="center"/>
              <w:rPr>
                <w:rFonts w:ascii="Times New Roman" w:hAnsi="Times New Roman" w:cs="Times New Roman"/>
                <w:color w:val="000000" w:themeColor="text1"/>
                <w:sz w:val="18"/>
                <w:szCs w:val="18"/>
                <w:lang w:val="sr-Cyrl-CS"/>
              </w:rPr>
            </w:pPr>
          </w:p>
        </w:tc>
      </w:tr>
      <w:tr w:rsidR="00CA4A11" w:rsidRPr="00C12624" w:rsidTr="00FC4C05">
        <w:trPr>
          <w:trHeight w:val="284"/>
          <w:jc w:val="center"/>
        </w:trPr>
        <w:tc>
          <w:tcPr>
            <w:tcW w:w="1707" w:type="dxa"/>
            <w:tcBorders>
              <w:left w:val="single" w:sz="4" w:space="0" w:color="auto"/>
              <w:right w:val="single" w:sz="4" w:space="0" w:color="auto"/>
            </w:tcBorders>
            <w:shd w:val="clear" w:color="auto" w:fill="auto"/>
            <w:tcMar>
              <w:top w:w="15" w:type="dxa"/>
              <w:left w:w="108" w:type="dxa"/>
              <w:bottom w:w="0" w:type="dxa"/>
              <w:right w:w="108" w:type="dxa"/>
            </w:tcMar>
            <w:hideMark/>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2.</w:t>
            </w:r>
          </w:p>
        </w:tc>
        <w:tc>
          <w:tcPr>
            <w:tcW w:w="2415" w:type="dxa"/>
            <w:gridSpan w:val="2"/>
            <w:tcBorders>
              <w:left w:val="single" w:sz="4" w:space="0" w:color="auto"/>
              <w:right w:val="single" w:sz="4" w:space="0" w:color="auto"/>
            </w:tcBorders>
            <w:shd w:val="clear" w:color="auto" w:fill="auto"/>
            <w:tcMar>
              <w:top w:w="15" w:type="dxa"/>
              <w:left w:w="108" w:type="dxa"/>
              <w:bottom w:w="0" w:type="dxa"/>
              <w:right w:w="108" w:type="dxa"/>
            </w:tcMar>
            <w:hideMark/>
          </w:tcPr>
          <w:p w:rsidR="00CA4A11" w:rsidRPr="00C12624" w:rsidDel="009667BB" w:rsidRDefault="00CA4A11" w:rsidP="00FC4C05">
            <w:pPr>
              <w:jc w:val="left"/>
              <w:rPr>
                <w:rFonts w:ascii="Times New Roman" w:hAnsi="Times New Roman" w:cs="Times New Roman"/>
                <w:color w:val="000000" w:themeColor="text1"/>
                <w:sz w:val="18"/>
                <w:szCs w:val="18"/>
                <w:vertAlign w:val="superscript"/>
                <w:lang w:val="sr-Cyrl-CS"/>
              </w:rPr>
            </w:pPr>
            <w:r w:rsidRPr="00C12624">
              <w:rPr>
                <w:rFonts w:ascii="Times New Roman" w:hAnsi="Times New Roman" w:cs="Times New Roman"/>
                <w:color w:val="000000" w:themeColor="text1"/>
                <w:sz w:val="18"/>
                <w:szCs w:val="18"/>
                <w:lang w:val="sr-Cyrl-CS"/>
              </w:rPr>
              <w:t>Произведена вода</w:t>
            </w:r>
          </w:p>
        </w:tc>
        <w:tc>
          <w:tcPr>
            <w:tcW w:w="1260"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w:t>
            </w:r>
          </w:p>
        </w:tc>
        <w:tc>
          <w:tcPr>
            <w:tcW w:w="1134"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ind w:right="227"/>
              <w:jc w:val="center"/>
              <w:rPr>
                <w:rFonts w:ascii="Times New Roman" w:hAnsi="Times New Roman" w:cs="Times New Roman"/>
                <w:color w:val="000000" w:themeColor="text1"/>
                <w:sz w:val="18"/>
                <w:szCs w:val="18"/>
                <w:lang w:val="sr-Cyrl-CS"/>
              </w:rPr>
            </w:pPr>
          </w:p>
        </w:tc>
        <w:tc>
          <w:tcPr>
            <w:tcW w:w="1276" w:type="dxa"/>
            <w:tcBorders>
              <w:left w:val="single" w:sz="4" w:space="0" w:color="auto"/>
              <w:right w:val="single" w:sz="4" w:space="0" w:color="auto"/>
            </w:tcBorders>
          </w:tcPr>
          <w:p w:rsidR="00CA4A11" w:rsidRPr="00C12624" w:rsidDel="009667BB" w:rsidRDefault="00CA4A11" w:rsidP="00FC4C05">
            <w:pPr>
              <w:ind w:right="227"/>
              <w:jc w:val="center"/>
              <w:rPr>
                <w:rFonts w:ascii="Times New Roman" w:hAnsi="Times New Roman" w:cs="Times New Roman"/>
                <w:color w:val="000000" w:themeColor="text1"/>
                <w:sz w:val="18"/>
                <w:szCs w:val="18"/>
                <w:vertAlign w:val="superscript"/>
                <w:lang w:val="sr-Cyrl-CS"/>
              </w:rPr>
            </w:pPr>
            <w:r w:rsidRPr="00C12624">
              <w:rPr>
                <w:rFonts w:ascii="Times New Roman" w:hAnsi="Times New Roman" w:cs="Times New Roman"/>
                <w:color w:val="000000" w:themeColor="text1"/>
                <w:sz w:val="18"/>
                <w:szCs w:val="18"/>
                <w:lang w:val="sr-Cyrl-CS"/>
              </w:rPr>
              <w:t>565</w:t>
            </w:r>
          </w:p>
        </w:tc>
        <w:tc>
          <w:tcPr>
            <w:tcW w:w="1134" w:type="dxa"/>
            <w:tcBorders>
              <w:left w:val="single" w:sz="4" w:space="0" w:color="auto"/>
              <w:right w:val="single" w:sz="4" w:space="0" w:color="auto"/>
            </w:tcBorders>
          </w:tcPr>
          <w:p w:rsidR="00CA4A11" w:rsidRPr="00C12624" w:rsidDel="009667BB"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100</w:t>
            </w:r>
          </w:p>
        </w:tc>
      </w:tr>
      <w:tr w:rsidR="00CA4A11" w:rsidRPr="00C12624" w:rsidTr="00FC4C05">
        <w:trPr>
          <w:trHeight w:val="284"/>
          <w:jc w:val="center"/>
        </w:trPr>
        <w:tc>
          <w:tcPr>
            <w:tcW w:w="1707"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3.</w:t>
            </w:r>
          </w:p>
        </w:tc>
        <w:tc>
          <w:tcPr>
            <w:tcW w:w="2415" w:type="dxa"/>
            <w:gridSpan w:val="2"/>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Del="009667BB"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Вода упућена у потрошњу</w:t>
            </w:r>
          </w:p>
        </w:tc>
        <w:tc>
          <w:tcPr>
            <w:tcW w:w="1260"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Del="009667BB"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425</w:t>
            </w:r>
          </w:p>
        </w:tc>
        <w:tc>
          <w:tcPr>
            <w:tcW w:w="1134"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Del="009667BB"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64</w:t>
            </w:r>
          </w:p>
        </w:tc>
        <w:tc>
          <w:tcPr>
            <w:tcW w:w="1276" w:type="dxa"/>
            <w:tcBorders>
              <w:left w:val="single" w:sz="4" w:space="0" w:color="auto"/>
              <w:right w:val="single" w:sz="4" w:space="0" w:color="auto"/>
            </w:tcBorders>
          </w:tcPr>
          <w:p w:rsidR="00CA4A11" w:rsidRPr="00C12624" w:rsidDel="009667BB"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w:t>
            </w:r>
          </w:p>
        </w:tc>
        <w:tc>
          <w:tcPr>
            <w:tcW w:w="1134" w:type="dxa"/>
            <w:tcBorders>
              <w:left w:val="single" w:sz="4" w:space="0" w:color="auto"/>
              <w:right w:val="single" w:sz="4" w:space="0" w:color="auto"/>
            </w:tcBorders>
          </w:tcPr>
          <w:p w:rsidR="00CA4A11" w:rsidRPr="00C12624" w:rsidDel="009667BB" w:rsidRDefault="00CA4A11" w:rsidP="00FC4C05">
            <w:pPr>
              <w:ind w:right="227"/>
              <w:jc w:val="center"/>
              <w:rPr>
                <w:rFonts w:ascii="Times New Roman" w:hAnsi="Times New Roman" w:cs="Times New Roman"/>
                <w:color w:val="000000" w:themeColor="text1"/>
                <w:sz w:val="18"/>
                <w:szCs w:val="18"/>
                <w:lang w:val="sr-Cyrl-CS"/>
              </w:rPr>
            </w:pPr>
          </w:p>
        </w:tc>
      </w:tr>
      <w:tr w:rsidR="00CA4A11" w:rsidRPr="00C12624" w:rsidTr="00FC4C05">
        <w:trPr>
          <w:trHeight w:val="284"/>
          <w:jc w:val="center"/>
        </w:trPr>
        <w:tc>
          <w:tcPr>
            <w:tcW w:w="1707"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4.</w:t>
            </w:r>
          </w:p>
        </w:tc>
        <w:tc>
          <w:tcPr>
            <w:tcW w:w="2415" w:type="dxa"/>
            <w:gridSpan w:val="2"/>
            <w:tcBorders>
              <w:left w:val="single" w:sz="4" w:space="0" w:color="auto"/>
              <w:right w:val="single" w:sz="4" w:space="0" w:color="auto"/>
            </w:tcBorders>
            <w:shd w:val="clear" w:color="auto" w:fill="auto"/>
            <w:tcMar>
              <w:top w:w="15" w:type="dxa"/>
              <w:left w:w="108" w:type="dxa"/>
              <w:bottom w:w="0" w:type="dxa"/>
              <w:right w:w="108" w:type="dxa"/>
            </w:tcMar>
            <w:hideMark/>
          </w:tcPr>
          <w:p w:rsidR="00CA4A11" w:rsidRPr="00C12624" w:rsidDel="009667BB"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Продата вода</w:t>
            </w:r>
          </w:p>
        </w:tc>
        <w:tc>
          <w:tcPr>
            <w:tcW w:w="1260"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w:t>
            </w:r>
          </w:p>
        </w:tc>
        <w:tc>
          <w:tcPr>
            <w:tcW w:w="1134"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ind w:right="227"/>
              <w:jc w:val="center"/>
              <w:rPr>
                <w:rFonts w:ascii="Times New Roman" w:hAnsi="Times New Roman" w:cs="Times New Roman"/>
                <w:color w:val="000000" w:themeColor="text1"/>
                <w:sz w:val="18"/>
                <w:szCs w:val="18"/>
                <w:lang w:val="sr-Cyrl-CS"/>
              </w:rPr>
            </w:pPr>
          </w:p>
        </w:tc>
        <w:tc>
          <w:tcPr>
            <w:tcW w:w="1276" w:type="dxa"/>
            <w:tcBorders>
              <w:left w:val="single" w:sz="4" w:space="0" w:color="auto"/>
              <w:right w:val="single" w:sz="4" w:space="0" w:color="auto"/>
            </w:tcBorders>
          </w:tcPr>
          <w:p w:rsidR="00CA4A11" w:rsidRPr="00C12624" w:rsidDel="009667BB" w:rsidRDefault="00CA4A11" w:rsidP="00FC4C05">
            <w:pPr>
              <w:ind w:right="227"/>
              <w:jc w:val="center"/>
              <w:rPr>
                <w:rFonts w:ascii="Times New Roman" w:hAnsi="Times New Roman" w:cs="Times New Roman"/>
                <w:color w:val="000000" w:themeColor="text1"/>
                <w:sz w:val="18"/>
                <w:szCs w:val="18"/>
                <w:vertAlign w:val="superscript"/>
                <w:lang w:val="sr-Cyrl-CS"/>
              </w:rPr>
            </w:pPr>
            <w:r w:rsidRPr="00C12624">
              <w:rPr>
                <w:rFonts w:ascii="Times New Roman" w:hAnsi="Times New Roman" w:cs="Times New Roman"/>
                <w:color w:val="000000" w:themeColor="text1"/>
                <w:sz w:val="18"/>
                <w:szCs w:val="18"/>
                <w:lang w:val="sr-Cyrl-CS"/>
              </w:rPr>
              <w:t>335</w:t>
            </w:r>
          </w:p>
        </w:tc>
        <w:tc>
          <w:tcPr>
            <w:tcW w:w="1134" w:type="dxa"/>
            <w:tcBorders>
              <w:left w:val="single" w:sz="4" w:space="0" w:color="auto"/>
              <w:right w:val="single" w:sz="4" w:space="0" w:color="auto"/>
            </w:tcBorders>
          </w:tcPr>
          <w:p w:rsidR="00CA4A11" w:rsidRPr="00C12624" w:rsidDel="009667BB"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59</w:t>
            </w:r>
          </w:p>
        </w:tc>
      </w:tr>
      <w:tr w:rsidR="00CA4A11" w:rsidRPr="00C12624" w:rsidTr="00FC4C05">
        <w:trPr>
          <w:trHeight w:val="284"/>
          <w:jc w:val="center"/>
        </w:trPr>
        <w:tc>
          <w:tcPr>
            <w:tcW w:w="1707"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5.</w:t>
            </w:r>
          </w:p>
        </w:tc>
        <w:tc>
          <w:tcPr>
            <w:tcW w:w="2415" w:type="dxa"/>
            <w:gridSpan w:val="2"/>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Del="009667BB"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Вода продата на основу читања водомера</w:t>
            </w:r>
          </w:p>
        </w:tc>
        <w:tc>
          <w:tcPr>
            <w:tcW w:w="1260"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w:t>
            </w:r>
          </w:p>
        </w:tc>
        <w:tc>
          <w:tcPr>
            <w:tcW w:w="1134"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ind w:right="227"/>
              <w:jc w:val="center"/>
              <w:rPr>
                <w:rFonts w:ascii="Times New Roman" w:hAnsi="Times New Roman" w:cs="Times New Roman"/>
                <w:color w:val="000000" w:themeColor="text1"/>
                <w:sz w:val="18"/>
                <w:szCs w:val="18"/>
                <w:lang w:val="sr-Cyrl-CS"/>
              </w:rPr>
            </w:pPr>
          </w:p>
        </w:tc>
        <w:tc>
          <w:tcPr>
            <w:tcW w:w="1276" w:type="dxa"/>
            <w:tcBorders>
              <w:left w:val="single" w:sz="4" w:space="0" w:color="auto"/>
              <w:right w:val="single" w:sz="4" w:space="0" w:color="auto"/>
            </w:tcBorders>
          </w:tcPr>
          <w:p w:rsidR="00CA4A11" w:rsidRPr="00C12624" w:rsidRDefault="00CA4A11" w:rsidP="00FC4C05">
            <w:pPr>
              <w:ind w:right="227"/>
              <w:jc w:val="center"/>
              <w:rPr>
                <w:rFonts w:ascii="Times New Roman" w:hAnsi="Times New Roman" w:cs="Times New Roman"/>
                <w:color w:val="000000" w:themeColor="text1"/>
                <w:sz w:val="18"/>
                <w:szCs w:val="18"/>
                <w:vertAlign w:val="superscript"/>
                <w:lang w:val="sr-Cyrl-CS"/>
              </w:rPr>
            </w:pPr>
            <w:r w:rsidRPr="00C12624">
              <w:rPr>
                <w:rFonts w:ascii="Times New Roman" w:hAnsi="Times New Roman" w:cs="Times New Roman"/>
                <w:color w:val="000000" w:themeColor="text1"/>
                <w:sz w:val="18"/>
                <w:szCs w:val="18"/>
                <w:lang w:val="sr-Cyrl-CS"/>
              </w:rPr>
              <w:t>325</w:t>
            </w:r>
          </w:p>
        </w:tc>
        <w:tc>
          <w:tcPr>
            <w:tcW w:w="1134" w:type="dxa"/>
            <w:tcBorders>
              <w:left w:val="single" w:sz="4" w:space="0" w:color="auto"/>
              <w:right w:val="single" w:sz="4" w:space="0" w:color="auto"/>
            </w:tcBorders>
          </w:tcPr>
          <w:p w:rsidR="00CA4A11" w:rsidRPr="00C12624" w:rsidDel="009667BB"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97</w:t>
            </w:r>
          </w:p>
        </w:tc>
      </w:tr>
      <w:tr w:rsidR="00CA4A11" w:rsidRPr="00C12624" w:rsidTr="00FC4C05">
        <w:trPr>
          <w:trHeight w:val="284"/>
          <w:jc w:val="center"/>
        </w:trPr>
        <w:tc>
          <w:tcPr>
            <w:tcW w:w="1707"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6.</w:t>
            </w:r>
          </w:p>
        </w:tc>
        <w:tc>
          <w:tcPr>
            <w:tcW w:w="2415" w:type="dxa"/>
            <w:gridSpan w:val="2"/>
            <w:tcBorders>
              <w:left w:val="single" w:sz="4" w:space="0" w:color="auto"/>
              <w:right w:val="single" w:sz="4" w:space="0" w:color="auto"/>
            </w:tcBorders>
            <w:shd w:val="clear" w:color="auto" w:fill="auto"/>
            <w:tcMar>
              <w:top w:w="15" w:type="dxa"/>
              <w:left w:w="108" w:type="dxa"/>
              <w:bottom w:w="0" w:type="dxa"/>
              <w:right w:w="108" w:type="dxa"/>
            </w:tcMar>
            <w:hideMark/>
          </w:tcPr>
          <w:p w:rsidR="00CA4A11" w:rsidRPr="00C12624" w:rsidDel="009667BB" w:rsidRDefault="00CA4A11" w:rsidP="00FC4C05">
            <w:pPr>
              <w:jc w:val="left"/>
              <w:rPr>
                <w:rFonts w:ascii="Times New Roman" w:hAnsi="Times New Roman" w:cs="Times New Roman"/>
                <w:color w:val="000000" w:themeColor="text1"/>
                <w:sz w:val="18"/>
                <w:szCs w:val="18"/>
                <w:vertAlign w:val="superscript"/>
                <w:lang w:val="sr-Cyrl-CS"/>
              </w:rPr>
            </w:pPr>
            <w:r w:rsidRPr="00C12624">
              <w:rPr>
                <w:rFonts w:ascii="Times New Roman" w:hAnsi="Times New Roman" w:cs="Times New Roman"/>
                <w:color w:val="000000" w:themeColor="text1"/>
                <w:sz w:val="18"/>
                <w:szCs w:val="18"/>
                <w:lang w:val="sr-Cyrl-CS"/>
              </w:rPr>
              <w:t>Домаћинства</w:t>
            </w:r>
          </w:p>
        </w:tc>
        <w:tc>
          <w:tcPr>
            <w:tcW w:w="1260"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31</w:t>
            </w:r>
            <w:r w:rsidRPr="00C12624">
              <w:rPr>
                <w:rFonts w:ascii="Times New Roman" w:hAnsi="Times New Roman" w:cs="Times New Roman"/>
                <w:color w:val="000000" w:themeColor="text1"/>
                <w:sz w:val="18"/>
                <w:szCs w:val="18"/>
                <w:vertAlign w:val="superscript"/>
                <w:lang w:val="sr-Cyrl-CS"/>
              </w:rPr>
              <w:t>)</w:t>
            </w:r>
          </w:p>
        </w:tc>
        <w:tc>
          <w:tcPr>
            <w:tcW w:w="1134"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48</w:t>
            </w:r>
          </w:p>
        </w:tc>
        <w:tc>
          <w:tcPr>
            <w:tcW w:w="1276" w:type="dxa"/>
            <w:tcBorders>
              <w:left w:val="single" w:sz="4" w:space="0" w:color="auto"/>
              <w:right w:val="single" w:sz="4" w:space="0" w:color="auto"/>
            </w:tcBorders>
          </w:tcPr>
          <w:p w:rsidR="00CA4A11" w:rsidRPr="00C12624" w:rsidDel="009667BB"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268</w:t>
            </w:r>
          </w:p>
        </w:tc>
        <w:tc>
          <w:tcPr>
            <w:tcW w:w="1134" w:type="dxa"/>
            <w:tcBorders>
              <w:left w:val="single" w:sz="4" w:space="0" w:color="auto"/>
              <w:right w:val="single" w:sz="4" w:space="0" w:color="auto"/>
            </w:tcBorders>
          </w:tcPr>
          <w:p w:rsidR="00CA4A11" w:rsidRPr="00C12624" w:rsidDel="009667BB"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47</w:t>
            </w:r>
          </w:p>
        </w:tc>
      </w:tr>
      <w:tr w:rsidR="00CA4A11" w:rsidRPr="00C12624" w:rsidTr="00FC4C05">
        <w:trPr>
          <w:trHeight w:val="284"/>
          <w:jc w:val="center"/>
        </w:trPr>
        <w:tc>
          <w:tcPr>
            <w:tcW w:w="1707"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7.</w:t>
            </w:r>
          </w:p>
        </w:tc>
        <w:tc>
          <w:tcPr>
            <w:tcW w:w="2415" w:type="dxa"/>
            <w:gridSpan w:val="2"/>
            <w:tcBorders>
              <w:left w:val="single" w:sz="4" w:space="0" w:color="auto"/>
              <w:right w:val="single" w:sz="4" w:space="0" w:color="auto"/>
            </w:tcBorders>
            <w:shd w:val="clear" w:color="auto" w:fill="auto"/>
            <w:tcMar>
              <w:top w:w="15" w:type="dxa"/>
              <w:left w:w="108" w:type="dxa"/>
              <w:bottom w:w="0" w:type="dxa"/>
              <w:right w:w="108" w:type="dxa"/>
            </w:tcMar>
            <w:hideMark/>
          </w:tcPr>
          <w:p w:rsidR="00CA4A11" w:rsidRPr="00C12624" w:rsidDel="009667BB" w:rsidRDefault="00CA4A11" w:rsidP="00FC4C05">
            <w:pPr>
              <w:tabs>
                <w:tab w:val="right" w:pos="2194"/>
              </w:tabs>
              <w:jc w:val="left"/>
              <w:rPr>
                <w:rFonts w:ascii="Times New Roman" w:hAnsi="Times New Roman" w:cs="Times New Roman"/>
                <w:color w:val="000000" w:themeColor="text1"/>
                <w:sz w:val="18"/>
                <w:szCs w:val="18"/>
                <w:vertAlign w:val="superscript"/>
                <w:lang w:val="sr-Cyrl-CS"/>
              </w:rPr>
            </w:pPr>
            <w:r w:rsidRPr="00C12624">
              <w:rPr>
                <w:rFonts w:ascii="Times New Roman" w:hAnsi="Times New Roman" w:cs="Times New Roman"/>
                <w:color w:val="000000" w:themeColor="text1"/>
                <w:sz w:val="18"/>
                <w:szCs w:val="18"/>
                <w:lang w:val="sr-Cyrl-CS"/>
              </w:rPr>
              <w:t>Индустрија</w:t>
            </w:r>
          </w:p>
        </w:tc>
        <w:tc>
          <w:tcPr>
            <w:tcW w:w="1260"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vertAlign w:val="superscript"/>
                <w:lang w:val="sr-Cyrl-CS"/>
              </w:rPr>
            </w:pPr>
            <w:r w:rsidRPr="00C12624">
              <w:rPr>
                <w:rFonts w:ascii="Times New Roman" w:hAnsi="Times New Roman" w:cs="Times New Roman"/>
                <w:color w:val="000000" w:themeColor="text1"/>
                <w:sz w:val="18"/>
                <w:szCs w:val="18"/>
                <w:lang w:val="sr-Cyrl-CS"/>
              </w:rPr>
              <w:t>64</w:t>
            </w:r>
          </w:p>
        </w:tc>
        <w:tc>
          <w:tcPr>
            <w:tcW w:w="1134"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16</w:t>
            </w:r>
          </w:p>
        </w:tc>
        <w:tc>
          <w:tcPr>
            <w:tcW w:w="1276" w:type="dxa"/>
            <w:tcBorders>
              <w:left w:val="single" w:sz="4" w:space="0" w:color="auto"/>
              <w:right w:val="single" w:sz="4" w:space="0" w:color="auto"/>
            </w:tcBorders>
          </w:tcPr>
          <w:p w:rsidR="00CA4A11" w:rsidRPr="00C12624" w:rsidDel="009667BB" w:rsidRDefault="00CA4A11" w:rsidP="00FC4C05">
            <w:pPr>
              <w:ind w:right="227"/>
              <w:jc w:val="center"/>
              <w:rPr>
                <w:rFonts w:ascii="Times New Roman" w:hAnsi="Times New Roman" w:cs="Times New Roman"/>
                <w:color w:val="000000" w:themeColor="text1"/>
                <w:sz w:val="18"/>
                <w:szCs w:val="18"/>
                <w:vertAlign w:val="superscript"/>
                <w:lang w:val="sr-Cyrl-CS"/>
              </w:rPr>
            </w:pPr>
            <w:r w:rsidRPr="00C12624">
              <w:rPr>
                <w:rFonts w:ascii="Times New Roman" w:hAnsi="Times New Roman" w:cs="Times New Roman"/>
                <w:color w:val="000000" w:themeColor="text1"/>
                <w:sz w:val="18"/>
                <w:szCs w:val="18"/>
                <w:lang w:val="sr-Cyrl-CS"/>
              </w:rPr>
              <w:t>49</w:t>
            </w:r>
          </w:p>
        </w:tc>
        <w:tc>
          <w:tcPr>
            <w:tcW w:w="1134" w:type="dxa"/>
            <w:tcBorders>
              <w:left w:val="single" w:sz="4" w:space="0" w:color="auto"/>
              <w:right w:val="single" w:sz="4" w:space="0" w:color="auto"/>
            </w:tcBorders>
          </w:tcPr>
          <w:p w:rsidR="00CA4A11" w:rsidRPr="00C12624" w:rsidDel="009667BB"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15</w:t>
            </w:r>
          </w:p>
        </w:tc>
      </w:tr>
      <w:tr w:rsidR="00CA4A11" w:rsidRPr="00C12624" w:rsidTr="00FC4C05">
        <w:trPr>
          <w:trHeight w:val="284"/>
          <w:jc w:val="center"/>
        </w:trPr>
        <w:tc>
          <w:tcPr>
            <w:tcW w:w="1707"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8.</w:t>
            </w:r>
          </w:p>
        </w:tc>
        <w:tc>
          <w:tcPr>
            <w:tcW w:w="2415" w:type="dxa"/>
            <w:gridSpan w:val="2"/>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tabs>
                <w:tab w:val="right" w:pos="2194"/>
              </w:tabs>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Остали корисници</w:t>
            </w:r>
          </w:p>
        </w:tc>
        <w:tc>
          <w:tcPr>
            <w:tcW w:w="1260"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44</w:t>
            </w:r>
          </w:p>
        </w:tc>
        <w:tc>
          <w:tcPr>
            <w:tcW w:w="1134"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ind w:right="227"/>
              <w:jc w:val="center"/>
              <w:rPr>
                <w:rFonts w:ascii="Times New Roman" w:hAnsi="Times New Roman" w:cs="Times New Roman"/>
                <w:color w:val="000000" w:themeColor="text1"/>
                <w:sz w:val="18"/>
                <w:szCs w:val="18"/>
                <w:lang w:val="sr-Cyrl-CS"/>
              </w:rPr>
            </w:pPr>
          </w:p>
        </w:tc>
        <w:tc>
          <w:tcPr>
            <w:tcW w:w="1276" w:type="dxa"/>
            <w:tcBorders>
              <w:left w:val="single" w:sz="4" w:space="0" w:color="auto"/>
              <w:right w:val="single" w:sz="4" w:space="0" w:color="auto"/>
            </w:tcBorders>
          </w:tcPr>
          <w:p w:rsidR="00CA4A11" w:rsidRPr="00C12624"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18</w:t>
            </w:r>
          </w:p>
        </w:tc>
        <w:tc>
          <w:tcPr>
            <w:tcW w:w="1134" w:type="dxa"/>
            <w:tcBorders>
              <w:left w:val="single" w:sz="4" w:space="0" w:color="auto"/>
              <w:right w:val="single" w:sz="4" w:space="0" w:color="auto"/>
            </w:tcBorders>
          </w:tcPr>
          <w:p w:rsidR="00CA4A11" w:rsidRPr="00C12624"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5</w:t>
            </w:r>
          </w:p>
        </w:tc>
      </w:tr>
      <w:tr w:rsidR="00CA4A11" w:rsidRPr="00C12624" w:rsidTr="00FC4C05">
        <w:trPr>
          <w:trHeight w:val="284"/>
          <w:jc w:val="center"/>
        </w:trPr>
        <w:tc>
          <w:tcPr>
            <w:tcW w:w="1707"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9.</w:t>
            </w:r>
          </w:p>
        </w:tc>
        <w:tc>
          <w:tcPr>
            <w:tcW w:w="1990" w:type="dxa"/>
            <w:tcBorders>
              <w:left w:val="single" w:sz="4" w:space="0" w:color="auto"/>
            </w:tcBorders>
            <w:shd w:val="clear" w:color="auto" w:fill="auto"/>
            <w:tcMar>
              <w:top w:w="15" w:type="dxa"/>
              <w:left w:w="108" w:type="dxa"/>
              <w:bottom w:w="0" w:type="dxa"/>
              <w:right w:w="108" w:type="dxa"/>
            </w:tcMar>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Губици воде</w:t>
            </w:r>
          </w:p>
        </w:tc>
        <w:tc>
          <w:tcPr>
            <w:tcW w:w="425" w:type="dxa"/>
            <w:tcBorders>
              <w:right w:val="single" w:sz="4" w:space="0" w:color="auto"/>
            </w:tcBorders>
            <w:tcMar>
              <w:top w:w="15" w:type="dxa"/>
              <w:left w:w="108" w:type="dxa"/>
              <w:bottom w:w="0" w:type="dxa"/>
              <w:right w:w="108" w:type="dxa"/>
            </w:tcMar>
          </w:tcPr>
          <w:p w:rsidR="00CA4A11" w:rsidRPr="00C12624" w:rsidDel="009667BB" w:rsidRDefault="00CA4A11" w:rsidP="00FC4C05">
            <w:pPr>
              <w:jc w:val="center"/>
              <w:rPr>
                <w:rFonts w:ascii="Times New Roman" w:hAnsi="Times New Roman" w:cs="Times New Roman"/>
                <w:color w:val="000000" w:themeColor="text1"/>
                <w:sz w:val="18"/>
                <w:szCs w:val="18"/>
                <w:lang w:val="sr-Cyrl-CS"/>
              </w:rPr>
            </w:pPr>
          </w:p>
        </w:tc>
        <w:tc>
          <w:tcPr>
            <w:tcW w:w="1260"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234</w:t>
            </w:r>
          </w:p>
        </w:tc>
        <w:tc>
          <w:tcPr>
            <w:tcW w:w="1134" w:type="dxa"/>
            <w:tcBorders>
              <w:left w:val="single" w:sz="4" w:space="0" w:color="auto"/>
              <w:right w:val="single" w:sz="4" w:space="0" w:color="auto"/>
            </w:tcBorders>
            <w:shd w:val="clear" w:color="auto" w:fill="auto"/>
            <w:tcMar>
              <w:top w:w="15" w:type="dxa"/>
              <w:left w:w="108" w:type="dxa"/>
              <w:bottom w:w="0" w:type="dxa"/>
              <w:right w:w="108" w:type="dxa"/>
            </w:tcMar>
          </w:tcPr>
          <w:p w:rsidR="00CA4A11" w:rsidRPr="00C12624"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36</w:t>
            </w:r>
          </w:p>
        </w:tc>
        <w:tc>
          <w:tcPr>
            <w:tcW w:w="1276" w:type="dxa"/>
            <w:tcBorders>
              <w:left w:val="single" w:sz="4" w:space="0" w:color="auto"/>
              <w:right w:val="single" w:sz="4" w:space="0" w:color="auto"/>
            </w:tcBorders>
          </w:tcPr>
          <w:p w:rsidR="00CA4A11" w:rsidRPr="00C12624" w:rsidDel="009667BB" w:rsidRDefault="00CA4A11" w:rsidP="00FC4C05">
            <w:pPr>
              <w:ind w:right="227"/>
              <w:jc w:val="center"/>
              <w:rPr>
                <w:rFonts w:ascii="Times New Roman" w:hAnsi="Times New Roman" w:cs="Times New Roman"/>
                <w:color w:val="000000" w:themeColor="text1"/>
                <w:sz w:val="18"/>
                <w:szCs w:val="18"/>
                <w:vertAlign w:val="superscript"/>
                <w:lang w:val="sr-Cyrl-CS"/>
              </w:rPr>
            </w:pPr>
            <w:r w:rsidRPr="00C12624">
              <w:rPr>
                <w:rFonts w:ascii="Times New Roman" w:hAnsi="Times New Roman" w:cs="Times New Roman"/>
                <w:color w:val="000000" w:themeColor="text1"/>
                <w:sz w:val="18"/>
                <w:szCs w:val="18"/>
                <w:lang w:val="sr-Cyrl-CS"/>
              </w:rPr>
              <w:t>230</w:t>
            </w:r>
          </w:p>
        </w:tc>
        <w:tc>
          <w:tcPr>
            <w:tcW w:w="1134" w:type="dxa"/>
            <w:tcBorders>
              <w:left w:val="single" w:sz="4" w:space="0" w:color="auto"/>
              <w:right w:val="single" w:sz="4" w:space="0" w:color="auto"/>
            </w:tcBorders>
          </w:tcPr>
          <w:p w:rsidR="00CA4A11" w:rsidRPr="00C12624" w:rsidDel="009667BB" w:rsidRDefault="00CA4A11" w:rsidP="00FC4C05">
            <w:pPr>
              <w:ind w:right="227"/>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41</w:t>
            </w:r>
          </w:p>
        </w:tc>
      </w:tr>
    </w:tbl>
    <w:p w:rsidR="00CA4A11" w:rsidRPr="00C12624" w:rsidRDefault="00CA4A11" w:rsidP="00CA4A11">
      <w:pPr>
        <w:pStyle w:val="a"/>
        <w:spacing w:before="0" w:after="0"/>
        <w:rPr>
          <w:color w:val="000000" w:themeColor="text1"/>
        </w:rPr>
      </w:pPr>
      <w:bookmarkStart w:id="4" w:name="_Toc496270552"/>
      <w:bookmarkStart w:id="5" w:name="_Toc501356771"/>
    </w:p>
    <w:p w:rsidR="00CA4A11" w:rsidRPr="00C12624" w:rsidRDefault="00CA4A11" w:rsidP="00CA4A11">
      <w:pPr>
        <w:ind w:firstLine="720"/>
        <w:rPr>
          <w:rFonts w:ascii="Times New Roman" w:hAnsi="Times New Roman" w:cs="Times New Roman"/>
          <w:b/>
          <w:color w:val="000000" w:themeColor="text1"/>
          <w:sz w:val="24"/>
          <w:szCs w:val="24"/>
          <w:lang w:val="sr-Cyrl-CS"/>
        </w:rPr>
      </w:pPr>
      <w:bookmarkStart w:id="6" w:name="_Toc496270560"/>
      <w:bookmarkStart w:id="7" w:name="_Toc501356777"/>
      <w:bookmarkEnd w:id="4"/>
      <w:bookmarkEnd w:id="5"/>
      <w:r w:rsidRPr="00C12624">
        <w:rPr>
          <w:rFonts w:ascii="Times New Roman" w:hAnsi="Times New Roman" w:cs="Times New Roman"/>
          <w:b/>
          <w:color w:val="000000" w:themeColor="text1"/>
          <w:sz w:val="24"/>
          <w:szCs w:val="24"/>
          <w:lang w:val="sr-Cyrl-CS"/>
        </w:rPr>
        <w:t>Финансирање сектора вода</w:t>
      </w:r>
      <w:bookmarkEnd w:id="6"/>
      <w:bookmarkEnd w:id="7"/>
    </w:p>
    <w:p w:rsidR="00CA4A11" w:rsidRPr="00C12624" w:rsidRDefault="00CA4A11" w:rsidP="00CA4A11">
      <w:pPr>
        <w:ind w:firstLine="720"/>
        <w:rPr>
          <w:rFonts w:ascii="Times New Roman" w:hAnsi="Times New Roman" w:cs="Times New Roman"/>
          <w:color w:val="000000" w:themeColor="text1"/>
          <w:sz w:val="24"/>
          <w:szCs w:val="24"/>
          <w:lang w:val="sr-Cyrl-CS"/>
        </w:rPr>
      </w:pPr>
      <w:r w:rsidRPr="00C12624">
        <w:rPr>
          <w:rFonts w:ascii="Times New Roman" w:hAnsi="Times New Roman" w:cs="Times New Roman"/>
          <w:color w:val="000000" w:themeColor="text1"/>
          <w:sz w:val="24"/>
          <w:szCs w:val="24"/>
          <w:lang w:val="sr-Cyrl-CS"/>
        </w:rPr>
        <w:t>Према подацима из ранијих година рад предузећа сектора вода се финансира из више извора: од цене воде са око 61%, од таксе са око 15%, из различитих трансфера са око 23%, што значи да приходи  од цене услуга не покривају оперативне трошкове предузећа.</w:t>
      </w:r>
    </w:p>
    <w:p w:rsidR="00CA4A11" w:rsidRPr="00C12624" w:rsidRDefault="00CA4A11" w:rsidP="00CA4A11">
      <w:pPr>
        <w:ind w:firstLine="720"/>
        <w:rPr>
          <w:rFonts w:ascii="Times New Roman" w:hAnsi="Times New Roman" w:cs="Times New Roman"/>
          <w:color w:val="000000" w:themeColor="text1"/>
          <w:sz w:val="24"/>
          <w:szCs w:val="24"/>
          <w:lang w:val="sr-Cyrl-CS"/>
        </w:rPr>
      </w:pPr>
      <w:r w:rsidRPr="00C12624">
        <w:rPr>
          <w:rFonts w:ascii="Times New Roman" w:hAnsi="Times New Roman" w:cs="Times New Roman"/>
          <w:color w:val="000000" w:themeColor="text1"/>
          <w:sz w:val="24"/>
          <w:szCs w:val="24"/>
          <w:lang w:val="sr-Cyrl-CS"/>
        </w:rPr>
        <w:t>Потребне инвестиције се не могу обезбедити из сопствених средстава, већ из других домаћих и страних извора</w:t>
      </w:r>
      <w:bookmarkStart w:id="8" w:name="_Toc496270561"/>
      <w:bookmarkStart w:id="9" w:name="_Toc501356778"/>
      <w:r w:rsidRPr="00C12624">
        <w:rPr>
          <w:rFonts w:ascii="Times New Roman" w:hAnsi="Times New Roman" w:cs="Times New Roman"/>
          <w:color w:val="000000" w:themeColor="text1"/>
          <w:sz w:val="24"/>
          <w:szCs w:val="24"/>
          <w:lang w:val="sr-Cyrl-CS"/>
        </w:rPr>
        <w:t>.</w:t>
      </w:r>
    </w:p>
    <w:p w:rsidR="00CA4A11" w:rsidRPr="00C12624" w:rsidRDefault="00CA4A11" w:rsidP="00CA4A11">
      <w:pPr>
        <w:ind w:firstLine="720"/>
        <w:rPr>
          <w:rFonts w:ascii="Times New Roman" w:hAnsi="Times New Roman" w:cs="Times New Roman"/>
          <w:color w:val="000000" w:themeColor="text1"/>
          <w:sz w:val="24"/>
          <w:szCs w:val="24"/>
          <w:lang w:val="sr-Cyrl-CS"/>
        </w:rPr>
      </w:pPr>
    </w:p>
    <w:p w:rsidR="00CA4A11" w:rsidRPr="00C12624" w:rsidRDefault="00CA4A11" w:rsidP="00CA4A11">
      <w:pPr>
        <w:ind w:firstLine="720"/>
        <w:rPr>
          <w:rFonts w:ascii="Times New Roman" w:hAnsi="Times New Roman" w:cs="Times New Roman"/>
          <w:b/>
          <w:color w:val="000000" w:themeColor="text1"/>
          <w:sz w:val="24"/>
          <w:szCs w:val="24"/>
          <w:lang w:val="sr-Cyrl-CS"/>
        </w:rPr>
      </w:pPr>
      <w:r w:rsidRPr="00C12624">
        <w:rPr>
          <w:rFonts w:ascii="Times New Roman" w:hAnsi="Times New Roman" w:cs="Times New Roman"/>
          <w:b/>
          <w:color w:val="000000" w:themeColor="text1"/>
          <w:sz w:val="24"/>
          <w:szCs w:val="24"/>
          <w:lang w:val="sr-Cyrl-CS"/>
        </w:rPr>
        <w:t>Укупни приходи, цене и биланс пословања</w:t>
      </w:r>
      <w:bookmarkEnd w:id="8"/>
      <w:bookmarkEnd w:id="9"/>
    </w:p>
    <w:p w:rsidR="00CA4A11" w:rsidRPr="00C12624" w:rsidRDefault="00CA4A11" w:rsidP="00CA4A11">
      <w:pPr>
        <w:ind w:firstLine="720"/>
        <w:rPr>
          <w:rFonts w:ascii="Times New Roman" w:hAnsi="Times New Roman" w:cs="Times New Roman"/>
          <w:color w:val="000000" w:themeColor="text1"/>
          <w:sz w:val="24"/>
          <w:szCs w:val="24"/>
          <w:lang w:val="sr-Cyrl-CS"/>
        </w:rPr>
      </w:pPr>
      <w:r w:rsidRPr="00C12624">
        <w:rPr>
          <w:rFonts w:ascii="Times New Roman" w:hAnsi="Times New Roman" w:cs="Times New Roman"/>
          <w:color w:val="000000" w:themeColor="text1"/>
          <w:sz w:val="24"/>
          <w:szCs w:val="24"/>
          <w:lang w:val="sr-Cyrl-CS"/>
        </w:rPr>
        <w:t>У периоду од 2009. до 2017. године укупни годишњи приход предузећа од услуга снабдевања водом и канализације je порастао за око 48%., Просечни приход предузећа такође расте: укупни приход  предузећа у 2017. години је био 26,4 милиона динара (у 2016. години 27,7 милиона, а у 2015. години приход је био 27,1 милион), па је просечан годишњи приход предузећа у периоду 2017/2016/2015 = 242.000/198.000/210.000 динара, тј. већи је за 15%.</w:t>
      </w:r>
    </w:p>
    <w:p w:rsidR="00CA4A11" w:rsidRPr="00C12624" w:rsidRDefault="00CA4A11" w:rsidP="00CA4A11">
      <w:pPr>
        <w:ind w:firstLine="720"/>
        <w:rPr>
          <w:rFonts w:ascii="Times New Roman" w:hAnsi="Times New Roman" w:cs="Times New Roman"/>
          <w:color w:val="000000" w:themeColor="text1"/>
          <w:sz w:val="24"/>
          <w:szCs w:val="24"/>
          <w:lang w:val="sr-Cyrl-CS"/>
        </w:rPr>
      </w:pPr>
      <w:r w:rsidRPr="00C12624">
        <w:rPr>
          <w:rFonts w:ascii="Times New Roman" w:hAnsi="Times New Roman" w:cs="Times New Roman"/>
          <w:color w:val="000000" w:themeColor="text1"/>
          <w:sz w:val="24"/>
          <w:szCs w:val="24"/>
          <w:lang w:val="sr-Cyrl-CS"/>
        </w:rPr>
        <w:t xml:space="preserve">Просечна цена воде за домаћинства у 2017. години била је 45,58 динара по m³, док је минимална цена воде била 17,28 динара/m³. </w:t>
      </w:r>
    </w:p>
    <w:p w:rsidR="00CA4A11" w:rsidRPr="00C12624" w:rsidRDefault="00CA4A11" w:rsidP="00CA4A11">
      <w:pPr>
        <w:ind w:firstLine="709"/>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У 2017. години се степен наплате поправио у односу на 2016. годину. </w:t>
      </w: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Вишегодишњи негативан укупни биланс предузећа се значајно мења од 2013. године. У 2017. години је укупни биланс пословања позитиван, као и претходне две године. </w:t>
      </w:r>
    </w:p>
    <w:p w:rsidR="00CA4A11" w:rsidRPr="00C12624" w:rsidRDefault="00CA4A11" w:rsidP="00CA4A11">
      <w:pPr>
        <w:ind w:firstLine="720"/>
        <w:rPr>
          <w:rFonts w:ascii="Times New Roman" w:hAnsi="Times New Roman" w:cs="Times New Roman"/>
          <w:sz w:val="24"/>
          <w:szCs w:val="24"/>
          <w:lang w:val="sr-Cyrl-CS"/>
        </w:rPr>
      </w:pPr>
    </w:p>
    <w:p w:rsidR="00CA4A11" w:rsidRPr="00C12624" w:rsidRDefault="00CA4A11" w:rsidP="00CA4A11">
      <w:pPr>
        <w:ind w:firstLine="720"/>
        <w:jc w:val="center"/>
        <w:rPr>
          <w:rFonts w:ascii="Times New Roman" w:hAnsi="Times New Roman" w:cs="Times New Roman"/>
          <w:b/>
          <w:color w:val="000000" w:themeColor="text1"/>
          <w:sz w:val="24"/>
          <w:szCs w:val="24"/>
          <w:lang w:val="sr-Cyrl-CS"/>
        </w:rPr>
      </w:pPr>
    </w:p>
    <w:p w:rsidR="00CA4A11" w:rsidRPr="00C12624" w:rsidRDefault="00CA4A11" w:rsidP="00CA4A11">
      <w:pPr>
        <w:ind w:firstLine="720"/>
        <w:jc w:val="center"/>
        <w:rPr>
          <w:rFonts w:ascii="Times New Roman" w:hAnsi="Times New Roman" w:cs="Times New Roman"/>
          <w:b/>
          <w:color w:val="000000" w:themeColor="text1"/>
          <w:sz w:val="24"/>
          <w:szCs w:val="24"/>
          <w:lang w:val="sr-Cyrl-CS"/>
        </w:rPr>
      </w:pPr>
    </w:p>
    <w:p w:rsidR="00CA4A11" w:rsidRPr="00C12624" w:rsidRDefault="00CA4A11" w:rsidP="00CA4A11">
      <w:pPr>
        <w:ind w:firstLine="720"/>
        <w:jc w:val="center"/>
        <w:rPr>
          <w:rFonts w:ascii="Times New Roman" w:hAnsi="Times New Roman" w:cs="Times New Roman"/>
          <w:b/>
          <w:color w:val="000000" w:themeColor="text1"/>
          <w:sz w:val="24"/>
          <w:szCs w:val="24"/>
          <w:lang w:val="sr-Cyrl-CS"/>
        </w:rPr>
      </w:pPr>
    </w:p>
    <w:p w:rsidR="00CA4A11" w:rsidRPr="00C12624" w:rsidRDefault="00CA4A11" w:rsidP="00CA4A11">
      <w:pPr>
        <w:ind w:firstLine="720"/>
        <w:jc w:val="center"/>
        <w:rPr>
          <w:rFonts w:ascii="Times New Roman" w:hAnsi="Times New Roman" w:cs="Times New Roman"/>
          <w:b/>
          <w:color w:val="000000" w:themeColor="text1"/>
          <w:sz w:val="24"/>
          <w:szCs w:val="24"/>
          <w:lang w:val="sr-Cyrl-CS"/>
        </w:rPr>
      </w:pPr>
    </w:p>
    <w:p w:rsidR="00CA4A11" w:rsidRPr="00C12624" w:rsidRDefault="00CA4A11" w:rsidP="00CA4A11">
      <w:pPr>
        <w:ind w:firstLine="720"/>
        <w:jc w:val="center"/>
        <w:rPr>
          <w:rFonts w:ascii="Times New Roman" w:hAnsi="Times New Roman" w:cs="Times New Roman"/>
          <w:b/>
          <w:color w:val="000000" w:themeColor="text1"/>
          <w:sz w:val="24"/>
          <w:szCs w:val="24"/>
          <w:lang w:val="sr-Cyrl-CS"/>
        </w:rPr>
      </w:pPr>
    </w:p>
    <w:p w:rsidR="00CA4A11" w:rsidRPr="00C12624" w:rsidRDefault="00CA4A11" w:rsidP="00CA4A11">
      <w:pPr>
        <w:ind w:firstLine="720"/>
        <w:jc w:val="center"/>
        <w:rPr>
          <w:rFonts w:ascii="Times New Roman" w:hAnsi="Times New Roman" w:cs="Times New Roman"/>
          <w:b/>
          <w:color w:val="000000" w:themeColor="text1"/>
          <w:sz w:val="24"/>
          <w:szCs w:val="24"/>
          <w:lang w:val="sr-Cyrl-CS"/>
        </w:rPr>
      </w:pPr>
    </w:p>
    <w:p w:rsidR="00CA4A11" w:rsidRPr="00C12624" w:rsidRDefault="00CA4A11" w:rsidP="00CA4A11">
      <w:pPr>
        <w:ind w:firstLine="720"/>
        <w:jc w:val="center"/>
        <w:rPr>
          <w:rFonts w:ascii="Times New Roman" w:hAnsi="Times New Roman" w:cs="Times New Roman"/>
          <w:b/>
          <w:color w:val="000000" w:themeColor="text1"/>
          <w:sz w:val="24"/>
          <w:szCs w:val="24"/>
          <w:lang w:val="sr-Cyrl-CS"/>
        </w:rPr>
      </w:pPr>
    </w:p>
    <w:p w:rsidR="00CA4A11" w:rsidRPr="00C12624" w:rsidRDefault="00CA4A11" w:rsidP="00CA4A11">
      <w:pPr>
        <w:ind w:firstLine="720"/>
        <w:jc w:val="center"/>
        <w:rPr>
          <w:rFonts w:ascii="Times New Roman" w:hAnsi="Times New Roman" w:cs="Times New Roman"/>
          <w:b/>
          <w:sz w:val="24"/>
          <w:szCs w:val="24"/>
          <w:lang w:val="sr-Cyrl-CS"/>
        </w:rPr>
      </w:pPr>
      <w:r w:rsidRPr="00C12624">
        <w:rPr>
          <w:rFonts w:ascii="Times New Roman" w:hAnsi="Times New Roman" w:cs="Times New Roman"/>
          <w:b/>
          <w:color w:val="000000" w:themeColor="text1"/>
          <w:sz w:val="24"/>
          <w:szCs w:val="24"/>
          <w:lang w:val="sr-Cyrl-CS"/>
        </w:rPr>
        <w:lastRenderedPageBreak/>
        <w:t>Табела 2: Биланс пословања предузећа из сектора вода</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134"/>
        <w:gridCol w:w="1422"/>
        <w:gridCol w:w="1843"/>
        <w:gridCol w:w="1985"/>
        <w:gridCol w:w="2126"/>
      </w:tblGrid>
      <w:tr w:rsidR="00CA4A11" w:rsidRPr="00C12624" w:rsidTr="00FC4C05">
        <w:trPr>
          <w:jc w:val="center"/>
        </w:trPr>
        <w:tc>
          <w:tcPr>
            <w:tcW w:w="846" w:type="dxa"/>
            <w:shd w:val="clear" w:color="auto" w:fill="DBE5F1" w:themeFill="accent1" w:themeFillTint="33"/>
            <w:vAlign w:val="center"/>
          </w:tcPr>
          <w:p w:rsidR="00CA4A11" w:rsidRPr="00C12624" w:rsidRDefault="00CA4A11" w:rsidP="00FC4C05">
            <w:pPr>
              <w:pStyle w:val="a1"/>
              <w:spacing w:before="0" w:after="0"/>
              <w:jc w:val="center"/>
              <w:rPr>
                <w:rFonts w:cs="Times New Roman"/>
                <w:color w:val="000000" w:themeColor="text1"/>
                <w:sz w:val="18"/>
                <w:szCs w:val="18"/>
                <w:lang w:val="sr-Cyrl-CS"/>
              </w:rPr>
            </w:pPr>
            <w:r w:rsidRPr="00C12624">
              <w:rPr>
                <w:rFonts w:cs="Times New Roman"/>
                <w:color w:val="000000" w:themeColor="text1"/>
                <w:sz w:val="18"/>
                <w:szCs w:val="18"/>
                <w:lang w:val="sr-Cyrl-CS"/>
              </w:rPr>
              <w:t>РЕД. БРОЈ</w:t>
            </w:r>
          </w:p>
        </w:tc>
        <w:tc>
          <w:tcPr>
            <w:tcW w:w="1134" w:type="dxa"/>
            <w:shd w:val="clear" w:color="auto" w:fill="DBE5F1" w:themeFill="accent1" w:themeFillTint="33"/>
            <w:vAlign w:val="center"/>
          </w:tcPr>
          <w:p w:rsidR="00CA4A11" w:rsidRPr="00C12624" w:rsidRDefault="00CA4A11" w:rsidP="00FC4C05">
            <w:pPr>
              <w:pStyle w:val="a1"/>
              <w:spacing w:before="0" w:after="0"/>
              <w:jc w:val="center"/>
              <w:rPr>
                <w:rFonts w:cs="Times New Roman"/>
                <w:color w:val="000000" w:themeColor="text1"/>
                <w:sz w:val="18"/>
                <w:szCs w:val="18"/>
                <w:lang w:val="sr-Cyrl-CS"/>
              </w:rPr>
            </w:pPr>
            <w:r w:rsidRPr="00C12624">
              <w:rPr>
                <w:rFonts w:cs="Times New Roman"/>
                <w:color w:val="000000" w:themeColor="text1"/>
                <w:sz w:val="18"/>
                <w:szCs w:val="18"/>
                <w:lang w:val="sr-Cyrl-CS"/>
              </w:rPr>
              <w:t>ГОДИНА</w:t>
            </w:r>
          </w:p>
        </w:tc>
        <w:tc>
          <w:tcPr>
            <w:tcW w:w="1422" w:type="dxa"/>
            <w:shd w:val="clear" w:color="auto" w:fill="DBE5F1" w:themeFill="accent1" w:themeFillTint="33"/>
            <w:vAlign w:val="center"/>
          </w:tcPr>
          <w:p w:rsidR="00CA4A11" w:rsidRPr="00C12624" w:rsidRDefault="00CA4A11" w:rsidP="00FC4C05">
            <w:pPr>
              <w:pStyle w:val="a1"/>
              <w:spacing w:before="0" w:after="0"/>
              <w:jc w:val="center"/>
              <w:rPr>
                <w:rFonts w:cs="Times New Roman"/>
                <w:color w:val="000000" w:themeColor="text1"/>
                <w:sz w:val="18"/>
                <w:szCs w:val="18"/>
                <w:lang w:val="sr-Cyrl-CS"/>
              </w:rPr>
            </w:pPr>
            <w:r w:rsidRPr="00C12624">
              <w:rPr>
                <w:rFonts w:cs="Times New Roman"/>
                <w:color w:val="000000" w:themeColor="text1"/>
                <w:sz w:val="18"/>
                <w:szCs w:val="18"/>
                <w:lang w:val="sr-Cyrl-CS"/>
              </w:rPr>
              <w:t>ПРИХОД (МИЛИОНА ДИНАРА)</w:t>
            </w:r>
          </w:p>
        </w:tc>
        <w:tc>
          <w:tcPr>
            <w:tcW w:w="1843" w:type="dxa"/>
            <w:shd w:val="clear" w:color="auto" w:fill="DBE5F1" w:themeFill="accent1" w:themeFillTint="33"/>
            <w:vAlign w:val="center"/>
          </w:tcPr>
          <w:p w:rsidR="00CA4A11" w:rsidRPr="00C12624" w:rsidRDefault="00CA4A11" w:rsidP="00FC4C05">
            <w:pPr>
              <w:pStyle w:val="a1"/>
              <w:spacing w:before="0" w:after="0"/>
              <w:jc w:val="center"/>
              <w:rPr>
                <w:rFonts w:cs="Times New Roman"/>
                <w:color w:val="000000" w:themeColor="text1"/>
                <w:sz w:val="18"/>
                <w:szCs w:val="18"/>
                <w:lang w:val="sr-Cyrl-CS"/>
              </w:rPr>
            </w:pPr>
            <w:r w:rsidRPr="00C12624">
              <w:rPr>
                <w:rFonts w:cs="Times New Roman"/>
                <w:color w:val="000000" w:themeColor="text1"/>
                <w:sz w:val="18"/>
                <w:szCs w:val="18"/>
                <w:lang w:val="sr-Cyrl-CS"/>
              </w:rPr>
              <w:t>ТРОШКОВИ (МИЛИОНА ДИНАРА)</w:t>
            </w:r>
          </w:p>
        </w:tc>
        <w:tc>
          <w:tcPr>
            <w:tcW w:w="1985" w:type="dxa"/>
            <w:shd w:val="clear" w:color="auto" w:fill="DBE5F1" w:themeFill="accent1" w:themeFillTint="33"/>
            <w:vAlign w:val="center"/>
          </w:tcPr>
          <w:p w:rsidR="00CA4A11" w:rsidRPr="00C12624" w:rsidRDefault="00CA4A11" w:rsidP="00FC4C05">
            <w:pPr>
              <w:pStyle w:val="a1"/>
              <w:spacing w:before="0" w:after="0"/>
              <w:jc w:val="center"/>
              <w:rPr>
                <w:rFonts w:cs="Times New Roman"/>
                <w:color w:val="000000" w:themeColor="text1"/>
                <w:sz w:val="18"/>
                <w:szCs w:val="18"/>
                <w:lang w:val="sr-Cyrl-CS"/>
              </w:rPr>
            </w:pPr>
            <w:r w:rsidRPr="00C12624">
              <w:rPr>
                <w:rFonts w:cs="Times New Roman"/>
                <w:color w:val="000000" w:themeColor="text1"/>
                <w:sz w:val="18"/>
                <w:szCs w:val="18"/>
                <w:lang w:val="sr-Cyrl-CS"/>
              </w:rPr>
              <w:t>БИЛАНС (МИЛОИОНА ДИНАРА)</w:t>
            </w:r>
          </w:p>
        </w:tc>
        <w:tc>
          <w:tcPr>
            <w:tcW w:w="2126" w:type="dxa"/>
            <w:shd w:val="clear" w:color="auto" w:fill="DBE5F1" w:themeFill="accent1" w:themeFillTint="33"/>
            <w:vAlign w:val="center"/>
          </w:tcPr>
          <w:p w:rsidR="00CA4A11" w:rsidRPr="00C12624" w:rsidRDefault="00CA4A11" w:rsidP="00FC4C05">
            <w:pPr>
              <w:pStyle w:val="a1"/>
              <w:spacing w:before="0" w:after="0"/>
              <w:jc w:val="center"/>
              <w:rPr>
                <w:rFonts w:cs="Times New Roman"/>
                <w:color w:val="000000" w:themeColor="text1"/>
                <w:sz w:val="18"/>
                <w:szCs w:val="18"/>
                <w:lang w:val="sr-Cyrl-CS"/>
              </w:rPr>
            </w:pPr>
            <w:r w:rsidRPr="00C12624">
              <w:rPr>
                <w:rFonts w:cs="Times New Roman"/>
                <w:color w:val="000000" w:themeColor="text1"/>
                <w:sz w:val="18"/>
                <w:szCs w:val="18"/>
                <w:lang w:val="sr-Cyrl-CS"/>
              </w:rPr>
              <w:t>БИЛАНС (МИЛИОНА ЕВРА)</w:t>
            </w:r>
          </w:p>
        </w:tc>
      </w:tr>
      <w:tr w:rsidR="00CA4A11" w:rsidRPr="00C12624" w:rsidTr="00FC4C05">
        <w:trPr>
          <w:jc w:val="center"/>
        </w:trPr>
        <w:tc>
          <w:tcPr>
            <w:tcW w:w="846"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1.</w:t>
            </w:r>
          </w:p>
        </w:tc>
        <w:tc>
          <w:tcPr>
            <w:tcW w:w="1134"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2009</w:t>
            </w:r>
          </w:p>
        </w:tc>
        <w:tc>
          <w:tcPr>
            <w:tcW w:w="1422"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28.990</w:t>
            </w:r>
          </w:p>
        </w:tc>
        <w:tc>
          <w:tcPr>
            <w:tcW w:w="1843"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31.032</w:t>
            </w:r>
          </w:p>
        </w:tc>
        <w:tc>
          <w:tcPr>
            <w:tcW w:w="1985"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-2.042</w:t>
            </w:r>
          </w:p>
        </w:tc>
        <w:tc>
          <w:tcPr>
            <w:tcW w:w="2126" w:type="dxa"/>
            <w:shd w:val="clear" w:color="auto" w:fill="auto"/>
            <w:vAlign w:val="center"/>
          </w:tcPr>
          <w:p w:rsidR="00CA4A11" w:rsidRPr="00C12624" w:rsidRDefault="00CA4A11" w:rsidP="00FC4C05">
            <w:pPr>
              <w:pStyle w:val="a3"/>
              <w:spacing w:before="0" w:after="0"/>
              <w:jc w:val="center"/>
              <w:rPr>
                <w:rFonts w:cs="Times New Roman"/>
                <w:b/>
                <w:color w:val="000000" w:themeColor="text1"/>
                <w:sz w:val="24"/>
                <w:szCs w:val="24"/>
                <w:lang w:val="sr-Cyrl-CS"/>
              </w:rPr>
            </w:pPr>
            <w:r w:rsidRPr="00C12624">
              <w:rPr>
                <w:rFonts w:cs="Times New Roman"/>
                <w:b/>
                <w:color w:val="000000" w:themeColor="text1"/>
                <w:sz w:val="24"/>
                <w:szCs w:val="24"/>
                <w:lang w:val="sr-Cyrl-CS"/>
              </w:rPr>
              <w:t>-21,7</w:t>
            </w:r>
          </w:p>
        </w:tc>
      </w:tr>
      <w:tr w:rsidR="00CA4A11" w:rsidRPr="00C12624" w:rsidTr="00FC4C05">
        <w:trPr>
          <w:jc w:val="center"/>
        </w:trPr>
        <w:tc>
          <w:tcPr>
            <w:tcW w:w="846"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2.</w:t>
            </w:r>
          </w:p>
        </w:tc>
        <w:tc>
          <w:tcPr>
            <w:tcW w:w="1134"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2010</w:t>
            </w:r>
          </w:p>
        </w:tc>
        <w:tc>
          <w:tcPr>
            <w:tcW w:w="1422"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31.661</w:t>
            </w:r>
          </w:p>
        </w:tc>
        <w:tc>
          <w:tcPr>
            <w:tcW w:w="1843"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32.672</w:t>
            </w:r>
          </w:p>
        </w:tc>
        <w:tc>
          <w:tcPr>
            <w:tcW w:w="1985"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-1.011</w:t>
            </w:r>
          </w:p>
        </w:tc>
        <w:tc>
          <w:tcPr>
            <w:tcW w:w="2126" w:type="dxa"/>
            <w:shd w:val="clear" w:color="auto" w:fill="auto"/>
            <w:vAlign w:val="center"/>
          </w:tcPr>
          <w:p w:rsidR="00CA4A11" w:rsidRPr="00C12624" w:rsidRDefault="00CA4A11" w:rsidP="00FC4C05">
            <w:pPr>
              <w:pStyle w:val="a3"/>
              <w:spacing w:before="0" w:after="0"/>
              <w:jc w:val="center"/>
              <w:rPr>
                <w:rFonts w:cs="Times New Roman"/>
                <w:b/>
                <w:color w:val="000000" w:themeColor="text1"/>
                <w:sz w:val="24"/>
                <w:szCs w:val="24"/>
                <w:lang w:val="sr-Cyrl-CS"/>
              </w:rPr>
            </w:pPr>
            <w:r w:rsidRPr="00C12624">
              <w:rPr>
                <w:rFonts w:cs="Times New Roman"/>
                <w:b/>
                <w:color w:val="000000" w:themeColor="text1"/>
                <w:sz w:val="24"/>
                <w:szCs w:val="24"/>
                <w:lang w:val="sr-Cyrl-CS"/>
              </w:rPr>
              <w:t>-9,8</w:t>
            </w:r>
          </w:p>
        </w:tc>
      </w:tr>
      <w:tr w:rsidR="00CA4A11" w:rsidRPr="00C12624" w:rsidTr="00FC4C05">
        <w:trPr>
          <w:jc w:val="center"/>
        </w:trPr>
        <w:tc>
          <w:tcPr>
            <w:tcW w:w="846"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3.</w:t>
            </w:r>
          </w:p>
        </w:tc>
        <w:tc>
          <w:tcPr>
            <w:tcW w:w="1134"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2011</w:t>
            </w:r>
          </w:p>
        </w:tc>
        <w:tc>
          <w:tcPr>
            <w:tcW w:w="1422"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35.246</w:t>
            </w:r>
          </w:p>
        </w:tc>
        <w:tc>
          <w:tcPr>
            <w:tcW w:w="1843"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35.430</w:t>
            </w:r>
          </w:p>
        </w:tc>
        <w:tc>
          <w:tcPr>
            <w:tcW w:w="1985"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-185</w:t>
            </w:r>
          </w:p>
        </w:tc>
        <w:tc>
          <w:tcPr>
            <w:tcW w:w="2126" w:type="dxa"/>
            <w:shd w:val="clear" w:color="auto" w:fill="auto"/>
            <w:vAlign w:val="center"/>
          </w:tcPr>
          <w:p w:rsidR="00CA4A11" w:rsidRPr="00C12624" w:rsidRDefault="00CA4A11" w:rsidP="00FC4C05">
            <w:pPr>
              <w:pStyle w:val="a3"/>
              <w:spacing w:before="0" w:after="0"/>
              <w:jc w:val="center"/>
              <w:rPr>
                <w:rFonts w:cs="Times New Roman"/>
                <w:b/>
                <w:color w:val="000000" w:themeColor="text1"/>
                <w:sz w:val="24"/>
                <w:szCs w:val="24"/>
                <w:lang w:val="sr-Cyrl-CS"/>
              </w:rPr>
            </w:pPr>
            <w:r w:rsidRPr="00C12624">
              <w:rPr>
                <w:rFonts w:cs="Times New Roman"/>
                <w:b/>
                <w:color w:val="000000" w:themeColor="text1"/>
                <w:sz w:val="24"/>
                <w:szCs w:val="24"/>
                <w:lang w:val="sr-Cyrl-CS"/>
              </w:rPr>
              <w:t>-1,8</w:t>
            </w:r>
          </w:p>
        </w:tc>
      </w:tr>
      <w:tr w:rsidR="00CA4A11" w:rsidRPr="00C12624" w:rsidTr="00FC4C05">
        <w:trPr>
          <w:jc w:val="center"/>
        </w:trPr>
        <w:tc>
          <w:tcPr>
            <w:tcW w:w="846"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4.</w:t>
            </w:r>
          </w:p>
        </w:tc>
        <w:tc>
          <w:tcPr>
            <w:tcW w:w="1134"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2012</w:t>
            </w:r>
          </w:p>
        </w:tc>
        <w:tc>
          <w:tcPr>
            <w:tcW w:w="1422"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37.274</w:t>
            </w:r>
          </w:p>
        </w:tc>
        <w:tc>
          <w:tcPr>
            <w:tcW w:w="1843"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38.631</w:t>
            </w:r>
          </w:p>
        </w:tc>
        <w:tc>
          <w:tcPr>
            <w:tcW w:w="1985"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-1.357</w:t>
            </w:r>
          </w:p>
        </w:tc>
        <w:tc>
          <w:tcPr>
            <w:tcW w:w="2126" w:type="dxa"/>
            <w:shd w:val="clear" w:color="auto" w:fill="auto"/>
            <w:vAlign w:val="center"/>
          </w:tcPr>
          <w:p w:rsidR="00CA4A11" w:rsidRPr="00C12624" w:rsidRDefault="00CA4A11" w:rsidP="00FC4C05">
            <w:pPr>
              <w:pStyle w:val="a3"/>
              <w:spacing w:before="0" w:after="0"/>
              <w:jc w:val="center"/>
              <w:rPr>
                <w:rFonts w:cs="Times New Roman"/>
                <w:b/>
                <w:color w:val="000000" w:themeColor="text1"/>
                <w:sz w:val="24"/>
                <w:szCs w:val="24"/>
                <w:lang w:val="sr-Cyrl-CS"/>
              </w:rPr>
            </w:pPr>
            <w:r w:rsidRPr="00C12624">
              <w:rPr>
                <w:rFonts w:cs="Times New Roman"/>
                <w:b/>
                <w:color w:val="000000" w:themeColor="text1"/>
                <w:sz w:val="24"/>
                <w:szCs w:val="24"/>
                <w:lang w:val="sr-Cyrl-CS"/>
              </w:rPr>
              <w:t>-12,0</w:t>
            </w:r>
          </w:p>
        </w:tc>
      </w:tr>
      <w:tr w:rsidR="00CA4A11" w:rsidRPr="00C12624" w:rsidTr="00FC4C05">
        <w:trPr>
          <w:jc w:val="center"/>
        </w:trPr>
        <w:tc>
          <w:tcPr>
            <w:tcW w:w="846"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5.</w:t>
            </w:r>
          </w:p>
        </w:tc>
        <w:tc>
          <w:tcPr>
            <w:tcW w:w="1134"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2013</w:t>
            </w:r>
          </w:p>
        </w:tc>
        <w:tc>
          <w:tcPr>
            <w:tcW w:w="1422"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38.137</w:t>
            </w:r>
          </w:p>
        </w:tc>
        <w:tc>
          <w:tcPr>
            <w:tcW w:w="1843"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38.876</w:t>
            </w:r>
          </w:p>
        </w:tc>
        <w:tc>
          <w:tcPr>
            <w:tcW w:w="1985"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-739</w:t>
            </w:r>
          </w:p>
        </w:tc>
        <w:tc>
          <w:tcPr>
            <w:tcW w:w="2126" w:type="dxa"/>
            <w:shd w:val="clear" w:color="auto" w:fill="auto"/>
            <w:vAlign w:val="center"/>
          </w:tcPr>
          <w:p w:rsidR="00CA4A11" w:rsidRPr="00C12624" w:rsidRDefault="00CA4A11" w:rsidP="00FC4C05">
            <w:pPr>
              <w:pStyle w:val="a3"/>
              <w:spacing w:before="0" w:after="0"/>
              <w:jc w:val="center"/>
              <w:rPr>
                <w:rFonts w:cs="Times New Roman"/>
                <w:b/>
                <w:color w:val="000000" w:themeColor="text1"/>
                <w:sz w:val="24"/>
                <w:szCs w:val="24"/>
                <w:lang w:val="sr-Cyrl-CS"/>
              </w:rPr>
            </w:pPr>
            <w:r w:rsidRPr="00C12624">
              <w:rPr>
                <w:rFonts w:cs="Times New Roman"/>
                <w:b/>
                <w:color w:val="000000" w:themeColor="text1"/>
                <w:sz w:val="24"/>
                <w:szCs w:val="24"/>
                <w:lang w:val="sr-Cyrl-CS"/>
              </w:rPr>
              <w:t>-6,5</w:t>
            </w:r>
          </w:p>
        </w:tc>
      </w:tr>
      <w:tr w:rsidR="00CA4A11" w:rsidRPr="00C12624" w:rsidTr="00FC4C05">
        <w:trPr>
          <w:jc w:val="center"/>
        </w:trPr>
        <w:tc>
          <w:tcPr>
            <w:tcW w:w="846"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6.</w:t>
            </w:r>
          </w:p>
        </w:tc>
        <w:tc>
          <w:tcPr>
            <w:tcW w:w="1134"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2014</w:t>
            </w:r>
          </w:p>
        </w:tc>
        <w:tc>
          <w:tcPr>
            <w:tcW w:w="1422"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37.873</w:t>
            </w:r>
          </w:p>
        </w:tc>
        <w:tc>
          <w:tcPr>
            <w:tcW w:w="1843"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38.339</w:t>
            </w:r>
          </w:p>
        </w:tc>
        <w:tc>
          <w:tcPr>
            <w:tcW w:w="1985"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-486</w:t>
            </w:r>
          </w:p>
        </w:tc>
        <w:tc>
          <w:tcPr>
            <w:tcW w:w="2126" w:type="dxa"/>
            <w:shd w:val="clear" w:color="auto" w:fill="auto"/>
            <w:vAlign w:val="center"/>
          </w:tcPr>
          <w:p w:rsidR="00CA4A11" w:rsidRPr="00C12624" w:rsidRDefault="00CA4A11" w:rsidP="00FC4C05">
            <w:pPr>
              <w:pStyle w:val="a3"/>
              <w:spacing w:before="0" w:after="0"/>
              <w:jc w:val="center"/>
              <w:rPr>
                <w:rFonts w:cs="Times New Roman"/>
                <w:b/>
                <w:color w:val="000000" w:themeColor="text1"/>
                <w:sz w:val="24"/>
                <w:szCs w:val="24"/>
                <w:lang w:val="sr-Cyrl-CS"/>
              </w:rPr>
            </w:pPr>
            <w:r w:rsidRPr="00C12624">
              <w:rPr>
                <w:rFonts w:cs="Times New Roman"/>
                <w:b/>
                <w:color w:val="000000" w:themeColor="text1"/>
                <w:sz w:val="24"/>
                <w:szCs w:val="24"/>
                <w:lang w:val="sr-Cyrl-CS"/>
              </w:rPr>
              <w:t>-4,1</w:t>
            </w:r>
          </w:p>
        </w:tc>
      </w:tr>
      <w:tr w:rsidR="00CA4A11" w:rsidRPr="00C12624" w:rsidTr="00FC4C05">
        <w:trPr>
          <w:jc w:val="center"/>
        </w:trPr>
        <w:tc>
          <w:tcPr>
            <w:tcW w:w="846"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7.</w:t>
            </w:r>
          </w:p>
        </w:tc>
        <w:tc>
          <w:tcPr>
            <w:tcW w:w="1134"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2015</w:t>
            </w:r>
          </w:p>
        </w:tc>
        <w:tc>
          <w:tcPr>
            <w:tcW w:w="1422"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41.048</w:t>
            </w:r>
          </w:p>
        </w:tc>
        <w:tc>
          <w:tcPr>
            <w:tcW w:w="1843"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40.461</w:t>
            </w:r>
          </w:p>
        </w:tc>
        <w:tc>
          <w:tcPr>
            <w:tcW w:w="1985"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+587</w:t>
            </w:r>
          </w:p>
        </w:tc>
        <w:tc>
          <w:tcPr>
            <w:tcW w:w="2126" w:type="dxa"/>
            <w:shd w:val="clear" w:color="auto" w:fill="auto"/>
            <w:vAlign w:val="center"/>
          </w:tcPr>
          <w:p w:rsidR="00CA4A11" w:rsidRPr="00C12624" w:rsidRDefault="00CA4A11" w:rsidP="00FC4C05">
            <w:pPr>
              <w:pStyle w:val="a3"/>
              <w:spacing w:before="0" w:after="0"/>
              <w:jc w:val="center"/>
              <w:rPr>
                <w:rFonts w:cs="Times New Roman"/>
                <w:b/>
                <w:color w:val="000000" w:themeColor="text1"/>
                <w:sz w:val="24"/>
                <w:szCs w:val="24"/>
                <w:lang w:val="sr-Cyrl-CS"/>
              </w:rPr>
            </w:pPr>
            <w:r w:rsidRPr="00C12624">
              <w:rPr>
                <w:rFonts w:cs="Times New Roman"/>
                <w:b/>
                <w:color w:val="000000" w:themeColor="text1"/>
                <w:sz w:val="24"/>
                <w:szCs w:val="24"/>
                <w:lang w:val="sr-Cyrl-CS"/>
              </w:rPr>
              <w:t>+4,9</w:t>
            </w:r>
          </w:p>
        </w:tc>
      </w:tr>
      <w:tr w:rsidR="00CA4A11" w:rsidRPr="00C12624" w:rsidTr="00FC4C05">
        <w:trPr>
          <w:jc w:val="center"/>
        </w:trPr>
        <w:tc>
          <w:tcPr>
            <w:tcW w:w="846"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8.</w:t>
            </w:r>
          </w:p>
        </w:tc>
        <w:tc>
          <w:tcPr>
            <w:tcW w:w="1134"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2016</w:t>
            </w:r>
          </w:p>
        </w:tc>
        <w:tc>
          <w:tcPr>
            <w:tcW w:w="1422"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40.024</w:t>
            </w:r>
          </w:p>
        </w:tc>
        <w:tc>
          <w:tcPr>
            <w:tcW w:w="1843"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39.215</w:t>
            </w:r>
          </w:p>
        </w:tc>
        <w:tc>
          <w:tcPr>
            <w:tcW w:w="1985" w:type="dxa"/>
            <w:shd w:val="clear" w:color="auto" w:fill="auto"/>
            <w:vAlign w:val="bottom"/>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+786</w:t>
            </w:r>
          </w:p>
        </w:tc>
        <w:tc>
          <w:tcPr>
            <w:tcW w:w="2126" w:type="dxa"/>
            <w:shd w:val="clear" w:color="auto" w:fill="auto"/>
            <w:vAlign w:val="center"/>
          </w:tcPr>
          <w:p w:rsidR="00CA4A11" w:rsidRPr="00C12624" w:rsidRDefault="00CA4A11" w:rsidP="00FC4C05">
            <w:pPr>
              <w:pStyle w:val="a3"/>
              <w:spacing w:before="0" w:after="0"/>
              <w:jc w:val="center"/>
              <w:rPr>
                <w:rFonts w:cs="Times New Roman"/>
                <w:b/>
                <w:color w:val="000000" w:themeColor="text1"/>
                <w:sz w:val="24"/>
                <w:szCs w:val="24"/>
                <w:lang w:val="sr-Cyrl-CS"/>
              </w:rPr>
            </w:pPr>
            <w:r w:rsidRPr="00C12624">
              <w:rPr>
                <w:rFonts w:cs="Times New Roman"/>
                <w:b/>
                <w:color w:val="000000" w:themeColor="text1"/>
                <w:sz w:val="24"/>
                <w:szCs w:val="24"/>
                <w:lang w:val="sr-Cyrl-CS"/>
              </w:rPr>
              <w:t>+6,4</w:t>
            </w:r>
          </w:p>
        </w:tc>
      </w:tr>
      <w:tr w:rsidR="00CA4A11" w:rsidRPr="00C12624" w:rsidTr="00FC4C05">
        <w:trPr>
          <w:jc w:val="center"/>
        </w:trPr>
        <w:tc>
          <w:tcPr>
            <w:tcW w:w="846"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9.</w:t>
            </w:r>
          </w:p>
        </w:tc>
        <w:tc>
          <w:tcPr>
            <w:tcW w:w="1134" w:type="dxa"/>
            <w:shd w:val="clear" w:color="auto" w:fill="auto"/>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2017</w:t>
            </w:r>
          </w:p>
        </w:tc>
        <w:tc>
          <w:tcPr>
            <w:tcW w:w="1422"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43.224</w:t>
            </w:r>
          </w:p>
        </w:tc>
        <w:tc>
          <w:tcPr>
            <w:tcW w:w="1843" w:type="dxa"/>
            <w:shd w:val="clear" w:color="auto" w:fill="auto"/>
            <w:vAlign w:val="center"/>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42.763</w:t>
            </w:r>
          </w:p>
        </w:tc>
        <w:tc>
          <w:tcPr>
            <w:tcW w:w="1985" w:type="dxa"/>
            <w:shd w:val="clear" w:color="auto" w:fill="auto"/>
            <w:vAlign w:val="bottom"/>
          </w:tcPr>
          <w:p w:rsidR="00CA4A11" w:rsidRPr="00C12624" w:rsidRDefault="00CA4A11" w:rsidP="00FC4C05">
            <w:pPr>
              <w:pStyle w:val="a3"/>
              <w:spacing w:before="0" w:after="0"/>
              <w:jc w:val="center"/>
              <w:rPr>
                <w:rFonts w:cs="Times New Roman"/>
                <w:color w:val="000000" w:themeColor="text1"/>
                <w:sz w:val="24"/>
                <w:szCs w:val="24"/>
                <w:lang w:val="sr-Cyrl-CS"/>
              </w:rPr>
            </w:pPr>
            <w:r w:rsidRPr="00C12624">
              <w:rPr>
                <w:rFonts w:cs="Times New Roman"/>
                <w:color w:val="000000" w:themeColor="text1"/>
                <w:sz w:val="24"/>
                <w:szCs w:val="24"/>
                <w:lang w:val="sr-Cyrl-CS"/>
              </w:rPr>
              <w:t>+461</w:t>
            </w:r>
          </w:p>
        </w:tc>
        <w:tc>
          <w:tcPr>
            <w:tcW w:w="2126" w:type="dxa"/>
            <w:shd w:val="clear" w:color="auto" w:fill="auto"/>
            <w:vAlign w:val="center"/>
          </w:tcPr>
          <w:p w:rsidR="00CA4A11" w:rsidRPr="00C12624" w:rsidRDefault="00CA4A11" w:rsidP="00FC4C05">
            <w:pPr>
              <w:pStyle w:val="a3"/>
              <w:spacing w:before="0" w:after="0"/>
              <w:jc w:val="center"/>
              <w:rPr>
                <w:rFonts w:cs="Times New Roman"/>
                <w:b/>
                <w:color w:val="000000" w:themeColor="text1"/>
                <w:sz w:val="24"/>
                <w:szCs w:val="24"/>
                <w:lang w:val="sr-Cyrl-CS"/>
              </w:rPr>
            </w:pPr>
            <w:r w:rsidRPr="00C12624">
              <w:rPr>
                <w:rFonts w:cs="Times New Roman"/>
                <w:b/>
                <w:color w:val="000000" w:themeColor="text1"/>
                <w:sz w:val="24"/>
                <w:szCs w:val="24"/>
                <w:lang w:val="sr-Cyrl-CS"/>
              </w:rPr>
              <w:t>+3,8</w:t>
            </w:r>
          </w:p>
        </w:tc>
      </w:tr>
    </w:tbl>
    <w:p w:rsidR="00CA4A11" w:rsidRPr="00C12624" w:rsidRDefault="00CA4A11" w:rsidP="00CA4A11">
      <w:pPr>
        <w:rPr>
          <w:rFonts w:ascii="Times New Roman" w:hAnsi="Times New Roman" w:cs="Times New Roman"/>
          <w:color w:val="000000" w:themeColor="text1"/>
          <w:lang w:val="sr-Cyrl-CS"/>
        </w:rPr>
      </w:pPr>
    </w:p>
    <w:p w:rsidR="00CA4A11" w:rsidRPr="00C12624" w:rsidRDefault="00CA4A11" w:rsidP="00CA4A11">
      <w:pPr>
        <w:ind w:firstLine="720"/>
        <w:rPr>
          <w:rFonts w:ascii="Times New Roman" w:hAnsi="Times New Roman" w:cs="Times New Roman"/>
          <w:color w:val="000000" w:themeColor="text1"/>
          <w:sz w:val="24"/>
          <w:szCs w:val="24"/>
          <w:lang w:val="sr-Cyrl-CS"/>
        </w:rPr>
      </w:pPr>
      <w:r w:rsidRPr="00C12624">
        <w:rPr>
          <w:rFonts w:ascii="Times New Roman" w:hAnsi="Times New Roman" w:cs="Times New Roman"/>
          <w:color w:val="000000" w:themeColor="text1"/>
          <w:sz w:val="24"/>
          <w:szCs w:val="24"/>
          <w:lang w:val="sr-Cyrl-CS"/>
        </w:rPr>
        <w:t xml:space="preserve">У дијаграму бр. 1 су приказани показатељи пословања предузећа из сектора вода у периоду од 2009. до 2017. године. </w:t>
      </w:r>
    </w:p>
    <w:p w:rsidR="00CA4A11" w:rsidRPr="00C12624" w:rsidRDefault="00CA4A11" w:rsidP="00CA4A11">
      <w:pPr>
        <w:ind w:firstLine="720"/>
        <w:rPr>
          <w:rFonts w:ascii="Times New Roman" w:hAnsi="Times New Roman" w:cs="Times New Roman"/>
          <w:color w:val="000000" w:themeColor="text1"/>
          <w:sz w:val="24"/>
          <w:szCs w:val="24"/>
          <w:lang w:val="sr-Cyrl-CS"/>
        </w:rPr>
      </w:pPr>
    </w:p>
    <w:p w:rsidR="00CA4A11" w:rsidRPr="00C12624" w:rsidRDefault="00CA4A11" w:rsidP="00CA4A11">
      <w:pPr>
        <w:pStyle w:val="a2"/>
        <w:spacing w:after="0"/>
        <w:rPr>
          <w:rFonts w:eastAsia="Times New Roman"/>
          <w:b w:val="0"/>
          <w:bCs w:val="0"/>
          <w:i w:val="0"/>
          <w:spacing w:val="0"/>
          <w:lang w:val="sr-Cyrl-CS"/>
        </w:rPr>
      </w:pPr>
      <w:r w:rsidRPr="00C12624">
        <w:rPr>
          <w:rFonts w:eastAsia="Times New Roman"/>
          <w:bCs w:val="0"/>
          <w:i w:val="0"/>
          <w:color w:val="000000" w:themeColor="text1"/>
          <w:spacing w:val="0"/>
          <w:lang w:val="sr-Cyrl-CS"/>
        </w:rPr>
        <w:t>Дијаграм бр. 1: Показатељи пословања предузећа из сектора вода (2009-2017)</w:t>
      </w:r>
      <w:r w:rsidRPr="00C12624">
        <w:rPr>
          <w:rFonts w:eastAsia="Times New Roman"/>
          <w:b w:val="0"/>
          <w:bCs w:val="0"/>
          <w:i w:val="0"/>
          <w:noProof/>
          <w:spacing w:val="0"/>
        </w:rPr>
        <w:drawing>
          <wp:inline distT="0" distB="0" distL="0" distR="0" wp14:anchorId="133E0974" wp14:editId="4DFD7417">
            <wp:extent cx="5523230" cy="3152775"/>
            <wp:effectExtent l="0" t="0" r="1270" b="9525"/>
            <wp:docPr id="2"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A4A11" w:rsidRPr="00C12624" w:rsidRDefault="00CA4A11" w:rsidP="00CA4A11">
      <w:pPr>
        <w:ind w:firstLine="720"/>
        <w:rPr>
          <w:rFonts w:ascii="Times New Roman" w:hAnsi="Times New Roman" w:cs="Times New Roman"/>
          <w:sz w:val="24"/>
          <w:szCs w:val="24"/>
          <w:lang w:val="sr-Cyrl-CS"/>
        </w:rPr>
      </w:pP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Примећује се да се број предузећа са позитивним билансом лагано повећава, а број предузећа са негативним билансом пословања лагано смањује.</w:t>
      </w:r>
    </w:p>
    <w:p w:rsidR="00CA4A11" w:rsidRPr="00C12624" w:rsidRDefault="00CA4A11" w:rsidP="00CA4A11">
      <w:pPr>
        <w:ind w:firstLine="720"/>
        <w:rPr>
          <w:rFonts w:ascii="Times New Roman" w:hAnsi="Times New Roman" w:cs="Times New Roman"/>
          <w:sz w:val="24"/>
          <w:szCs w:val="24"/>
          <w:lang w:val="sr-Cyrl-CS"/>
        </w:rPr>
      </w:pPr>
    </w:p>
    <w:p w:rsidR="00CA4A11" w:rsidRPr="00C12624" w:rsidRDefault="00CA4A11" w:rsidP="00CA4A11">
      <w:pPr>
        <w:ind w:firstLine="720"/>
        <w:rPr>
          <w:rFonts w:ascii="Times New Roman" w:hAnsi="Times New Roman" w:cs="Times New Roman"/>
          <w:sz w:val="24"/>
          <w:szCs w:val="24"/>
          <w:lang w:val="sr-Cyrl-CS"/>
        </w:rPr>
      </w:pPr>
    </w:p>
    <w:p w:rsidR="00CA4A11" w:rsidRPr="00C12624" w:rsidRDefault="00CA4A11" w:rsidP="00CA4A11">
      <w:pPr>
        <w:ind w:firstLine="720"/>
        <w:rPr>
          <w:rFonts w:ascii="Times New Roman" w:hAnsi="Times New Roman" w:cs="Times New Roman"/>
          <w:sz w:val="24"/>
          <w:szCs w:val="24"/>
          <w:lang w:val="sr-Cyrl-CS"/>
        </w:rPr>
      </w:pPr>
    </w:p>
    <w:p w:rsidR="00CA4A11" w:rsidRPr="00C12624" w:rsidRDefault="00CA4A11" w:rsidP="00CA4A11">
      <w:pPr>
        <w:ind w:firstLine="720"/>
        <w:rPr>
          <w:rFonts w:ascii="Times New Roman" w:hAnsi="Times New Roman" w:cs="Times New Roman"/>
          <w:sz w:val="24"/>
          <w:szCs w:val="24"/>
          <w:lang w:val="sr-Cyrl-CS"/>
        </w:rPr>
      </w:pPr>
    </w:p>
    <w:p w:rsidR="00CA4A11" w:rsidRPr="00C12624" w:rsidRDefault="00CA4A11" w:rsidP="00CA4A11">
      <w:pPr>
        <w:ind w:firstLine="720"/>
        <w:rPr>
          <w:rFonts w:ascii="Times New Roman" w:hAnsi="Times New Roman" w:cs="Times New Roman"/>
          <w:sz w:val="24"/>
          <w:szCs w:val="24"/>
          <w:lang w:val="sr-Cyrl-CS"/>
        </w:rPr>
      </w:pPr>
    </w:p>
    <w:p w:rsidR="00CA4A11" w:rsidRPr="00C12624" w:rsidRDefault="00CA4A11" w:rsidP="00CA4A11">
      <w:pPr>
        <w:ind w:firstLine="720"/>
        <w:rPr>
          <w:rFonts w:ascii="Times New Roman" w:hAnsi="Times New Roman" w:cs="Times New Roman"/>
          <w:sz w:val="24"/>
          <w:szCs w:val="24"/>
          <w:lang w:val="sr-Cyrl-CS"/>
        </w:rPr>
      </w:pPr>
    </w:p>
    <w:p w:rsidR="00CA4A11" w:rsidRPr="00C12624" w:rsidRDefault="00CA4A11" w:rsidP="00CA4A11">
      <w:pPr>
        <w:ind w:firstLine="720"/>
        <w:rPr>
          <w:rFonts w:ascii="Times New Roman" w:hAnsi="Times New Roman" w:cs="Times New Roman"/>
          <w:sz w:val="24"/>
          <w:szCs w:val="24"/>
          <w:lang w:val="sr-Cyrl-CS"/>
        </w:rPr>
      </w:pPr>
    </w:p>
    <w:p w:rsidR="00CA4A11" w:rsidRPr="00C12624" w:rsidRDefault="00CA4A11" w:rsidP="00CA4A11">
      <w:pPr>
        <w:jc w:val="center"/>
        <w:rPr>
          <w:rFonts w:ascii="Times New Roman" w:hAnsi="Times New Roman" w:cs="Times New Roman"/>
          <w:b/>
          <w:sz w:val="24"/>
          <w:szCs w:val="24"/>
          <w:lang w:val="sr-Cyrl-CS"/>
        </w:rPr>
      </w:pPr>
      <w:r w:rsidRPr="00C12624">
        <w:rPr>
          <w:rFonts w:ascii="Times New Roman" w:hAnsi="Times New Roman" w:cs="Times New Roman"/>
          <w:b/>
          <w:sz w:val="24"/>
          <w:szCs w:val="24"/>
          <w:lang w:val="sr-Cyrl-CS"/>
        </w:rPr>
        <w:lastRenderedPageBreak/>
        <w:t>Табела 3: Инвестиције и трошкови поправки и одржавања</w:t>
      </w:r>
    </w:p>
    <w:tbl>
      <w:tblPr>
        <w:tblStyle w:val="TableGrid"/>
        <w:tblW w:w="9351" w:type="dxa"/>
        <w:jc w:val="center"/>
        <w:tblLayout w:type="fixed"/>
        <w:tblLook w:val="04A0" w:firstRow="1" w:lastRow="0" w:firstColumn="1" w:lastColumn="0" w:noHBand="0" w:noVBand="1"/>
      </w:tblPr>
      <w:tblGrid>
        <w:gridCol w:w="704"/>
        <w:gridCol w:w="2410"/>
        <w:gridCol w:w="1134"/>
        <w:gridCol w:w="1134"/>
        <w:gridCol w:w="1134"/>
        <w:gridCol w:w="1859"/>
        <w:gridCol w:w="976"/>
      </w:tblGrid>
      <w:tr w:rsidR="00CA4A11" w:rsidRPr="00C12624" w:rsidTr="00FC4C05">
        <w:trPr>
          <w:jc w:val="center"/>
        </w:trPr>
        <w:tc>
          <w:tcPr>
            <w:tcW w:w="704" w:type="dxa"/>
            <w:vMerge w:val="restart"/>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РЕД. БРОЈ</w:t>
            </w:r>
          </w:p>
        </w:tc>
        <w:tc>
          <w:tcPr>
            <w:tcW w:w="2410" w:type="dxa"/>
            <w:vMerge w:val="restart"/>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ГОДИНА</w:t>
            </w:r>
          </w:p>
        </w:tc>
        <w:tc>
          <w:tcPr>
            <w:tcW w:w="3402" w:type="dxa"/>
            <w:gridSpan w:val="3"/>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ГОДИНА</w:t>
            </w:r>
          </w:p>
        </w:tc>
        <w:tc>
          <w:tcPr>
            <w:tcW w:w="1859" w:type="dxa"/>
            <w:vMerge w:val="restart"/>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ПРОСЕЧНО ПО ПРЕДУЗЕЋУ 2017/2016/ 2015</w:t>
            </w:r>
          </w:p>
        </w:tc>
        <w:tc>
          <w:tcPr>
            <w:tcW w:w="976" w:type="dxa"/>
            <w:vMerge w:val="restart"/>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ОДНОС 2017 / 2015</w:t>
            </w:r>
          </w:p>
        </w:tc>
      </w:tr>
      <w:tr w:rsidR="00CA4A11" w:rsidRPr="00C12624" w:rsidTr="00FC4C05">
        <w:trPr>
          <w:jc w:val="center"/>
        </w:trPr>
        <w:tc>
          <w:tcPr>
            <w:tcW w:w="704" w:type="dxa"/>
            <w:vMerge/>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p>
        </w:tc>
        <w:tc>
          <w:tcPr>
            <w:tcW w:w="2410" w:type="dxa"/>
            <w:vMerge/>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p>
        </w:tc>
        <w:tc>
          <w:tcPr>
            <w:tcW w:w="1134" w:type="dxa"/>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2015</w:t>
            </w:r>
          </w:p>
        </w:tc>
        <w:tc>
          <w:tcPr>
            <w:tcW w:w="1134" w:type="dxa"/>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2016</w:t>
            </w:r>
          </w:p>
        </w:tc>
        <w:tc>
          <w:tcPr>
            <w:tcW w:w="1134" w:type="dxa"/>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2017</w:t>
            </w:r>
          </w:p>
        </w:tc>
        <w:tc>
          <w:tcPr>
            <w:tcW w:w="1859" w:type="dxa"/>
            <w:vMerge/>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p>
        </w:tc>
        <w:tc>
          <w:tcPr>
            <w:tcW w:w="976" w:type="dxa"/>
            <w:vMerge/>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p>
        </w:tc>
      </w:tr>
      <w:tr w:rsidR="00CA4A11" w:rsidRPr="00C12624" w:rsidTr="00FC4C05">
        <w:trPr>
          <w:trHeight w:val="78"/>
          <w:jc w:val="center"/>
        </w:trPr>
        <w:tc>
          <w:tcPr>
            <w:tcW w:w="704" w:type="dxa"/>
            <w:vMerge/>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p>
        </w:tc>
        <w:tc>
          <w:tcPr>
            <w:tcW w:w="2410" w:type="dxa"/>
            <w:vMerge/>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p>
        </w:tc>
        <w:tc>
          <w:tcPr>
            <w:tcW w:w="5261" w:type="dxa"/>
            <w:gridSpan w:val="4"/>
            <w:shd w:val="clear" w:color="auto" w:fill="DBE5F1" w:themeFill="accent1" w:themeFillTint="33"/>
            <w:vAlign w:val="center"/>
          </w:tcPr>
          <w:p w:rsidR="00CA4A11" w:rsidRPr="00C12624" w:rsidRDefault="00CA4A11" w:rsidP="00FC4C05">
            <w:pPr>
              <w:contextualSpacing/>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(МИЛИОНА EUR)</w:t>
            </w:r>
          </w:p>
        </w:tc>
        <w:tc>
          <w:tcPr>
            <w:tcW w:w="976" w:type="dxa"/>
            <w:shd w:val="clear" w:color="auto" w:fill="DBE5F1" w:themeFill="accent1" w:themeFillTint="33"/>
            <w:vAlign w:val="center"/>
          </w:tcPr>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w:t>
            </w:r>
          </w:p>
        </w:tc>
      </w:tr>
      <w:tr w:rsidR="00CA4A11" w:rsidRPr="00C12624" w:rsidTr="00FC4C05">
        <w:trPr>
          <w:jc w:val="center"/>
        </w:trPr>
        <w:tc>
          <w:tcPr>
            <w:tcW w:w="70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w:t>
            </w:r>
          </w:p>
        </w:tc>
        <w:tc>
          <w:tcPr>
            <w:tcW w:w="2410" w:type="dxa"/>
            <w:vAlign w:val="center"/>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Број анализираних предузећа</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129</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140</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109</w:t>
            </w:r>
          </w:p>
        </w:tc>
        <w:tc>
          <w:tcPr>
            <w:tcW w:w="1859" w:type="dxa"/>
          </w:tcPr>
          <w:p w:rsidR="00CA4A11" w:rsidRPr="00C12624" w:rsidDel="00975DC0"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w:t>
            </w:r>
          </w:p>
        </w:tc>
        <w:tc>
          <w:tcPr>
            <w:tcW w:w="976" w:type="dxa"/>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w:t>
            </w:r>
          </w:p>
        </w:tc>
      </w:tr>
      <w:tr w:rsidR="00CA4A11" w:rsidRPr="00C12624" w:rsidTr="00FC4C05">
        <w:trPr>
          <w:jc w:val="center"/>
        </w:trPr>
        <w:tc>
          <w:tcPr>
            <w:tcW w:w="70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2.</w:t>
            </w:r>
          </w:p>
        </w:tc>
        <w:tc>
          <w:tcPr>
            <w:tcW w:w="2410" w:type="dxa"/>
            <w:vAlign w:val="center"/>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Укупна вредност инвестиција</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42,77</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40,19</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36</w:t>
            </w:r>
          </w:p>
        </w:tc>
        <w:tc>
          <w:tcPr>
            <w:tcW w:w="1859"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0,33 / 0,31 / 0,28</w:t>
            </w:r>
          </w:p>
        </w:tc>
        <w:tc>
          <w:tcPr>
            <w:tcW w:w="976"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84</w:t>
            </w:r>
          </w:p>
        </w:tc>
      </w:tr>
      <w:tr w:rsidR="00CA4A11" w:rsidRPr="00C12624" w:rsidTr="00FC4C05">
        <w:trPr>
          <w:jc w:val="center"/>
        </w:trPr>
        <w:tc>
          <w:tcPr>
            <w:tcW w:w="70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3.</w:t>
            </w:r>
          </w:p>
        </w:tc>
        <w:tc>
          <w:tcPr>
            <w:tcW w:w="2410" w:type="dxa"/>
            <w:vAlign w:val="center"/>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Из сопствених средстава</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27,34</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18,76</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11,67</w:t>
            </w:r>
          </w:p>
        </w:tc>
        <w:tc>
          <w:tcPr>
            <w:tcW w:w="1859"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0,21 / 0,15 / 0,09</w:t>
            </w:r>
          </w:p>
        </w:tc>
        <w:tc>
          <w:tcPr>
            <w:tcW w:w="976"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43</w:t>
            </w:r>
          </w:p>
        </w:tc>
      </w:tr>
      <w:tr w:rsidR="00CA4A11" w:rsidRPr="00C12624" w:rsidTr="00FC4C05">
        <w:trPr>
          <w:jc w:val="center"/>
        </w:trPr>
        <w:tc>
          <w:tcPr>
            <w:tcW w:w="70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4.</w:t>
            </w:r>
          </w:p>
        </w:tc>
        <w:tc>
          <w:tcPr>
            <w:tcW w:w="2410" w:type="dxa"/>
            <w:vAlign w:val="center"/>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Из средстава са стране</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15,43</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21,43</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24,32</w:t>
            </w:r>
          </w:p>
        </w:tc>
        <w:tc>
          <w:tcPr>
            <w:tcW w:w="1859"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0,12 / 0,17 / 0,19</w:t>
            </w:r>
          </w:p>
        </w:tc>
        <w:tc>
          <w:tcPr>
            <w:tcW w:w="976"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158</w:t>
            </w:r>
          </w:p>
        </w:tc>
      </w:tr>
      <w:tr w:rsidR="00CA4A11" w:rsidRPr="00C12624" w:rsidTr="00FC4C05">
        <w:trPr>
          <w:jc w:val="center"/>
        </w:trPr>
        <w:tc>
          <w:tcPr>
            <w:tcW w:w="70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5.</w:t>
            </w:r>
          </w:p>
        </w:tc>
        <w:tc>
          <w:tcPr>
            <w:tcW w:w="2410" w:type="dxa"/>
            <w:vAlign w:val="center"/>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Средства за поправке и одржавање</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17,22</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14,47</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16,28</w:t>
            </w:r>
          </w:p>
        </w:tc>
        <w:tc>
          <w:tcPr>
            <w:tcW w:w="1859"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0,13 / 0,11 / 0,13</w:t>
            </w:r>
          </w:p>
        </w:tc>
        <w:tc>
          <w:tcPr>
            <w:tcW w:w="976"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100</w:t>
            </w:r>
          </w:p>
        </w:tc>
      </w:tr>
      <w:tr w:rsidR="00CA4A11" w:rsidRPr="00C12624" w:rsidTr="00FC4C05">
        <w:trPr>
          <w:jc w:val="center"/>
        </w:trPr>
        <w:tc>
          <w:tcPr>
            <w:tcW w:w="70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6.</w:t>
            </w:r>
          </w:p>
        </w:tc>
        <w:tc>
          <w:tcPr>
            <w:tcW w:w="2410" w:type="dxa"/>
            <w:vAlign w:val="center"/>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 xml:space="preserve">Укупно инвестиције из сопствених средстава и поправке и одржавање </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44,56</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33,23</w:t>
            </w:r>
          </w:p>
        </w:tc>
        <w:tc>
          <w:tcPr>
            <w:tcW w:w="1134"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27,96</w:t>
            </w:r>
          </w:p>
        </w:tc>
        <w:tc>
          <w:tcPr>
            <w:tcW w:w="1859"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0,35 / 0,26 / 0,22</w:t>
            </w:r>
          </w:p>
        </w:tc>
        <w:tc>
          <w:tcPr>
            <w:tcW w:w="976" w:type="dxa"/>
            <w:vAlign w:val="center"/>
          </w:tcPr>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63</w:t>
            </w:r>
          </w:p>
        </w:tc>
      </w:tr>
    </w:tbl>
    <w:p w:rsidR="00CA4A11" w:rsidRPr="00C12624" w:rsidRDefault="00CA4A11" w:rsidP="00CA4A11">
      <w:pPr>
        <w:ind w:firstLine="720"/>
        <w:rPr>
          <w:rFonts w:ascii="Times New Roman" w:hAnsi="Times New Roman" w:cs="Times New Roman"/>
          <w:color w:val="000000" w:themeColor="text1"/>
          <w:sz w:val="24"/>
          <w:szCs w:val="24"/>
          <w:lang w:val="sr-Cyrl-CS"/>
        </w:rPr>
      </w:pPr>
    </w:p>
    <w:p w:rsidR="00CA4A11" w:rsidRPr="00C12624" w:rsidRDefault="00CA4A11" w:rsidP="00CA4A11">
      <w:pPr>
        <w:ind w:firstLine="720"/>
        <w:rPr>
          <w:rFonts w:ascii="Times New Roman" w:hAnsi="Times New Roman" w:cs="Times New Roman"/>
          <w:color w:val="000000" w:themeColor="text1"/>
          <w:sz w:val="24"/>
          <w:szCs w:val="24"/>
          <w:lang w:val="sr-Cyrl-CS"/>
        </w:rPr>
      </w:pPr>
      <w:bookmarkStart w:id="10" w:name="_Toc501356790"/>
      <w:r w:rsidRPr="00C12624">
        <w:rPr>
          <w:rFonts w:ascii="Times New Roman" w:hAnsi="Times New Roman" w:cs="Times New Roman"/>
          <w:color w:val="000000" w:themeColor="text1"/>
          <w:sz w:val="24"/>
          <w:szCs w:val="24"/>
          <w:lang w:val="sr-Cyrl-CS"/>
        </w:rPr>
        <w:t>Након редовних инспекцијских надзора, републичка инспекција у току 2017. године, донела је преко 120 решења јединицама локалне самоуправе. Наложено им је да обављање комуналне делатности снабдевање водом за пиће врше правна лица.</w:t>
      </w:r>
    </w:p>
    <w:p w:rsidR="00CA4A11" w:rsidRPr="00C12624" w:rsidRDefault="00CA4A11" w:rsidP="00CA4A11">
      <w:pPr>
        <w:ind w:firstLine="720"/>
        <w:rPr>
          <w:rFonts w:ascii="Times New Roman" w:hAnsi="Times New Roman" w:cs="Times New Roman"/>
          <w:color w:val="000000" w:themeColor="text1"/>
          <w:sz w:val="24"/>
          <w:szCs w:val="24"/>
          <w:lang w:val="sr-Cyrl-CS"/>
        </w:rPr>
      </w:pPr>
      <w:r w:rsidRPr="00C12624">
        <w:rPr>
          <w:rFonts w:ascii="Times New Roman" w:hAnsi="Times New Roman" w:cs="Times New Roman"/>
          <w:color w:val="000000" w:themeColor="text1"/>
          <w:sz w:val="24"/>
          <w:szCs w:val="24"/>
          <w:lang w:val="sr-Cyrl-CS"/>
        </w:rPr>
        <w:t>У већини случајева таква водоводна мрежа изграђена је од самодоприноса грађана, без техничке документације (пројеката, грађевинске, употребне дозволе, водне сагласности и сл.), нису поштовани стандарди приликом изградње (промер цеви, квалитет цеви и др.), тако да у оваквим случајевима јавна комунална предузећа, вршиоци комуналних делатности, не могу преузети управљање и одржавање поменутих месних водовода. У оваквим случајевима јединица локалне самоуправе дужна је да обезбеди новчана средства за изградњу, одржавање и функционисање објеката комуналне инфраструктуре, при чему је потребно обезбедити техничко-технолошко јединство система. Оно што представља највећи проблем за решавање наведених проблема је недостатак финансијских средстава јединица локалне самоуправе.</w:t>
      </w:r>
    </w:p>
    <w:p w:rsidR="00CA4A11" w:rsidRPr="00C12624" w:rsidRDefault="00CA4A11" w:rsidP="00CA4A11">
      <w:pPr>
        <w:ind w:firstLine="720"/>
        <w:rPr>
          <w:rFonts w:ascii="Times New Roman" w:hAnsi="Times New Roman" w:cs="Times New Roman"/>
          <w:color w:val="000000" w:themeColor="text1"/>
          <w:sz w:val="24"/>
          <w:szCs w:val="24"/>
          <w:lang w:val="sr-Cyrl-CS"/>
        </w:rPr>
      </w:pPr>
      <w:r w:rsidRPr="00C12624">
        <w:rPr>
          <w:rFonts w:ascii="Times New Roman" w:hAnsi="Times New Roman" w:cs="Times New Roman"/>
          <w:color w:val="000000" w:themeColor="text1"/>
          <w:sz w:val="24"/>
          <w:szCs w:val="24"/>
          <w:lang w:val="sr-Cyrl-CS"/>
        </w:rPr>
        <w:t>Такође у појединим насељима проблем припајања водоводне мреже ЈКП, представља конфигурација терена као и то што се снабдевање становништва водом обавља  директно са изворишта.</w:t>
      </w:r>
    </w:p>
    <w:p w:rsidR="00CA4A11" w:rsidRPr="00C12624" w:rsidRDefault="00CA4A11" w:rsidP="00CA4A11">
      <w:pPr>
        <w:ind w:firstLine="720"/>
        <w:rPr>
          <w:rFonts w:ascii="Times New Roman" w:hAnsi="Times New Roman" w:cs="Times New Roman"/>
          <w:color w:val="000000" w:themeColor="text1"/>
          <w:sz w:val="24"/>
          <w:szCs w:val="24"/>
          <w:lang w:val="sr-Cyrl-CS"/>
        </w:rPr>
      </w:pPr>
    </w:p>
    <w:p w:rsidR="00CA4A11" w:rsidRPr="00C12624" w:rsidRDefault="00CA4A11" w:rsidP="00CA4A11">
      <w:pPr>
        <w:ind w:firstLine="426"/>
        <w:rPr>
          <w:rFonts w:ascii="Times New Roman" w:hAnsi="Times New Roman" w:cs="Times New Roman"/>
          <w:color w:val="000000" w:themeColor="text1"/>
          <w:sz w:val="24"/>
          <w:szCs w:val="24"/>
          <w:lang w:val="sr-Cyrl-CS"/>
        </w:rPr>
      </w:pPr>
      <w:r w:rsidRPr="00C12624">
        <w:rPr>
          <w:rFonts w:ascii="Times New Roman" w:hAnsi="Times New Roman" w:cs="Times New Roman"/>
          <w:b/>
          <w:bCs/>
          <w:i/>
          <w:color w:val="000000" w:themeColor="text1"/>
          <w:sz w:val="32"/>
          <w:szCs w:val="32"/>
          <w:lang w:val="sr-Cyrl-CS"/>
        </w:rPr>
        <w:t>•</w:t>
      </w:r>
      <w:r w:rsidRPr="00C12624">
        <w:rPr>
          <w:rFonts w:ascii="Times New Roman" w:hAnsi="Times New Roman" w:cs="Times New Roman"/>
          <w:b/>
          <w:bCs/>
          <w:i/>
          <w:color w:val="000000" w:themeColor="text1"/>
          <w:sz w:val="24"/>
          <w:szCs w:val="24"/>
          <w:lang w:val="sr-Cyrl-CS"/>
        </w:rPr>
        <w:t xml:space="preserve"> Комунална делатност </w:t>
      </w:r>
      <w:r w:rsidRPr="00C12624">
        <w:rPr>
          <w:rFonts w:ascii="Times New Roman" w:hAnsi="Times New Roman" w:cs="Times New Roman"/>
          <w:b/>
          <w:i/>
          <w:sz w:val="24"/>
          <w:szCs w:val="24"/>
          <w:lang w:val="sr-Cyrl-CS"/>
        </w:rPr>
        <w:t xml:space="preserve">градски и приградски </w:t>
      </w:r>
      <w:r w:rsidRPr="00C12624">
        <w:rPr>
          <w:rFonts w:ascii="Times New Roman" w:hAnsi="Times New Roman" w:cs="Times New Roman"/>
          <w:b/>
          <w:i/>
          <w:color w:val="000000" w:themeColor="text1"/>
          <w:sz w:val="24"/>
          <w:szCs w:val="24"/>
          <w:lang w:val="sr-Cyrl-CS"/>
        </w:rPr>
        <w:t>превоза путника тролејбусима и трамвајима</w:t>
      </w:r>
      <w:r w:rsidRPr="00C12624">
        <w:rPr>
          <w:rFonts w:ascii="Times New Roman" w:hAnsi="Times New Roman" w:cs="Times New Roman"/>
          <w:b/>
          <w:bCs/>
          <w:i/>
          <w:color w:val="000000" w:themeColor="text1"/>
          <w:sz w:val="24"/>
          <w:szCs w:val="24"/>
          <w:lang w:val="sr-Cyrl-CS"/>
        </w:rPr>
        <w:t xml:space="preserve"> </w:t>
      </w:r>
      <w:bookmarkEnd w:id="10"/>
    </w:p>
    <w:p w:rsidR="00CA4A11" w:rsidRPr="00C12624" w:rsidRDefault="00CA4A11" w:rsidP="00CA4A11">
      <w:pPr>
        <w:rPr>
          <w:rFonts w:ascii="Times New Roman" w:hAnsi="Times New Roman" w:cs="Times New Roman"/>
          <w:color w:val="000000" w:themeColor="text1"/>
          <w:sz w:val="24"/>
          <w:szCs w:val="24"/>
          <w:lang w:val="sr-Cyrl-CS"/>
        </w:rPr>
      </w:pPr>
    </w:p>
    <w:p w:rsidR="00CA4A11" w:rsidRPr="00C12624" w:rsidRDefault="00CA4A11" w:rsidP="00CA4A11">
      <w:pPr>
        <w:ind w:firstLine="720"/>
        <w:rPr>
          <w:rFonts w:ascii="Times New Roman" w:hAnsi="Times New Roman" w:cs="Times New Roman"/>
          <w:color w:val="000000" w:themeColor="text1"/>
          <w:sz w:val="24"/>
          <w:szCs w:val="24"/>
          <w:lang w:val="sr-Cyrl-CS"/>
        </w:rPr>
      </w:pPr>
      <w:r w:rsidRPr="00C12624">
        <w:rPr>
          <w:rFonts w:ascii="Times New Roman" w:hAnsi="Times New Roman" w:cs="Times New Roman"/>
          <w:color w:val="000000" w:themeColor="text1"/>
          <w:sz w:val="24"/>
          <w:szCs w:val="24"/>
          <w:lang w:val="sr-Cyrl-CS"/>
        </w:rPr>
        <w:t>Градски и приградски превоз путника је превоз путника унутар насељених места или између насељених места која се налазе на територији јединице локалне самоуправе, који обухвата јавни линијски превоз аутобусом, тролејбусом, трамвајем, метроом, жичаром, путничким бродом, скелом и чамцем за привредне сврхе, као и</w:t>
      </w:r>
      <w:r w:rsidRPr="00C12624">
        <w:rPr>
          <w:rFonts w:ascii="Times New Roman" w:hAnsi="Times New Roman" w:cs="Times New Roman"/>
          <w:sz w:val="24"/>
          <w:szCs w:val="24"/>
          <w:lang w:val="sr-Cyrl-CS"/>
        </w:rPr>
        <w:t xml:space="preserve"> обезбеђивање места за укрцавање и искрцавање путника (станица, стајалишта и плутајућих објеката за пристајање пловила која врше превоз путника у домаћој линијској пловидби и сл. као саобраћајних објеката који се користе у тим видовима превоза).</w:t>
      </w:r>
      <w:bookmarkStart w:id="11" w:name="_Toc496651795"/>
      <w:bookmarkStart w:id="12" w:name="_Toc496688479"/>
      <w:bookmarkStart w:id="13" w:name="_Toc496691628"/>
      <w:bookmarkStart w:id="14" w:name="_Toc496699868"/>
      <w:bookmarkStart w:id="15" w:name="_Toc496706114"/>
      <w:bookmarkStart w:id="16" w:name="_Toc496706188"/>
      <w:bookmarkStart w:id="17" w:name="_Toc496874019"/>
      <w:bookmarkStart w:id="18" w:name="_Toc496874094"/>
      <w:bookmarkStart w:id="19" w:name="_Toc497723522"/>
      <w:bookmarkStart w:id="20" w:name="_Toc500330671"/>
      <w:bookmarkStart w:id="21" w:name="_Toc500488731"/>
      <w:bookmarkStart w:id="22" w:name="_Toc501356791"/>
      <w:bookmarkStart w:id="23" w:name="_Toc501356792"/>
      <w:bookmarkEnd w:id="11"/>
      <w:bookmarkEnd w:id="12"/>
      <w:bookmarkEnd w:id="13"/>
      <w:bookmarkEnd w:id="14"/>
      <w:bookmarkEnd w:id="15"/>
      <w:bookmarkEnd w:id="16"/>
      <w:bookmarkEnd w:id="17"/>
      <w:bookmarkEnd w:id="18"/>
      <w:bookmarkEnd w:id="19"/>
      <w:bookmarkEnd w:id="20"/>
      <w:bookmarkEnd w:id="21"/>
      <w:bookmarkEnd w:id="22"/>
    </w:p>
    <w:bookmarkEnd w:id="23"/>
    <w:p w:rsidR="00CA4A11" w:rsidRPr="00C12624" w:rsidRDefault="00CA4A11" w:rsidP="00CA4A11">
      <w:pPr>
        <w:rPr>
          <w:rFonts w:ascii="Times New Roman" w:hAnsi="Times New Roman" w:cs="Times New Roman"/>
          <w:b/>
          <w:i/>
          <w:color w:val="000000" w:themeColor="text1"/>
          <w:sz w:val="24"/>
          <w:szCs w:val="24"/>
          <w:lang w:val="sr-Cyrl-CS"/>
        </w:rPr>
      </w:pPr>
    </w:p>
    <w:p w:rsidR="00CA4A11" w:rsidRPr="00C12624" w:rsidRDefault="00CA4A11" w:rsidP="00CA4A11">
      <w:pPr>
        <w:rPr>
          <w:rFonts w:ascii="Times New Roman" w:hAnsi="Times New Roman" w:cs="Times New Roman"/>
          <w:b/>
          <w:i/>
          <w:color w:val="000000" w:themeColor="text1"/>
          <w:sz w:val="24"/>
          <w:szCs w:val="24"/>
          <w:lang w:val="sr-Cyrl-CS"/>
        </w:rPr>
      </w:pPr>
    </w:p>
    <w:p w:rsidR="00CA4A11" w:rsidRPr="00C12624" w:rsidRDefault="00CA4A11" w:rsidP="00CA4A11">
      <w:pPr>
        <w:rPr>
          <w:rFonts w:ascii="Times New Roman" w:hAnsi="Times New Roman" w:cs="Times New Roman"/>
          <w:b/>
          <w:i/>
          <w:color w:val="000000" w:themeColor="text1"/>
          <w:sz w:val="24"/>
          <w:szCs w:val="24"/>
          <w:lang w:val="sr-Cyrl-CS"/>
        </w:rPr>
      </w:pPr>
    </w:p>
    <w:p w:rsidR="00CA4A11" w:rsidRPr="00C12624" w:rsidRDefault="00CA4A11" w:rsidP="00CA4A11">
      <w:pPr>
        <w:rPr>
          <w:rFonts w:ascii="Times New Roman" w:hAnsi="Times New Roman" w:cs="Times New Roman"/>
          <w:b/>
          <w:i/>
          <w:color w:val="000000" w:themeColor="text1"/>
          <w:sz w:val="24"/>
          <w:szCs w:val="24"/>
          <w:lang w:val="sr-Cyrl-CS"/>
        </w:rPr>
      </w:pPr>
    </w:p>
    <w:p w:rsidR="00CA4A11" w:rsidRPr="00C12624" w:rsidRDefault="00CA4A11" w:rsidP="00CA4A11">
      <w:pPr>
        <w:rPr>
          <w:rFonts w:ascii="Times New Roman" w:hAnsi="Times New Roman" w:cs="Times New Roman"/>
          <w:b/>
          <w:i/>
          <w:color w:val="000000" w:themeColor="text1"/>
          <w:sz w:val="24"/>
          <w:szCs w:val="24"/>
          <w:lang w:val="sr-Cyrl-CS"/>
        </w:rPr>
      </w:pPr>
    </w:p>
    <w:p w:rsidR="00CA4A11" w:rsidRPr="00C12624" w:rsidRDefault="00CA4A11" w:rsidP="00CA4A11">
      <w:pPr>
        <w:jc w:val="center"/>
        <w:rPr>
          <w:rFonts w:ascii="Times New Roman" w:hAnsi="Times New Roman" w:cs="Times New Roman"/>
          <w:b/>
          <w:i/>
          <w:color w:val="000000" w:themeColor="text1"/>
          <w:sz w:val="24"/>
          <w:szCs w:val="24"/>
          <w:lang w:val="sr-Cyrl-CS"/>
        </w:rPr>
      </w:pPr>
      <w:r w:rsidRPr="00C12624">
        <w:rPr>
          <w:rFonts w:ascii="Times New Roman" w:hAnsi="Times New Roman" w:cs="Times New Roman"/>
          <w:b/>
          <w:i/>
          <w:color w:val="000000" w:themeColor="text1"/>
          <w:sz w:val="24"/>
          <w:szCs w:val="24"/>
          <w:lang w:val="sr-Cyrl-CS"/>
        </w:rPr>
        <w:lastRenderedPageBreak/>
        <w:t>Табела 4: Број превезених путника у градском и приградском саобраћају по регионима за 2017. годину</w:t>
      </w:r>
    </w:p>
    <w:tbl>
      <w:tblPr>
        <w:tblStyle w:val="TableGrid"/>
        <w:tblW w:w="0" w:type="auto"/>
        <w:jc w:val="center"/>
        <w:tblLook w:val="04A0" w:firstRow="1" w:lastRow="0" w:firstColumn="1" w:lastColumn="0" w:noHBand="0" w:noVBand="1"/>
      </w:tblPr>
      <w:tblGrid>
        <w:gridCol w:w="2263"/>
        <w:gridCol w:w="1701"/>
        <w:gridCol w:w="1843"/>
        <w:gridCol w:w="1695"/>
        <w:gridCol w:w="1848"/>
      </w:tblGrid>
      <w:tr w:rsidR="00CA4A11" w:rsidRPr="00C12624" w:rsidTr="00FC4C05">
        <w:trPr>
          <w:trHeight w:val="570"/>
          <w:jc w:val="center"/>
        </w:trPr>
        <w:tc>
          <w:tcPr>
            <w:tcW w:w="2263" w:type="dxa"/>
            <w:vMerge w:val="restart"/>
            <w:shd w:val="clear" w:color="auto" w:fill="DBE5F1" w:themeFill="accent1" w:themeFillTint="33"/>
          </w:tcPr>
          <w:p w:rsidR="00CA4A11" w:rsidRPr="00C12624" w:rsidRDefault="00CA4A11" w:rsidP="00FC4C05">
            <w:pPr>
              <w:jc w:val="center"/>
              <w:rPr>
                <w:rFonts w:ascii="Times New Roman" w:hAnsi="Times New Roman" w:cs="Times New Roman"/>
                <w:b/>
                <w:color w:val="000000" w:themeColor="text1"/>
                <w:sz w:val="18"/>
                <w:szCs w:val="18"/>
                <w:lang w:val="sr-Cyrl-CS"/>
              </w:rPr>
            </w:pPr>
          </w:p>
          <w:p w:rsidR="00CA4A11" w:rsidRPr="00C12624" w:rsidRDefault="00CA4A11" w:rsidP="00FC4C05">
            <w:pPr>
              <w:jc w:val="center"/>
              <w:rPr>
                <w:rFonts w:ascii="Times New Roman" w:hAnsi="Times New Roman" w:cs="Times New Roman"/>
                <w:b/>
                <w:color w:val="000000" w:themeColor="text1"/>
                <w:sz w:val="18"/>
                <w:szCs w:val="18"/>
                <w:lang w:val="sr-Cyrl-CS"/>
              </w:rPr>
            </w:pPr>
          </w:p>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ТЕРИТОРИЈАЛНИ ОБУХВАТ</w:t>
            </w:r>
          </w:p>
        </w:tc>
        <w:tc>
          <w:tcPr>
            <w:tcW w:w="7087" w:type="dxa"/>
            <w:gridSpan w:val="4"/>
            <w:shd w:val="clear" w:color="auto" w:fill="DBE5F1" w:themeFill="accent1" w:themeFillTint="33"/>
          </w:tcPr>
          <w:p w:rsidR="00CA4A11" w:rsidRPr="00C12624" w:rsidRDefault="00CA4A11" w:rsidP="00FC4C05">
            <w:pPr>
              <w:jc w:val="center"/>
              <w:rPr>
                <w:rFonts w:ascii="Times New Roman" w:hAnsi="Times New Roman" w:cs="Times New Roman"/>
                <w:b/>
                <w:color w:val="000000" w:themeColor="text1"/>
                <w:sz w:val="18"/>
                <w:szCs w:val="18"/>
                <w:lang w:val="sr-Cyrl-CS"/>
              </w:rPr>
            </w:pPr>
          </w:p>
          <w:p w:rsidR="00CA4A11" w:rsidRPr="00C12624" w:rsidRDefault="00CA4A11" w:rsidP="00FC4C05">
            <w:pPr>
              <w:jc w:val="center"/>
              <w:rPr>
                <w:rFonts w:ascii="Times New Roman" w:hAnsi="Times New Roman" w:cs="Times New Roman"/>
                <w:b/>
                <w:color w:val="000000" w:themeColor="text1"/>
                <w:sz w:val="18"/>
                <w:szCs w:val="18"/>
                <w:lang w:val="sr-Cyrl-CS"/>
              </w:rPr>
            </w:pPr>
          </w:p>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БРОЈ ПРЕВЕЗЕНИХ ПУТНИКА</w:t>
            </w:r>
          </w:p>
        </w:tc>
      </w:tr>
      <w:tr w:rsidR="00CA4A11" w:rsidRPr="00C12624" w:rsidTr="00FC4C05">
        <w:trPr>
          <w:trHeight w:val="525"/>
          <w:jc w:val="center"/>
        </w:trPr>
        <w:tc>
          <w:tcPr>
            <w:tcW w:w="2263" w:type="dxa"/>
            <w:vMerge/>
            <w:shd w:val="clear" w:color="auto" w:fill="DBE5F1" w:themeFill="accent1" w:themeFillTint="33"/>
          </w:tcPr>
          <w:p w:rsidR="00CA4A11" w:rsidRPr="00C12624" w:rsidRDefault="00CA4A11" w:rsidP="00FC4C05">
            <w:pPr>
              <w:jc w:val="center"/>
              <w:rPr>
                <w:rFonts w:ascii="Times New Roman" w:hAnsi="Times New Roman" w:cs="Times New Roman"/>
                <w:b/>
                <w:color w:val="000000" w:themeColor="text1"/>
                <w:sz w:val="18"/>
                <w:szCs w:val="18"/>
                <w:lang w:val="sr-Cyrl-CS"/>
              </w:rPr>
            </w:pPr>
          </w:p>
        </w:tc>
        <w:tc>
          <w:tcPr>
            <w:tcW w:w="1701" w:type="dxa"/>
            <w:shd w:val="clear" w:color="auto" w:fill="DBE5F1" w:themeFill="accent1" w:themeFillTint="33"/>
          </w:tcPr>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ГРАДСКИ АУТОБУСКИ САОБРАЋАЈ</w:t>
            </w:r>
          </w:p>
        </w:tc>
        <w:tc>
          <w:tcPr>
            <w:tcW w:w="1843" w:type="dxa"/>
            <w:shd w:val="clear" w:color="auto" w:fill="DBE5F1" w:themeFill="accent1" w:themeFillTint="33"/>
          </w:tcPr>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ПРИГРАДСКИ АУТОБУСКИ САОБРАЋАЈ</w:t>
            </w:r>
          </w:p>
        </w:tc>
        <w:tc>
          <w:tcPr>
            <w:tcW w:w="1695" w:type="dxa"/>
            <w:shd w:val="clear" w:color="auto" w:fill="DBE5F1" w:themeFill="accent1" w:themeFillTint="33"/>
          </w:tcPr>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ТРОЛЕЈБУСКИ И ШИНСКИ ГРАДСКИ И ПРИГРАДСКИ САОБРАЋАЈ</w:t>
            </w:r>
          </w:p>
        </w:tc>
        <w:tc>
          <w:tcPr>
            <w:tcW w:w="1848" w:type="dxa"/>
            <w:shd w:val="clear" w:color="auto" w:fill="DBE5F1" w:themeFill="accent1" w:themeFillTint="33"/>
          </w:tcPr>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ЈАВНИ РЕЧНИ РАОБРАЋАЈ</w:t>
            </w:r>
          </w:p>
        </w:tc>
      </w:tr>
      <w:tr w:rsidR="00CA4A11" w:rsidRPr="00C12624" w:rsidTr="00FC4C05">
        <w:trPr>
          <w:jc w:val="center"/>
        </w:trPr>
        <w:tc>
          <w:tcPr>
            <w:tcW w:w="2263" w:type="dxa"/>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Србија</w:t>
            </w:r>
          </w:p>
        </w:tc>
        <w:tc>
          <w:tcPr>
            <w:tcW w:w="1701" w:type="dxa"/>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879.741.990</w:t>
            </w:r>
          </w:p>
        </w:tc>
        <w:tc>
          <w:tcPr>
            <w:tcW w:w="1843" w:type="dxa"/>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97.006.496</w:t>
            </w:r>
          </w:p>
        </w:tc>
        <w:tc>
          <w:tcPr>
            <w:tcW w:w="1695" w:type="dxa"/>
            <w:vMerge w:val="restart"/>
          </w:tcPr>
          <w:p w:rsidR="00CA4A11" w:rsidRPr="00C12624" w:rsidRDefault="00CA4A11" w:rsidP="00FC4C05">
            <w:pPr>
              <w:jc w:val="center"/>
              <w:rPr>
                <w:rFonts w:ascii="Times New Roman" w:hAnsi="Times New Roman" w:cs="Times New Roman"/>
                <w:color w:val="000000" w:themeColor="text1"/>
                <w:sz w:val="18"/>
                <w:szCs w:val="18"/>
                <w:lang w:val="sr-Cyrl-CS"/>
              </w:rPr>
            </w:pPr>
          </w:p>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Нема достављених података</w:t>
            </w:r>
          </w:p>
        </w:tc>
        <w:tc>
          <w:tcPr>
            <w:tcW w:w="1848" w:type="dxa"/>
            <w:vMerge w:val="restart"/>
          </w:tcPr>
          <w:p w:rsidR="00CA4A11" w:rsidRPr="00C12624" w:rsidRDefault="00CA4A11" w:rsidP="00FC4C05">
            <w:pPr>
              <w:jc w:val="center"/>
              <w:rPr>
                <w:rFonts w:ascii="Times New Roman" w:hAnsi="Times New Roman" w:cs="Times New Roman"/>
                <w:color w:val="000000" w:themeColor="text1"/>
                <w:sz w:val="18"/>
                <w:szCs w:val="18"/>
                <w:lang w:val="sr-Cyrl-CS"/>
              </w:rPr>
            </w:pPr>
          </w:p>
          <w:p w:rsidR="00CA4A11" w:rsidRPr="00C12624" w:rsidRDefault="00CA4A11" w:rsidP="00FC4C05">
            <w:pPr>
              <w:jc w:val="center"/>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Нема достављених података</w:t>
            </w:r>
          </w:p>
        </w:tc>
      </w:tr>
      <w:tr w:rsidR="00CA4A11" w:rsidRPr="00C12624" w:rsidTr="00FC4C05">
        <w:trPr>
          <w:jc w:val="center"/>
        </w:trPr>
        <w:tc>
          <w:tcPr>
            <w:tcW w:w="2263" w:type="dxa"/>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Београд</w:t>
            </w:r>
          </w:p>
        </w:tc>
        <w:tc>
          <w:tcPr>
            <w:tcW w:w="1701" w:type="dxa"/>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730.000.000</w:t>
            </w:r>
          </w:p>
        </w:tc>
        <w:tc>
          <w:tcPr>
            <w:tcW w:w="1843" w:type="dxa"/>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41.294.275</w:t>
            </w:r>
          </w:p>
        </w:tc>
        <w:tc>
          <w:tcPr>
            <w:tcW w:w="1695" w:type="dxa"/>
            <w:vMerge/>
          </w:tcPr>
          <w:p w:rsidR="00CA4A11" w:rsidRPr="00C12624" w:rsidRDefault="00CA4A11" w:rsidP="00FC4C05">
            <w:pPr>
              <w:jc w:val="right"/>
              <w:rPr>
                <w:rFonts w:ascii="Times New Roman" w:hAnsi="Times New Roman" w:cs="Times New Roman"/>
                <w:color w:val="000000" w:themeColor="text1"/>
                <w:sz w:val="18"/>
                <w:szCs w:val="18"/>
                <w:lang w:val="sr-Cyrl-CS"/>
              </w:rPr>
            </w:pPr>
          </w:p>
        </w:tc>
        <w:tc>
          <w:tcPr>
            <w:tcW w:w="1848" w:type="dxa"/>
            <w:vMerge/>
          </w:tcPr>
          <w:p w:rsidR="00CA4A11" w:rsidRPr="00C12624" w:rsidRDefault="00CA4A11" w:rsidP="00FC4C05">
            <w:pPr>
              <w:jc w:val="right"/>
              <w:rPr>
                <w:rFonts w:ascii="Times New Roman" w:hAnsi="Times New Roman" w:cs="Times New Roman"/>
                <w:color w:val="000000" w:themeColor="text1"/>
                <w:sz w:val="18"/>
                <w:szCs w:val="18"/>
                <w:lang w:val="sr-Cyrl-CS"/>
              </w:rPr>
            </w:pPr>
          </w:p>
        </w:tc>
      </w:tr>
      <w:tr w:rsidR="00CA4A11" w:rsidRPr="00C12624" w:rsidTr="00FC4C05">
        <w:trPr>
          <w:jc w:val="center"/>
        </w:trPr>
        <w:tc>
          <w:tcPr>
            <w:tcW w:w="2263" w:type="dxa"/>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Војводина</w:t>
            </w:r>
          </w:p>
        </w:tc>
        <w:tc>
          <w:tcPr>
            <w:tcW w:w="1701" w:type="dxa"/>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86.354.554</w:t>
            </w:r>
          </w:p>
        </w:tc>
        <w:tc>
          <w:tcPr>
            <w:tcW w:w="1843" w:type="dxa"/>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30.795.718</w:t>
            </w:r>
          </w:p>
        </w:tc>
        <w:tc>
          <w:tcPr>
            <w:tcW w:w="1695" w:type="dxa"/>
            <w:vMerge/>
          </w:tcPr>
          <w:p w:rsidR="00CA4A11" w:rsidRPr="00C12624" w:rsidRDefault="00CA4A11" w:rsidP="00FC4C05">
            <w:pPr>
              <w:jc w:val="right"/>
              <w:rPr>
                <w:rFonts w:ascii="Times New Roman" w:hAnsi="Times New Roman" w:cs="Times New Roman"/>
                <w:color w:val="000000" w:themeColor="text1"/>
                <w:sz w:val="18"/>
                <w:szCs w:val="18"/>
                <w:lang w:val="sr-Cyrl-CS"/>
              </w:rPr>
            </w:pPr>
          </w:p>
        </w:tc>
        <w:tc>
          <w:tcPr>
            <w:tcW w:w="1848" w:type="dxa"/>
            <w:vMerge/>
          </w:tcPr>
          <w:p w:rsidR="00CA4A11" w:rsidRPr="00C12624" w:rsidRDefault="00CA4A11" w:rsidP="00FC4C05">
            <w:pPr>
              <w:jc w:val="right"/>
              <w:rPr>
                <w:rFonts w:ascii="Times New Roman" w:hAnsi="Times New Roman" w:cs="Times New Roman"/>
                <w:color w:val="000000" w:themeColor="text1"/>
                <w:sz w:val="18"/>
                <w:szCs w:val="18"/>
                <w:lang w:val="sr-Cyrl-CS"/>
              </w:rPr>
            </w:pPr>
          </w:p>
        </w:tc>
      </w:tr>
      <w:tr w:rsidR="00CA4A11" w:rsidRPr="00C12624" w:rsidTr="00FC4C05">
        <w:trPr>
          <w:jc w:val="center"/>
        </w:trPr>
        <w:tc>
          <w:tcPr>
            <w:tcW w:w="2263" w:type="dxa"/>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Јужна и источна Србија</w:t>
            </w:r>
          </w:p>
        </w:tc>
        <w:tc>
          <w:tcPr>
            <w:tcW w:w="1701" w:type="dxa"/>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39.952.760</w:t>
            </w:r>
          </w:p>
        </w:tc>
        <w:tc>
          <w:tcPr>
            <w:tcW w:w="1843" w:type="dxa"/>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18.127.831</w:t>
            </w:r>
          </w:p>
        </w:tc>
        <w:tc>
          <w:tcPr>
            <w:tcW w:w="1695" w:type="dxa"/>
            <w:vMerge/>
          </w:tcPr>
          <w:p w:rsidR="00CA4A11" w:rsidRPr="00C12624" w:rsidRDefault="00CA4A11" w:rsidP="00FC4C05">
            <w:pPr>
              <w:jc w:val="right"/>
              <w:rPr>
                <w:rFonts w:ascii="Times New Roman" w:hAnsi="Times New Roman" w:cs="Times New Roman"/>
                <w:color w:val="000000" w:themeColor="text1"/>
                <w:sz w:val="18"/>
                <w:szCs w:val="18"/>
                <w:lang w:val="sr-Cyrl-CS"/>
              </w:rPr>
            </w:pPr>
          </w:p>
        </w:tc>
        <w:tc>
          <w:tcPr>
            <w:tcW w:w="1848" w:type="dxa"/>
            <w:vMerge/>
          </w:tcPr>
          <w:p w:rsidR="00CA4A11" w:rsidRPr="00C12624" w:rsidRDefault="00CA4A11" w:rsidP="00FC4C05">
            <w:pPr>
              <w:jc w:val="right"/>
              <w:rPr>
                <w:rFonts w:ascii="Times New Roman" w:hAnsi="Times New Roman" w:cs="Times New Roman"/>
                <w:color w:val="000000" w:themeColor="text1"/>
                <w:sz w:val="18"/>
                <w:szCs w:val="18"/>
                <w:lang w:val="sr-Cyrl-CS"/>
              </w:rPr>
            </w:pPr>
          </w:p>
        </w:tc>
      </w:tr>
      <w:tr w:rsidR="00CA4A11" w:rsidRPr="00C12624" w:rsidTr="00FC4C05">
        <w:trPr>
          <w:jc w:val="center"/>
        </w:trPr>
        <w:tc>
          <w:tcPr>
            <w:tcW w:w="2263" w:type="dxa"/>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Шумадија и западна Србија</w:t>
            </w:r>
          </w:p>
        </w:tc>
        <w:tc>
          <w:tcPr>
            <w:tcW w:w="1701" w:type="dxa"/>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23.434.676</w:t>
            </w:r>
          </w:p>
        </w:tc>
        <w:tc>
          <w:tcPr>
            <w:tcW w:w="1843" w:type="dxa"/>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6.788.672</w:t>
            </w:r>
          </w:p>
        </w:tc>
        <w:tc>
          <w:tcPr>
            <w:tcW w:w="1695" w:type="dxa"/>
            <w:vMerge/>
          </w:tcPr>
          <w:p w:rsidR="00CA4A11" w:rsidRPr="00C12624" w:rsidRDefault="00CA4A11" w:rsidP="00FC4C05">
            <w:pPr>
              <w:jc w:val="right"/>
              <w:rPr>
                <w:rFonts w:ascii="Times New Roman" w:hAnsi="Times New Roman" w:cs="Times New Roman"/>
                <w:color w:val="000000" w:themeColor="text1"/>
                <w:sz w:val="18"/>
                <w:szCs w:val="18"/>
                <w:lang w:val="sr-Cyrl-CS"/>
              </w:rPr>
            </w:pPr>
          </w:p>
        </w:tc>
        <w:tc>
          <w:tcPr>
            <w:tcW w:w="1848" w:type="dxa"/>
            <w:vMerge/>
          </w:tcPr>
          <w:p w:rsidR="00CA4A11" w:rsidRPr="00C12624" w:rsidRDefault="00CA4A11" w:rsidP="00FC4C05">
            <w:pPr>
              <w:jc w:val="right"/>
              <w:rPr>
                <w:rFonts w:ascii="Times New Roman" w:hAnsi="Times New Roman" w:cs="Times New Roman"/>
                <w:color w:val="000000" w:themeColor="text1"/>
                <w:sz w:val="18"/>
                <w:szCs w:val="18"/>
                <w:lang w:val="sr-Cyrl-CS"/>
              </w:rPr>
            </w:pPr>
          </w:p>
        </w:tc>
      </w:tr>
    </w:tbl>
    <w:p w:rsidR="00CA4A11" w:rsidRPr="00C12624" w:rsidRDefault="00CA4A11" w:rsidP="00CA4A11">
      <w:pPr>
        <w:rPr>
          <w:rFonts w:ascii="Times New Roman" w:hAnsi="Times New Roman" w:cs="Times New Roman"/>
          <w:sz w:val="18"/>
          <w:szCs w:val="18"/>
          <w:lang w:val="sr-Cyrl-CS"/>
        </w:rPr>
      </w:pP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Према пристиглим подацима које су доставиле 132 ЈЛС укупан број превезених путника у градском аутобуском саобраћају у току 2017. године износи 879.741.990 путника. Највећи број превезених путника у градском аутобуском саобраћају има Град Београд и то 730.000.000 путника годишње. </w:t>
      </w: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Укупан број превезених путника у приградском аутобуском саобраћају у току 2017. године износи 97.006.496 путника.  Највише превезених путника у приградском аутобуском саобраћају има град Београд и то 41.294.275путника.</w:t>
      </w:r>
    </w:p>
    <w:p w:rsidR="00CA4A11" w:rsidRPr="00C12624" w:rsidRDefault="00CA4A11" w:rsidP="00CA4A11">
      <w:pPr>
        <w:ind w:firstLine="720"/>
        <w:rPr>
          <w:rFonts w:ascii="Times New Roman" w:hAnsi="Times New Roman" w:cs="Times New Roman"/>
          <w:color w:val="FF0000"/>
          <w:sz w:val="24"/>
          <w:szCs w:val="24"/>
          <w:lang w:val="sr-Cyrl-CS"/>
        </w:rPr>
      </w:pPr>
    </w:p>
    <w:p w:rsidR="00CA4A11" w:rsidRPr="00C12624" w:rsidRDefault="00CA4A11" w:rsidP="00CA4A11">
      <w:pPr>
        <w:jc w:val="center"/>
        <w:rPr>
          <w:rFonts w:ascii="Times New Roman" w:hAnsi="Times New Roman" w:cs="Times New Roman"/>
          <w:b/>
          <w:i/>
          <w:color w:val="000000" w:themeColor="text1"/>
          <w:sz w:val="24"/>
          <w:szCs w:val="24"/>
          <w:lang w:val="sr-Cyrl-CS"/>
        </w:rPr>
      </w:pPr>
      <w:r w:rsidRPr="00C12624">
        <w:rPr>
          <w:rFonts w:ascii="Times New Roman" w:hAnsi="Times New Roman" w:cs="Times New Roman"/>
          <w:b/>
          <w:i/>
          <w:color w:val="000000" w:themeColor="text1"/>
          <w:sz w:val="24"/>
          <w:szCs w:val="24"/>
          <w:lang w:val="sr-Cyrl-CS"/>
        </w:rPr>
        <w:t>Табела 5: Број превезених путника у градском и приградском саобраћају по регионима за 2016. годину</w:t>
      </w:r>
    </w:p>
    <w:tbl>
      <w:tblPr>
        <w:tblStyle w:val="TableGrid"/>
        <w:tblW w:w="0" w:type="auto"/>
        <w:jc w:val="center"/>
        <w:tblLook w:val="04A0" w:firstRow="1" w:lastRow="0" w:firstColumn="1" w:lastColumn="0" w:noHBand="0" w:noVBand="1"/>
      </w:tblPr>
      <w:tblGrid>
        <w:gridCol w:w="3114"/>
        <w:gridCol w:w="1560"/>
        <w:gridCol w:w="2338"/>
        <w:gridCol w:w="2338"/>
      </w:tblGrid>
      <w:tr w:rsidR="00CA4A11" w:rsidRPr="00C12624" w:rsidTr="00FC4C05">
        <w:trPr>
          <w:trHeight w:val="570"/>
          <w:jc w:val="center"/>
        </w:trPr>
        <w:tc>
          <w:tcPr>
            <w:tcW w:w="3114" w:type="dxa"/>
            <w:vMerge w:val="restart"/>
            <w:shd w:val="clear" w:color="auto" w:fill="DBE5F1" w:themeFill="accent1" w:themeFillTint="33"/>
          </w:tcPr>
          <w:p w:rsidR="00CA4A11" w:rsidRPr="00C12624" w:rsidRDefault="00CA4A11" w:rsidP="00FC4C05">
            <w:pPr>
              <w:jc w:val="center"/>
              <w:rPr>
                <w:rFonts w:ascii="Times New Roman" w:hAnsi="Times New Roman" w:cs="Times New Roman"/>
                <w:b/>
                <w:sz w:val="18"/>
                <w:szCs w:val="18"/>
                <w:lang w:val="sr-Cyrl-CS"/>
              </w:rPr>
            </w:pPr>
          </w:p>
          <w:p w:rsidR="00CA4A11" w:rsidRPr="00C12624" w:rsidRDefault="00CA4A11" w:rsidP="00FC4C05">
            <w:pPr>
              <w:jc w:val="center"/>
              <w:rPr>
                <w:rFonts w:ascii="Times New Roman" w:hAnsi="Times New Roman" w:cs="Times New Roman"/>
                <w:b/>
                <w:sz w:val="18"/>
                <w:szCs w:val="18"/>
                <w:lang w:val="sr-Cyrl-CS"/>
              </w:rPr>
            </w:pPr>
          </w:p>
          <w:p w:rsidR="00CA4A11" w:rsidRPr="00C12624" w:rsidRDefault="00CA4A11" w:rsidP="00FC4C05">
            <w:pPr>
              <w:jc w:val="center"/>
              <w:rPr>
                <w:rFonts w:ascii="Times New Roman" w:hAnsi="Times New Roman" w:cs="Times New Roman"/>
                <w:b/>
                <w:sz w:val="18"/>
                <w:szCs w:val="18"/>
                <w:lang w:val="sr-Cyrl-CS"/>
              </w:rPr>
            </w:pPr>
            <w:r w:rsidRPr="00C12624">
              <w:rPr>
                <w:rFonts w:ascii="Times New Roman" w:hAnsi="Times New Roman" w:cs="Times New Roman"/>
                <w:b/>
                <w:sz w:val="18"/>
                <w:szCs w:val="18"/>
                <w:lang w:val="sr-Cyrl-CS"/>
              </w:rPr>
              <w:t>ТЕРИТОРИЈАЛНИ ОБУХВАТ</w:t>
            </w:r>
          </w:p>
        </w:tc>
        <w:tc>
          <w:tcPr>
            <w:tcW w:w="1560" w:type="dxa"/>
            <w:vMerge w:val="restart"/>
            <w:shd w:val="clear" w:color="auto" w:fill="DBE5F1" w:themeFill="accent1" w:themeFillTint="33"/>
          </w:tcPr>
          <w:p w:rsidR="00CA4A11" w:rsidRPr="00C12624" w:rsidRDefault="00CA4A11" w:rsidP="00FC4C05">
            <w:pPr>
              <w:jc w:val="center"/>
              <w:rPr>
                <w:rFonts w:ascii="Times New Roman" w:hAnsi="Times New Roman" w:cs="Times New Roman"/>
                <w:b/>
                <w:sz w:val="18"/>
                <w:szCs w:val="18"/>
                <w:lang w:val="sr-Cyrl-CS"/>
              </w:rPr>
            </w:pPr>
          </w:p>
          <w:p w:rsidR="00CA4A11" w:rsidRPr="00C12624" w:rsidRDefault="00CA4A11" w:rsidP="00FC4C05">
            <w:pPr>
              <w:jc w:val="center"/>
              <w:rPr>
                <w:rFonts w:ascii="Times New Roman" w:hAnsi="Times New Roman" w:cs="Times New Roman"/>
                <w:b/>
                <w:sz w:val="18"/>
                <w:szCs w:val="18"/>
                <w:lang w:val="sr-Cyrl-CS"/>
              </w:rPr>
            </w:pPr>
            <w:r w:rsidRPr="00C12624">
              <w:rPr>
                <w:rFonts w:ascii="Times New Roman" w:hAnsi="Times New Roman" w:cs="Times New Roman"/>
                <w:b/>
                <w:sz w:val="18"/>
                <w:szCs w:val="18"/>
                <w:lang w:val="sr-Cyrl-CS"/>
              </w:rPr>
              <w:t>УКУПАН БР ПРЕВЕЖЕНИХ ПУТНИКА</w:t>
            </w:r>
          </w:p>
        </w:tc>
        <w:tc>
          <w:tcPr>
            <w:tcW w:w="4676" w:type="dxa"/>
            <w:gridSpan w:val="2"/>
            <w:shd w:val="clear" w:color="auto" w:fill="DBE5F1" w:themeFill="accent1" w:themeFillTint="33"/>
          </w:tcPr>
          <w:p w:rsidR="00CA4A11" w:rsidRPr="00C12624" w:rsidRDefault="00CA4A11" w:rsidP="00FC4C05">
            <w:pPr>
              <w:jc w:val="center"/>
              <w:rPr>
                <w:rFonts w:ascii="Times New Roman" w:hAnsi="Times New Roman" w:cs="Times New Roman"/>
                <w:b/>
                <w:sz w:val="18"/>
                <w:szCs w:val="18"/>
                <w:lang w:val="sr-Cyrl-CS"/>
              </w:rPr>
            </w:pPr>
          </w:p>
          <w:p w:rsidR="00CA4A11" w:rsidRPr="00C12624" w:rsidRDefault="00CA4A11" w:rsidP="00FC4C05">
            <w:pPr>
              <w:jc w:val="center"/>
              <w:rPr>
                <w:rFonts w:ascii="Times New Roman" w:hAnsi="Times New Roman" w:cs="Times New Roman"/>
                <w:b/>
                <w:sz w:val="18"/>
                <w:szCs w:val="18"/>
                <w:lang w:val="sr-Cyrl-CS"/>
              </w:rPr>
            </w:pPr>
            <w:r w:rsidRPr="00C12624">
              <w:rPr>
                <w:rFonts w:ascii="Times New Roman" w:hAnsi="Times New Roman" w:cs="Times New Roman"/>
                <w:b/>
                <w:sz w:val="18"/>
                <w:szCs w:val="18"/>
                <w:lang w:val="sr-Cyrl-CS"/>
              </w:rPr>
              <w:t>БРОЈ ПРЕВЕЗЕНИХ ПУТНИКА</w:t>
            </w:r>
          </w:p>
        </w:tc>
      </w:tr>
      <w:tr w:rsidR="00CA4A11" w:rsidRPr="00C12624" w:rsidTr="00FC4C05">
        <w:trPr>
          <w:trHeight w:val="525"/>
          <w:jc w:val="center"/>
        </w:trPr>
        <w:tc>
          <w:tcPr>
            <w:tcW w:w="3114" w:type="dxa"/>
            <w:vMerge/>
            <w:shd w:val="clear" w:color="auto" w:fill="DBE5F1" w:themeFill="accent1" w:themeFillTint="33"/>
          </w:tcPr>
          <w:p w:rsidR="00CA4A11" w:rsidRPr="00C12624" w:rsidRDefault="00CA4A11" w:rsidP="00FC4C05">
            <w:pPr>
              <w:jc w:val="center"/>
              <w:rPr>
                <w:rFonts w:ascii="Times New Roman" w:hAnsi="Times New Roman" w:cs="Times New Roman"/>
                <w:b/>
                <w:sz w:val="18"/>
                <w:szCs w:val="18"/>
                <w:lang w:val="sr-Cyrl-CS"/>
              </w:rPr>
            </w:pPr>
          </w:p>
        </w:tc>
        <w:tc>
          <w:tcPr>
            <w:tcW w:w="1560" w:type="dxa"/>
            <w:vMerge/>
            <w:shd w:val="clear" w:color="auto" w:fill="DBE5F1" w:themeFill="accent1" w:themeFillTint="33"/>
          </w:tcPr>
          <w:p w:rsidR="00CA4A11" w:rsidRPr="00C12624" w:rsidRDefault="00CA4A11" w:rsidP="00FC4C05">
            <w:pPr>
              <w:jc w:val="center"/>
              <w:rPr>
                <w:rFonts w:ascii="Times New Roman" w:hAnsi="Times New Roman" w:cs="Times New Roman"/>
                <w:b/>
                <w:sz w:val="18"/>
                <w:szCs w:val="18"/>
                <w:lang w:val="sr-Cyrl-CS"/>
              </w:rPr>
            </w:pPr>
          </w:p>
        </w:tc>
        <w:tc>
          <w:tcPr>
            <w:tcW w:w="2338" w:type="dxa"/>
            <w:shd w:val="clear" w:color="auto" w:fill="DBE5F1" w:themeFill="accent1" w:themeFillTint="33"/>
          </w:tcPr>
          <w:p w:rsidR="00CA4A11" w:rsidRPr="00C12624" w:rsidRDefault="00CA4A11" w:rsidP="00FC4C05">
            <w:pPr>
              <w:jc w:val="center"/>
              <w:rPr>
                <w:rFonts w:ascii="Times New Roman" w:hAnsi="Times New Roman" w:cs="Times New Roman"/>
                <w:b/>
                <w:sz w:val="18"/>
                <w:szCs w:val="18"/>
                <w:lang w:val="sr-Cyrl-CS"/>
              </w:rPr>
            </w:pPr>
            <w:r w:rsidRPr="00C12624">
              <w:rPr>
                <w:rFonts w:ascii="Times New Roman" w:hAnsi="Times New Roman" w:cs="Times New Roman"/>
                <w:b/>
                <w:sz w:val="18"/>
                <w:szCs w:val="18"/>
                <w:lang w:val="sr-Cyrl-CS"/>
              </w:rPr>
              <w:t>ГРАДСКИ АУТОБУСКИ САОБРАЋАЈ</w:t>
            </w:r>
          </w:p>
        </w:tc>
        <w:tc>
          <w:tcPr>
            <w:tcW w:w="2338" w:type="dxa"/>
            <w:shd w:val="clear" w:color="auto" w:fill="DBE5F1" w:themeFill="accent1" w:themeFillTint="33"/>
          </w:tcPr>
          <w:p w:rsidR="00CA4A11" w:rsidRPr="00C12624" w:rsidRDefault="00CA4A11" w:rsidP="00FC4C05">
            <w:pPr>
              <w:jc w:val="center"/>
              <w:rPr>
                <w:rFonts w:ascii="Times New Roman" w:hAnsi="Times New Roman" w:cs="Times New Roman"/>
                <w:b/>
                <w:sz w:val="18"/>
                <w:szCs w:val="18"/>
                <w:lang w:val="sr-Cyrl-CS"/>
              </w:rPr>
            </w:pPr>
            <w:r w:rsidRPr="00C12624">
              <w:rPr>
                <w:rFonts w:ascii="Times New Roman" w:hAnsi="Times New Roman" w:cs="Times New Roman"/>
                <w:b/>
                <w:sz w:val="18"/>
                <w:szCs w:val="18"/>
                <w:lang w:val="sr-Cyrl-CS"/>
              </w:rPr>
              <w:t>ПРИГРАДСКИ АУТОБУСКИ САОБРАЋАЈ</w:t>
            </w:r>
          </w:p>
        </w:tc>
      </w:tr>
      <w:tr w:rsidR="00CA4A11" w:rsidRPr="00C12624" w:rsidTr="00FC4C05">
        <w:trPr>
          <w:jc w:val="center"/>
        </w:trPr>
        <w:tc>
          <w:tcPr>
            <w:tcW w:w="3114" w:type="dxa"/>
          </w:tcPr>
          <w:p w:rsidR="00CA4A11" w:rsidRPr="00C12624" w:rsidRDefault="00CA4A11" w:rsidP="00FC4C05">
            <w:pPr>
              <w:rPr>
                <w:rFonts w:ascii="Times New Roman" w:hAnsi="Times New Roman" w:cs="Times New Roman"/>
                <w:sz w:val="18"/>
                <w:szCs w:val="18"/>
                <w:lang w:val="sr-Cyrl-CS"/>
              </w:rPr>
            </w:pPr>
            <w:r w:rsidRPr="00C12624">
              <w:rPr>
                <w:rFonts w:ascii="Times New Roman" w:hAnsi="Times New Roman" w:cs="Times New Roman"/>
                <w:sz w:val="18"/>
                <w:szCs w:val="18"/>
                <w:lang w:val="sr-Cyrl-CS"/>
              </w:rPr>
              <w:t>Србија</w:t>
            </w:r>
          </w:p>
        </w:tc>
        <w:tc>
          <w:tcPr>
            <w:tcW w:w="1560"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719.740.204</w:t>
            </w:r>
          </w:p>
        </w:tc>
        <w:tc>
          <w:tcPr>
            <w:tcW w:w="2338"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635.174.246</w:t>
            </w:r>
          </w:p>
        </w:tc>
        <w:tc>
          <w:tcPr>
            <w:tcW w:w="2338"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84.565.958</w:t>
            </w:r>
          </w:p>
        </w:tc>
      </w:tr>
      <w:tr w:rsidR="00CA4A11" w:rsidRPr="00C12624" w:rsidTr="00FC4C05">
        <w:trPr>
          <w:jc w:val="center"/>
        </w:trPr>
        <w:tc>
          <w:tcPr>
            <w:tcW w:w="3114" w:type="dxa"/>
          </w:tcPr>
          <w:p w:rsidR="00CA4A11" w:rsidRPr="00C12624" w:rsidRDefault="00CA4A11" w:rsidP="00FC4C05">
            <w:pPr>
              <w:rPr>
                <w:rFonts w:ascii="Times New Roman" w:hAnsi="Times New Roman" w:cs="Times New Roman"/>
                <w:sz w:val="18"/>
                <w:szCs w:val="18"/>
                <w:lang w:val="sr-Cyrl-CS"/>
              </w:rPr>
            </w:pPr>
            <w:r w:rsidRPr="00C12624">
              <w:rPr>
                <w:rFonts w:ascii="Times New Roman" w:hAnsi="Times New Roman" w:cs="Times New Roman"/>
                <w:sz w:val="18"/>
                <w:szCs w:val="18"/>
                <w:lang w:val="sr-Cyrl-CS"/>
              </w:rPr>
              <w:t>Београд</w:t>
            </w:r>
          </w:p>
        </w:tc>
        <w:tc>
          <w:tcPr>
            <w:tcW w:w="1560"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541.307.770</w:t>
            </w:r>
          </w:p>
        </w:tc>
        <w:tc>
          <w:tcPr>
            <w:tcW w:w="2338"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507.141.000</w:t>
            </w:r>
          </w:p>
        </w:tc>
        <w:tc>
          <w:tcPr>
            <w:tcW w:w="2338"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34.166.770</w:t>
            </w:r>
          </w:p>
        </w:tc>
      </w:tr>
      <w:tr w:rsidR="00CA4A11" w:rsidRPr="00C12624" w:rsidTr="00FC4C05">
        <w:trPr>
          <w:jc w:val="center"/>
        </w:trPr>
        <w:tc>
          <w:tcPr>
            <w:tcW w:w="3114" w:type="dxa"/>
          </w:tcPr>
          <w:p w:rsidR="00CA4A11" w:rsidRPr="00C12624" w:rsidRDefault="00CA4A11" w:rsidP="00FC4C05">
            <w:pPr>
              <w:rPr>
                <w:rFonts w:ascii="Times New Roman" w:hAnsi="Times New Roman" w:cs="Times New Roman"/>
                <w:sz w:val="18"/>
                <w:szCs w:val="18"/>
                <w:lang w:val="sr-Cyrl-CS"/>
              </w:rPr>
            </w:pPr>
            <w:r w:rsidRPr="00C12624">
              <w:rPr>
                <w:rFonts w:ascii="Times New Roman" w:hAnsi="Times New Roman" w:cs="Times New Roman"/>
                <w:sz w:val="18"/>
                <w:szCs w:val="18"/>
                <w:lang w:val="sr-Cyrl-CS"/>
              </w:rPr>
              <w:t>Војводина</w:t>
            </w:r>
          </w:p>
        </w:tc>
        <w:tc>
          <w:tcPr>
            <w:tcW w:w="1560"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86.975.719</w:t>
            </w:r>
          </w:p>
        </w:tc>
        <w:tc>
          <w:tcPr>
            <w:tcW w:w="2338"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67.599.886</w:t>
            </w:r>
          </w:p>
        </w:tc>
        <w:tc>
          <w:tcPr>
            <w:tcW w:w="2338"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19.375.833</w:t>
            </w:r>
          </w:p>
        </w:tc>
      </w:tr>
      <w:tr w:rsidR="00CA4A11" w:rsidRPr="00C12624" w:rsidTr="00FC4C05">
        <w:trPr>
          <w:jc w:val="center"/>
        </w:trPr>
        <w:tc>
          <w:tcPr>
            <w:tcW w:w="3114" w:type="dxa"/>
          </w:tcPr>
          <w:p w:rsidR="00CA4A11" w:rsidRPr="00C12624" w:rsidRDefault="00CA4A11" w:rsidP="00FC4C05">
            <w:pPr>
              <w:rPr>
                <w:rFonts w:ascii="Times New Roman" w:hAnsi="Times New Roman" w:cs="Times New Roman"/>
                <w:sz w:val="18"/>
                <w:szCs w:val="18"/>
                <w:lang w:val="sr-Cyrl-CS"/>
              </w:rPr>
            </w:pPr>
            <w:r w:rsidRPr="00C12624">
              <w:rPr>
                <w:rFonts w:ascii="Times New Roman" w:hAnsi="Times New Roman" w:cs="Times New Roman"/>
                <w:sz w:val="18"/>
                <w:szCs w:val="18"/>
                <w:lang w:val="sr-Cyrl-CS"/>
              </w:rPr>
              <w:t>Јужна и источна Србија</w:t>
            </w:r>
          </w:p>
        </w:tc>
        <w:tc>
          <w:tcPr>
            <w:tcW w:w="1560"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63.227.310</w:t>
            </w:r>
          </w:p>
        </w:tc>
        <w:tc>
          <w:tcPr>
            <w:tcW w:w="2338"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41.134.289</w:t>
            </w:r>
          </w:p>
        </w:tc>
        <w:tc>
          <w:tcPr>
            <w:tcW w:w="2338"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22.093.021</w:t>
            </w:r>
          </w:p>
        </w:tc>
      </w:tr>
      <w:tr w:rsidR="00CA4A11" w:rsidRPr="00C12624" w:rsidTr="00FC4C05">
        <w:trPr>
          <w:jc w:val="center"/>
        </w:trPr>
        <w:tc>
          <w:tcPr>
            <w:tcW w:w="3114" w:type="dxa"/>
          </w:tcPr>
          <w:p w:rsidR="00CA4A11" w:rsidRPr="00C12624" w:rsidRDefault="00CA4A11" w:rsidP="00FC4C05">
            <w:pPr>
              <w:rPr>
                <w:rFonts w:ascii="Times New Roman" w:hAnsi="Times New Roman" w:cs="Times New Roman"/>
                <w:sz w:val="18"/>
                <w:szCs w:val="18"/>
                <w:lang w:val="sr-Cyrl-CS"/>
              </w:rPr>
            </w:pPr>
            <w:r w:rsidRPr="00C12624">
              <w:rPr>
                <w:rFonts w:ascii="Times New Roman" w:hAnsi="Times New Roman" w:cs="Times New Roman"/>
                <w:sz w:val="18"/>
                <w:szCs w:val="18"/>
                <w:lang w:val="sr-Cyrl-CS"/>
              </w:rPr>
              <w:t>Шумадија и западна Србија</w:t>
            </w:r>
          </w:p>
        </w:tc>
        <w:tc>
          <w:tcPr>
            <w:tcW w:w="1560"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28.229.405</w:t>
            </w:r>
          </w:p>
        </w:tc>
        <w:tc>
          <w:tcPr>
            <w:tcW w:w="2338"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19.299.071</w:t>
            </w:r>
          </w:p>
        </w:tc>
        <w:tc>
          <w:tcPr>
            <w:tcW w:w="2338" w:type="dxa"/>
          </w:tcPr>
          <w:p w:rsidR="00CA4A11" w:rsidRPr="00C12624" w:rsidRDefault="00CA4A11" w:rsidP="00FC4C05">
            <w:pPr>
              <w:jc w:val="right"/>
              <w:rPr>
                <w:rFonts w:ascii="Times New Roman" w:hAnsi="Times New Roman" w:cs="Times New Roman"/>
                <w:sz w:val="18"/>
                <w:szCs w:val="18"/>
                <w:lang w:val="sr-Cyrl-CS"/>
              </w:rPr>
            </w:pPr>
            <w:r w:rsidRPr="00C12624">
              <w:rPr>
                <w:rFonts w:ascii="Times New Roman" w:hAnsi="Times New Roman" w:cs="Times New Roman"/>
                <w:sz w:val="18"/>
                <w:szCs w:val="18"/>
                <w:lang w:val="sr-Cyrl-CS"/>
              </w:rPr>
              <w:t>8.930.334</w:t>
            </w:r>
          </w:p>
        </w:tc>
      </w:tr>
    </w:tbl>
    <w:p w:rsidR="00CA4A11" w:rsidRPr="00C12624" w:rsidRDefault="00CA4A11" w:rsidP="00CA4A11">
      <w:pPr>
        <w:ind w:firstLine="720"/>
        <w:rPr>
          <w:rFonts w:ascii="Times New Roman" w:hAnsi="Times New Roman" w:cs="Times New Roman"/>
          <w:sz w:val="24"/>
          <w:szCs w:val="24"/>
          <w:lang w:val="sr-Cyrl-CS"/>
        </w:rPr>
      </w:pPr>
    </w:p>
    <w:p w:rsidR="00CA4A11" w:rsidRPr="00C12624" w:rsidRDefault="00CA4A11" w:rsidP="00CA4A11">
      <w:pPr>
        <w:ind w:firstLine="720"/>
        <w:rPr>
          <w:rFonts w:ascii="Times New Roman" w:hAnsi="Times New Roman" w:cs="Times New Roman"/>
          <w:color w:val="FF0000"/>
          <w:sz w:val="24"/>
          <w:szCs w:val="24"/>
          <w:lang w:val="sr-Cyrl-CS"/>
        </w:rPr>
      </w:pPr>
      <w:r w:rsidRPr="00C12624">
        <w:rPr>
          <w:rFonts w:ascii="Times New Roman" w:hAnsi="Times New Roman" w:cs="Times New Roman"/>
          <w:color w:val="000000" w:themeColor="text1"/>
          <w:sz w:val="24"/>
          <w:szCs w:val="24"/>
          <w:lang w:val="sr-Cyrl-CS"/>
        </w:rPr>
        <w:t>Укупан број превезених путника у току 2016. године на територији Републике Србије износи 719.740.204 путника, при чему је 88,25% путника превезено у градском аутобуском саобраћају</w:t>
      </w:r>
      <w:r w:rsidRPr="00C12624">
        <w:rPr>
          <w:rFonts w:ascii="Times New Roman" w:hAnsi="Times New Roman" w:cs="Times New Roman"/>
          <w:color w:val="FF0000"/>
          <w:sz w:val="24"/>
          <w:szCs w:val="24"/>
          <w:lang w:val="sr-Cyrl-CS"/>
        </w:rPr>
        <w:t>.</w:t>
      </w: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Долази се до податка да град Београд на годишњем нивоу има више превезених путника у градском аутобуском саобраћају него Војводина, Јужна и Источна Србија, Шумадија и Западна Србија заједно. </w:t>
      </w: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Укупан број превезених путника у приградском аутобуском саобраћају у току 2016. године износи 84.565.958 путника. </w:t>
      </w:r>
    </w:p>
    <w:p w:rsidR="00CA4A11" w:rsidRPr="00C12624" w:rsidRDefault="00CA4A11" w:rsidP="00CA4A11">
      <w:pPr>
        <w:rPr>
          <w:rFonts w:ascii="Times New Roman" w:hAnsi="Times New Roman" w:cs="Times New Roman"/>
          <w:sz w:val="24"/>
          <w:szCs w:val="24"/>
          <w:lang w:val="sr-Cyrl-CS"/>
        </w:rPr>
      </w:pPr>
    </w:p>
    <w:p w:rsidR="00CA4A11" w:rsidRPr="00C12624" w:rsidRDefault="00CA4A11" w:rsidP="00CA4A11">
      <w:pPr>
        <w:rPr>
          <w:rFonts w:ascii="Times New Roman" w:hAnsi="Times New Roman" w:cs="Times New Roman"/>
          <w:sz w:val="24"/>
          <w:szCs w:val="24"/>
          <w:lang w:val="sr-Cyrl-CS"/>
        </w:rPr>
      </w:pPr>
    </w:p>
    <w:p w:rsidR="00CA4A11" w:rsidRPr="00C12624" w:rsidRDefault="00CA4A11" w:rsidP="00CA4A11">
      <w:pPr>
        <w:jc w:val="center"/>
        <w:rPr>
          <w:rFonts w:ascii="Times New Roman" w:hAnsi="Times New Roman" w:cs="Times New Roman"/>
          <w:b/>
          <w:i/>
          <w:sz w:val="24"/>
          <w:szCs w:val="24"/>
          <w:lang w:val="sr-Cyrl-CS"/>
        </w:rPr>
      </w:pPr>
      <w:r w:rsidRPr="00C12624">
        <w:rPr>
          <w:rFonts w:ascii="Times New Roman" w:hAnsi="Times New Roman" w:cs="Times New Roman"/>
          <w:b/>
          <w:i/>
          <w:sz w:val="24"/>
          <w:szCs w:val="24"/>
          <w:lang w:val="sr-Cyrl-CS"/>
        </w:rPr>
        <w:t>Табела 6: Број превезених путника у тролејбуском и шинском градском саобраћају и шинском приградском саобраћају у 2016. години</w:t>
      </w:r>
    </w:p>
    <w:tbl>
      <w:tblPr>
        <w:tblStyle w:val="TableGrid"/>
        <w:tblW w:w="9464" w:type="dxa"/>
        <w:tblLook w:val="04A0" w:firstRow="1" w:lastRow="0" w:firstColumn="1" w:lastColumn="0" w:noHBand="0" w:noVBand="1"/>
      </w:tblPr>
      <w:tblGrid>
        <w:gridCol w:w="4261"/>
        <w:gridCol w:w="5203"/>
      </w:tblGrid>
      <w:tr w:rsidR="00CA4A11" w:rsidRPr="00C12624" w:rsidTr="00FC4C05">
        <w:trPr>
          <w:trHeight w:val="828"/>
        </w:trPr>
        <w:tc>
          <w:tcPr>
            <w:tcW w:w="4261" w:type="dxa"/>
            <w:shd w:val="clear" w:color="auto" w:fill="C6D9F1" w:themeFill="text2" w:themeFillTint="33"/>
            <w:vAlign w:val="center"/>
          </w:tcPr>
          <w:p w:rsidR="00CA4A11" w:rsidRPr="00C12624" w:rsidRDefault="00CA4A11" w:rsidP="00FC4C05">
            <w:pPr>
              <w:jc w:val="center"/>
              <w:rPr>
                <w:rFonts w:ascii="Times New Roman" w:hAnsi="Times New Roman" w:cs="Times New Roman"/>
                <w:b/>
                <w:sz w:val="18"/>
                <w:szCs w:val="18"/>
                <w:lang w:val="sr-Cyrl-CS"/>
              </w:rPr>
            </w:pPr>
            <w:r w:rsidRPr="00C12624">
              <w:rPr>
                <w:rFonts w:ascii="Times New Roman" w:hAnsi="Times New Roman" w:cs="Times New Roman"/>
                <w:b/>
                <w:sz w:val="18"/>
                <w:szCs w:val="18"/>
                <w:lang w:val="sr-Cyrl-CS"/>
              </w:rPr>
              <w:lastRenderedPageBreak/>
              <w:t>ТЕРИТОРИЈАЛНИ ОБУХВАТ</w:t>
            </w:r>
          </w:p>
        </w:tc>
        <w:tc>
          <w:tcPr>
            <w:tcW w:w="5203" w:type="dxa"/>
            <w:shd w:val="clear" w:color="auto" w:fill="C6D9F1" w:themeFill="text2" w:themeFillTint="33"/>
            <w:vAlign w:val="center"/>
          </w:tcPr>
          <w:p w:rsidR="00CA4A11" w:rsidRPr="00C12624" w:rsidRDefault="00CA4A11" w:rsidP="00FC4C05">
            <w:pPr>
              <w:jc w:val="center"/>
              <w:rPr>
                <w:rFonts w:ascii="Times New Roman" w:hAnsi="Times New Roman" w:cs="Times New Roman"/>
                <w:b/>
                <w:sz w:val="18"/>
                <w:szCs w:val="18"/>
                <w:lang w:val="sr-Cyrl-CS"/>
              </w:rPr>
            </w:pPr>
            <w:r w:rsidRPr="00C12624">
              <w:rPr>
                <w:rFonts w:ascii="Times New Roman" w:hAnsi="Times New Roman" w:cs="Times New Roman"/>
                <w:b/>
                <w:sz w:val="18"/>
                <w:szCs w:val="18"/>
                <w:lang w:val="sr-Cyrl-CS"/>
              </w:rPr>
              <w:t>ТРОЛЕЈБУСКИ И ШИНСКИ ГРАДСКИ САОБРАЋАЈ</w:t>
            </w:r>
          </w:p>
        </w:tc>
      </w:tr>
      <w:tr w:rsidR="00CA4A11" w:rsidRPr="00C12624" w:rsidTr="00FC4C05">
        <w:trPr>
          <w:trHeight w:val="273"/>
        </w:trPr>
        <w:tc>
          <w:tcPr>
            <w:tcW w:w="4261" w:type="dxa"/>
          </w:tcPr>
          <w:p w:rsidR="00CA4A11" w:rsidRPr="00C12624" w:rsidRDefault="00CA4A11" w:rsidP="00FC4C05">
            <w:pPr>
              <w:rPr>
                <w:rFonts w:ascii="Times New Roman" w:hAnsi="Times New Roman" w:cs="Times New Roman"/>
                <w:sz w:val="18"/>
                <w:szCs w:val="18"/>
                <w:lang w:val="sr-Cyrl-CS"/>
              </w:rPr>
            </w:pPr>
            <w:r w:rsidRPr="00C12624">
              <w:rPr>
                <w:rFonts w:ascii="Times New Roman" w:hAnsi="Times New Roman" w:cs="Times New Roman"/>
                <w:sz w:val="18"/>
                <w:szCs w:val="18"/>
                <w:lang w:val="sr-Cyrl-CS"/>
              </w:rPr>
              <w:t>Србија</w:t>
            </w:r>
          </w:p>
        </w:tc>
        <w:tc>
          <w:tcPr>
            <w:tcW w:w="5203" w:type="dxa"/>
          </w:tcPr>
          <w:p w:rsidR="00CA4A11" w:rsidRPr="00C12624" w:rsidRDefault="00CA4A11" w:rsidP="00FC4C05">
            <w:pPr>
              <w:jc w:val="center"/>
              <w:rPr>
                <w:rFonts w:ascii="Times New Roman" w:hAnsi="Times New Roman" w:cs="Times New Roman"/>
                <w:sz w:val="18"/>
                <w:szCs w:val="18"/>
                <w:lang w:val="sr-Cyrl-CS"/>
              </w:rPr>
            </w:pPr>
            <w:r w:rsidRPr="00C12624">
              <w:rPr>
                <w:rFonts w:ascii="Times New Roman" w:hAnsi="Times New Roman" w:cs="Times New Roman"/>
                <w:sz w:val="18"/>
                <w:szCs w:val="18"/>
                <w:lang w:val="sr-Cyrl-CS"/>
              </w:rPr>
              <w:t>157.488.275</w:t>
            </w:r>
          </w:p>
        </w:tc>
      </w:tr>
      <w:tr w:rsidR="00CA4A11" w:rsidRPr="00C12624" w:rsidTr="00FC4C05">
        <w:trPr>
          <w:trHeight w:val="261"/>
        </w:trPr>
        <w:tc>
          <w:tcPr>
            <w:tcW w:w="4261" w:type="dxa"/>
          </w:tcPr>
          <w:p w:rsidR="00CA4A11" w:rsidRPr="00C12624" w:rsidRDefault="00CA4A11" w:rsidP="00FC4C05">
            <w:pPr>
              <w:rPr>
                <w:rFonts w:ascii="Times New Roman" w:hAnsi="Times New Roman" w:cs="Times New Roman"/>
                <w:sz w:val="18"/>
                <w:szCs w:val="18"/>
                <w:lang w:val="sr-Cyrl-CS"/>
              </w:rPr>
            </w:pPr>
            <w:r w:rsidRPr="00C12624">
              <w:rPr>
                <w:rFonts w:ascii="Times New Roman" w:hAnsi="Times New Roman" w:cs="Times New Roman"/>
                <w:sz w:val="18"/>
                <w:szCs w:val="18"/>
                <w:lang w:val="sr-Cyrl-CS"/>
              </w:rPr>
              <w:t>Београд</w:t>
            </w:r>
          </w:p>
        </w:tc>
        <w:tc>
          <w:tcPr>
            <w:tcW w:w="5203" w:type="dxa"/>
          </w:tcPr>
          <w:p w:rsidR="00CA4A11" w:rsidRPr="00C12624" w:rsidRDefault="00CA4A11" w:rsidP="00FC4C05">
            <w:pPr>
              <w:jc w:val="center"/>
              <w:rPr>
                <w:rFonts w:ascii="Times New Roman" w:hAnsi="Times New Roman" w:cs="Times New Roman"/>
                <w:sz w:val="18"/>
                <w:szCs w:val="18"/>
                <w:lang w:val="sr-Cyrl-CS"/>
              </w:rPr>
            </w:pPr>
            <w:r w:rsidRPr="00C12624">
              <w:rPr>
                <w:rFonts w:ascii="Times New Roman" w:hAnsi="Times New Roman" w:cs="Times New Roman"/>
                <w:sz w:val="18"/>
                <w:szCs w:val="18"/>
                <w:lang w:val="sr-Cyrl-CS"/>
              </w:rPr>
              <w:t>157.488.275</w:t>
            </w:r>
          </w:p>
        </w:tc>
      </w:tr>
      <w:tr w:rsidR="00CA4A11" w:rsidRPr="00C12624" w:rsidTr="00FC4C05">
        <w:trPr>
          <w:trHeight w:val="273"/>
        </w:trPr>
        <w:tc>
          <w:tcPr>
            <w:tcW w:w="4261" w:type="dxa"/>
          </w:tcPr>
          <w:p w:rsidR="00CA4A11" w:rsidRPr="00C12624" w:rsidRDefault="00CA4A11" w:rsidP="00FC4C05">
            <w:pPr>
              <w:rPr>
                <w:rFonts w:ascii="Times New Roman" w:hAnsi="Times New Roman" w:cs="Times New Roman"/>
                <w:sz w:val="18"/>
                <w:szCs w:val="18"/>
                <w:lang w:val="sr-Cyrl-CS"/>
              </w:rPr>
            </w:pPr>
            <w:r w:rsidRPr="00C12624">
              <w:rPr>
                <w:rFonts w:ascii="Times New Roman" w:hAnsi="Times New Roman" w:cs="Times New Roman"/>
                <w:sz w:val="18"/>
                <w:szCs w:val="18"/>
                <w:lang w:val="sr-Cyrl-CS"/>
              </w:rPr>
              <w:t>Војводина</w:t>
            </w:r>
          </w:p>
        </w:tc>
        <w:tc>
          <w:tcPr>
            <w:tcW w:w="5203" w:type="dxa"/>
          </w:tcPr>
          <w:p w:rsidR="00CA4A11" w:rsidRPr="00C12624" w:rsidRDefault="00CA4A11" w:rsidP="00FC4C05">
            <w:pPr>
              <w:jc w:val="center"/>
              <w:rPr>
                <w:rFonts w:ascii="Times New Roman" w:hAnsi="Times New Roman" w:cs="Times New Roman"/>
                <w:sz w:val="18"/>
                <w:szCs w:val="18"/>
                <w:lang w:val="sr-Cyrl-CS"/>
              </w:rPr>
            </w:pPr>
            <w:r w:rsidRPr="00C12624">
              <w:rPr>
                <w:rFonts w:ascii="Times New Roman" w:hAnsi="Times New Roman" w:cs="Times New Roman"/>
                <w:sz w:val="18"/>
                <w:szCs w:val="18"/>
                <w:lang w:val="sr-Cyrl-CS"/>
              </w:rPr>
              <w:t>/</w:t>
            </w:r>
          </w:p>
        </w:tc>
      </w:tr>
      <w:tr w:rsidR="00CA4A11" w:rsidRPr="00C12624" w:rsidTr="00FC4C05">
        <w:trPr>
          <w:trHeight w:val="273"/>
        </w:trPr>
        <w:tc>
          <w:tcPr>
            <w:tcW w:w="4261" w:type="dxa"/>
          </w:tcPr>
          <w:p w:rsidR="00CA4A11" w:rsidRPr="00C12624" w:rsidRDefault="00CA4A11" w:rsidP="00FC4C05">
            <w:pPr>
              <w:rPr>
                <w:rFonts w:ascii="Times New Roman" w:hAnsi="Times New Roman" w:cs="Times New Roman"/>
                <w:sz w:val="18"/>
                <w:szCs w:val="18"/>
                <w:lang w:val="sr-Cyrl-CS"/>
              </w:rPr>
            </w:pPr>
            <w:r w:rsidRPr="00C12624">
              <w:rPr>
                <w:rFonts w:ascii="Times New Roman" w:hAnsi="Times New Roman" w:cs="Times New Roman"/>
                <w:sz w:val="18"/>
                <w:szCs w:val="18"/>
                <w:lang w:val="sr-Cyrl-CS"/>
              </w:rPr>
              <w:t>Јужна и источна Србија</w:t>
            </w:r>
          </w:p>
        </w:tc>
        <w:tc>
          <w:tcPr>
            <w:tcW w:w="5203" w:type="dxa"/>
          </w:tcPr>
          <w:p w:rsidR="00CA4A11" w:rsidRPr="00C12624" w:rsidRDefault="00CA4A11" w:rsidP="00FC4C05">
            <w:pPr>
              <w:jc w:val="center"/>
              <w:rPr>
                <w:rFonts w:ascii="Times New Roman" w:hAnsi="Times New Roman" w:cs="Times New Roman"/>
                <w:sz w:val="18"/>
                <w:szCs w:val="18"/>
                <w:lang w:val="sr-Cyrl-CS"/>
              </w:rPr>
            </w:pPr>
            <w:r w:rsidRPr="00C12624">
              <w:rPr>
                <w:rFonts w:ascii="Times New Roman" w:hAnsi="Times New Roman" w:cs="Times New Roman"/>
                <w:sz w:val="18"/>
                <w:szCs w:val="18"/>
                <w:lang w:val="sr-Cyrl-CS"/>
              </w:rPr>
              <w:t>/</w:t>
            </w:r>
          </w:p>
        </w:tc>
      </w:tr>
      <w:tr w:rsidR="00CA4A11" w:rsidRPr="00C12624" w:rsidTr="00FC4C05">
        <w:trPr>
          <w:trHeight w:val="273"/>
        </w:trPr>
        <w:tc>
          <w:tcPr>
            <w:tcW w:w="4261" w:type="dxa"/>
          </w:tcPr>
          <w:p w:rsidR="00CA4A11" w:rsidRPr="00C12624" w:rsidRDefault="00CA4A11" w:rsidP="00FC4C05">
            <w:pPr>
              <w:rPr>
                <w:rFonts w:ascii="Times New Roman" w:hAnsi="Times New Roman" w:cs="Times New Roman"/>
                <w:sz w:val="18"/>
                <w:szCs w:val="18"/>
                <w:lang w:val="sr-Cyrl-CS"/>
              </w:rPr>
            </w:pPr>
            <w:r w:rsidRPr="00C12624">
              <w:rPr>
                <w:rFonts w:ascii="Times New Roman" w:hAnsi="Times New Roman" w:cs="Times New Roman"/>
                <w:sz w:val="18"/>
                <w:szCs w:val="18"/>
                <w:lang w:val="sr-Cyrl-CS"/>
              </w:rPr>
              <w:t>Шумадија и западна Србија</w:t>
            </w:r>
          </w:p>
        </w:tc>
        <w:tc>
          <w:tcPr>
            <w:tcW w:w="5203" w:type="dxa"/>
          </w:tcPr>
          <w:p w:rsidR="00CA4A11" w:rsidRPr="00C12624" w:rsidRDefault="00CA4A11" w:rsidP="00FC4C05">
            <w:pPr>
              <w:jc w:val="center"/>
              <w:rPr>
                <w:rFonts w:ascii="Times New Roman" w:hAnsi="Times New Roman" w:cs="Times New Roman"/>
                <w:sz w:val="18"/>
                <w:szCs w:val="18"/>
                <w:lang w:val="sr-Cyrl-CS"/>
              </w:rPr>
            </w:pPr>
            <w:r w:rsidRPr="00C12624">
              <w:rPr>
                <w:rFonts w:ascii="Times New Roman" w:hAnsi="Times New Roman" w:cs="Times New Roman"/>
                <w:sz w:val="18"/>
                <w:szCs w:val="18"/>
                <w:lang w:val="sr-Cyrl-CS"/>
              </w:rPr>
              <w:t>/</w:t>
            </w:r>
          </w:p>
        </w:tc>
      </w:tr>
    </w:tbl>
    <w:p w:rsidR="00CA4A11" w:rsidRPr="00C12624" w:rsidRDefault="00CA4A11" w:rsidP="00CA4A11">
      <w:pPr>
        <w:rPr>
          <w:rFonts w:ascii="Times New Roman" w:hAnsi="Times New Roman" w:cs="Times New Roman"/>
          <w:sz w:val="24"/>
          <w:szCs w:val="24"/>
          <w:lang w:val="sr-Cyrl-CS"/>
        </w:rPr>
      </w:pPr>
    </w:p>
    <w:p w:rsidR="00CA4A11" w:rsidRPr="00C12624" w:rsidRDefault="00CA4A11" w:rsidP="00CA4A11">
      <w:pPr>
        <w:ind w:firstLine="720"/>
        <w:rPr>
          <w:rFonts w:ascii="Times New Roman" w:hAnsi="Times New Roman" w:cs="Times New Roman"/>
          <w:color w:val="000000" w:themeColor="text1"/>
          <w:sz w:val="24"/>
          <w:szCs w:val="24"/>
          <w:lang w:val="sr-Cyrl-CS"/>
        </w:rPr>
      </w:pPr>
      <w:r w:rsidRPr="00C12624">
        <w:rPr>
          <w:rFonts w:ascii="Times New Roman" w:hAnsi="Times New Roman" w:cs="Times New Roman"/>
          <w:color w:val="000000" w:themeColor="text1"/>
          <w:sz w:val="24"/>
          <w:szCs w:val="24"/>
          <w:lang w:val="sr-Cyrl-CS"/>
        </w:rPr>
        <w:t>Од 74 ЈЛС само се у граду Београду обавља тролејбуски и шински градски саобраћај при чему је превезено 157.488.275 путника у току 2016. године</w:t>
      </w:r>
      <w:bookmarkStart w:id="24" w:name="_Toc501356794"/>
      <w:r w:rsidRPr="00C12624">
        <w:rPr>
          <w:rFonts w:ascii="Times New Roman" w:hAnsi="Times New Roman" w:cs="Times New Roman"/>
          <w:color w:val="000000" w:themeColor="text1"/>
          <w:sz w:val="24"/>
          <w:szCs w:val="24"/>
          <w:lang w:val="sr-Cyrl-CS"/>
        </w:rPr>
        <w:t>.</w:t>
      </w:r>
    </w:p>
    <w:p w:rsidR="00CA4A11" w:rsidRPr="00C12624" w:rsidRDefault="00CA4A11" w:rsidP="00CA4A11">
      <w:pPr>
        <w:ind w:firstLine="720"/>
        <w:rPr>
          <w:rFonts w:ascii="Times New Roman" w:hAnsi="Times New Roman" w:cs="Times New Roman"/>
          <w:color w:val="000000" w:themeColor="text1"/>
          <w:sz w:val="24"/>
          <w:szCs w:val="24"/>
          <w:lang w:val="sr-Cyrl-CS"/>
        </w:rPr>
      </w:pPr>
    </w:p>
    <w:p w:rsidR="00CA4A11" w:rsidRPr="00C12624" w:rsidRDefault="00CA4A11" w:rsidP="00CA4A11">
      <w:pPr>
        <w:jc w:val="center"/>
        <w:rPr>
          <w:rFonts w:ascii="Times New Roman" w:hAnsi="Times New Roman" w:cs="Times New Roman"/>
          <w:b/>
          <w:i/>
          <w:color w:val="000000" w:themeColor="text1"/>
          <w:sz w:val="24"/>
          <w:szCs w:val="24"/>
          <w:lang w:val="sr-Cyrl-CS"/>
        </w:rPr>
      </w:pPr>
      <w:r w:rsidRPr="00C12624">
        <w:rPr>
          <w:rFonts w:ascii="Times New Roman" w:hAnsi="Times New Roman" w:cs="Times New Roman"/>
          <w:b/>
          <w:i/>
          <w:color w:val="000000" w:themeColor="text1"/>
          <w:sz w:val="24"/>
          <w:szCs w:val="24"/>
          <w:lang w:val="sr-Cyrl-CS"/>
        </w:rPr>
        <w:t>Табела 7: Цена возне карте у градском и приградском саобраћају</w:t>
      </w:r>
    </w:p>
    <w:tbl>
      <w:tblPr>
        <w:tblStyle w:val="TableGrid"/>
        <w:tblW w:w="9078" w:type="dxa"/>
        <w:jc w:val="center"/>
        <w:tblLook w:val="04A0" w:firstRow="1" w:lastRow="0" w:firstColumn="1" w:lastColumn="0" w:noHBand="0" w:noVBand="1"/>
      </w:tblPr>
      <w:tblGrid>
        <w:gridCol w:w="3695"/>
        <w:gridCol w:w="2698"/>
        <w:gridCol w:w="2685"/>
      </w:tblGrid>
      <w:tr w:rsidR="00CA4A11" w:rsidRPr="00C12624" w:rsidTr="00FC4C05">
        <w:trPr>
          <w:jc w:val="center"/>
        </w:trPr>
        <w:tc>
          <w:tcPr>
            <w:tcW w:w="3695" w:type="dxa"/>
            <w:shd w:val="clear" w:color="auto" w:fill="DBE5F1" w:themeFill="accent1" w:themeFillTint="33"/>
          </w:tcPr>
          <w:p w:rsidR="00CA4A11" w:rsidRPr="00C12624" w:rsidRDefault="00CA4A11" w:rsidP="00FC4C05">
            <w:pPr>
              <w:jc w:val="center"/>
              <w:rPr>
                <w:rFonts w:ascii="Times New Roman" w:hAnsi="Times New Roman" w:cs="Times New Roman"/>
                <w:b/>
                <w:color w:val="000000" w:themeColor="text1"/>
                <w:sz w:val="18"/>
                <w:szCs w:val="18"/>
                <w:lang w:val="sr-Cyrl-CS"/>
              </w:rPr>
            </w:pPr>
          </w:p>
          <w:p w:rsidR="00CA4A11" w:rsidRPr="00C12624"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Територијални обухват</w:t>
            </w:r>
          </w:p>
        </w:tc>
        <w:tc>
          <w:tcPr>
            <w:tcW w:w="2698" w:type="dxa"/>
            <w:shd w:val="clear" w:color="auto" w:fill="DBE5F1" w:themeFill="accent1" w:themeFillTint="33"/>
          </w:tcPr>
          <w:p w:rsidR="00CA4A11" w:rsidRPr="00C12624" w:rsidDel="007D1C1C"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Цена возне карте у градском саобраћају</w:t>
            </w:r>
          </w:p>
        </w:tc>
        <w:tc>
          <w:tcPr>
            <w:tcW w:w="2685" w:type="dxa"/>
            <w:shd w:val="clear" w:color="auto" w:fill="DBE5F1" w:themeFill="accent1" w:themeFillTint="33"/>
          </w:tcPr>
          <w:p w:rsidR="00CA4A11" w:rsidRPr="00C12624" w:rsidDel="00A7764E" w:rsidRDefault="00CA4A11" w:rsidP="00FC4C05">
            <w:pPr>
              <w:jc w:val="center"/>
              <w:rPr>
                <w:rFonts w:ascii="Times New Roman" w:hAnsi="Times New Roman" w:cs="Times New Roman"/>
                <w:b/>
                <w:color w:val="000000" w:themeColor="text1"/>
                <w:sz w:val="18"/>
                <w:szCs w:val="18"/>
                <w:lang w:val="sr-Cyrl-CS"/>
              </w:rPr>
            </w:pPr>
            <w:r w:rsidRPr="00C12624">
              <w:rPr>
                <w:rFonts w:ascii="Times New Roman" w:hAnsi="Times New Roman" w:cs="Times New Roman"/>
                <w:b/>
                <w:color w:val="000000" w:themeColor="text1"/>
                <w:sz w:val="18"/>
                <w:szCs w:val="18"/>
                <w:lang w:val="sr-Cyrl-CS"/>
              </w:rPr>
              <w:t>Цена возне карте у приградском саобраћају</w:t>
            </w:r>
          </w:p>
        </w:tc>
      </w:tr>
      <w:tr w:rsidR="00CA4A11" w:rsidRPr="00C12624" w:rsidTr="00FC4C05">
        <w:trPr>
          <w:jc w:val="center"/>
        </w:trPr>
        <w:tc>
          <w:tcPr>
            <w:tcW w:w="3695" w:type="dxa"/>
            <w:vAlign w:val="center"/>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Србија</w:t>
            </w:r>
          </w:p>
        </w:tc>
        <w:tc>
          <w:tcPr>
            <w:tcW w:w="2698" w:type="dxa"/>
            <w:vAlign w:val="center"/>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63,97</w:t>
            </w:r>
          </w:p>
        </w:tc>
        <w:tc>
          <w:tcPr>
            <w:tcW w:w="2685" w:type="dxa"/>
            <w:vAlign w:val="center"/>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126,92</w:t>
            </w:r>
          </w:p>
        </w:tc>
      </w:tr>
      <w:tr w:rsidR="00CA4A11" w:rsidRPr="00C12624" w:rsidTr="00FC4C05">
        <w:trPr>
          <w:jc w:val="center"/>
        </w:trPr>
        <w:tc>
          <w:tcPr>
            <w:tcW w:w="3695" w:type="dxa"/>
            <w:vAlign w:val="center"/>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Београд</w:t>
            </w:r>
          </w:p>
        </w:tc>
        <w:tc>
          <w:tcPr>
            <w:tcW w:w="2698" w:type="dxa"/>
            <w:shd w:val="clear" w:color="auto" w:fill="auto"/>
            <w:vAlign w:val="center"/>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89,00</w:t>
            </w:r>
          </w:p>
        </w:tc>
        <w:tc>
          <w:tcPr>
            <w:tcW w:w="2685" w:type="dxa"/>
            <w:vAlign w:val="center"/>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269</w:t>
            </w:r>
          </w:p>
        </w:tc>
      </w:tr>
      <w:tr w:rsidR="00CA4A11" w:rsidRPr="00C12624" w:rsidTr="00FC4C05">
        <w:trPr>
          <w:jc w:val="center"/>
        </w:trPr>
        <w:tc>
          <w:tcPr>
            <w:tcW w:w="3695" w:type="dxa"/>
            <w:vAlign w:val="center"/>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Војводина</w:t>
            </w:r>
          </w:p>
        </w:tc>
        <w:tc>
          <w:tcPr>
            <w:tcW w:w="2698" w:type="dxa"/>
            <w:vAlign w:val="center"/>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69,82</w:t>
            </w:r>
          </w:p>
        </w:tc>
        <w:tc>
          <w:tcPr>
            <w:tcW w:w="2685" w:type="dxa"/>
            <w:vAlign w:val="center"/>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148,79</w:t>
            </w:r>
          </w:p>
        </w:tc>
      </w:tr>
      <w:tr w:rsidR="00CA4A11" w:rsidRPr="00C12624" w:rsidTr="00FC4C05">
        <w:trPr>
          <w:trHeight w:val="259"/>
          <w:jc w:val="center"/>
        </w:trPr>
        <w:tc>
          <w:tcPr>
            <w:tcW w:w="3695" w:type="dxa"/>
            <w:vAlign w:val="center"/>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Јужна и источна Србија</w:t>
            </w:r>
          </w:p>
        </w:tc>
        <w:tc>
          <w:tcPr>
            <w:tcW w:w="2698" w:type="dxa"/>
            <w:vAlign w:val="center"/>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46,83</w:t>
            </w:r>
          </w:p>
        </w:tc>
        <w:tc>
          <w:tcPr>
            <w:tcW w:w="2685" w:type="dxa"/>
            <w:vAlign w:val="center"/>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117,41</w:t>
            </w:r>
          </w:p>
        </w:tc>
      </w:tr>
      <w:tr w:rsidR="00CA4A11" w:rsidRPr="00C12624" w:rsidTr="00FC4C05">
        <w:trPr>
          <w:jc w:val="center"/>
        </w:trPr>
        <w:tc>
          <w:tcPr>
            <w:tcW w:w="3695" w:type="dxa"/>
            <w:vAlign w:val="center"/>
          </w:tcPr>
          <w:p w:rsidR="00CA4A11" w:rsidRPr="00C12624" w:rsidRDefault="00CA4A11" w:rsidP="00FC4C05">
            <w:pPr>
              <w:jc w:val="lef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Шумадија и западна Србија</w:t>
            </w:r>
          </w:p>
        </w:tc>
        <w:tc>
          <w:tcPr>
            <w:tcW w:w="2698" w:type="dxa"/>
            <w:vAlign w:val="center"/>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63,00</w:t>
            </w:r>
          </w:p>
        </w:tc>
        <w:tc>
          <w:tcPr>
            <w:tcW w:w="2685" w:type="dxa"/>
            <w:vAlign w:val="center"/>
          </w:tcPr>
          <w:p w:rsidR="00CA4A11" w:rsidRPr="00C12624" w:rsidRDefault="00CA4A11" w:rsidP="00FC4C05">
            <w:pPr>
              <w:jc w:val="right"/>
              <w:rPr>
                <w:rFonts w:ascii="Times New Roman" w:hAnsi="Times New Roman" w:cs="Times New Roman"/>
                <w:color w:val="000000" w:themeColor="text1"/>
                <w:sz w:val="18"/>
                <w:szCs w:val="18"/>
                <w:lang w:val="sr-Cyrl-CS"/>
              </w:rPr>
            </w:pPr>
            <w:r w:rsidRPr="00C12624">
              <w:rPr>
                <w:rFonts w:ascii="Times New Roman" w:hAnsi="Times New Roman" w:cs="Times New Roman"/>
                <w:color w:val="000000" w:themeColor="text1"/>
                <w:sz w:val="18"/>
                <w:szCs w:val="18"/>
                <w:lang w:val="sr-Cyrl-CS"/>
              </w:rPr>
              <w:t>111,91</w:t>
            </w:r>
          </w:p>
        </w:tc>
      </w:tr>
    </w:tbl>
    <w:p w:rsidR="00CA4A11" w:rsidRPr="00C12624" w:rsidRDefault="00CA4A11" w:rsidP="00CA4A11">
      <w:pPr>
        <w:rPr>
          <w:rFonts w:ascii="Times New Roman" w:hAnsi="Times New Roman" w:cs="Times New Roman"/>
          <w:b/>
          <w:color w:val="000000" w:themeColor="text1"/>
          <w:szCs w:val="24"/>
          <w:lang w:val="sr-Cyrl-CS"/>
        </w:rPr>
      </w:pPr>
    </w:p>
    <w:p w:rsidR="00CA4A11" w:rsidRPr="00C12624" w:rsidRDefault="00CA4A11" w:rsidP="00CA4A11">
      <w:pPr>
        <w:ind w:firstLine="720"/>
        <w:rPr>
          <w:rFonts w:ascii="Times New Roman" w:hAnsi="Times New Roman" w:cs="Times New Roman"/>
          <w:color w:val="000000" w:themeColor="text1"/>
          <w:sz w:val="24"/>
          <w:szCs w:val="24"/>
          <w:lang w:val="sr-Cyrl-CS"/>
        </w:rPr>
      </w:pPr>
      <w:r w:rsidRPr="00C12624">
        <w:rPr>
          <w:rFonts w:ascii="Times New Roman" w:hAnsi="Times New Roman" w:cs="Times New Roman"/>
          <w:color w:val="000000" w:themeColor="text1"/>
          <w:sz w:val="24"/>
          <w:szCs w:val="24"/>
          <w:lang w:val="sr-Cyrl-CS"/>
        </w:rPr>
        <w:t>Цена возне карте је иста за градски саобраћај за све врсте друмских превозних средстава и износи 89 динара као и у току 2016. године.</w:t>
      </w:r>
    </w:p>
    <w:bookmarkEnd w:id="24"/>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color w:val="000000" w:themeColor="text1"/>
          <w:sz w:val="24"/>
          <w:szCs w:val="24"/>
          <w:lang w:val="sr-Cyrl-CS"/>
        </w:rPr>
        <w:t>Јавни превоз путника у градским подручјима је значајно већи у односу на ванградска подручја. Више од трећине становништва Републике Србије живи у шест највећих градских насеља и у њима се реализује око 95% путовања. С обзиром на то да 75% становништва живи у градовима,</w:t>
      </w:r>
      <w:r w:rsidRPr="00C12624">
        <w:rPr>
          <w:rFonts w:ascii="Times New Roman" w:hAnsi="Times New Roman" w:cs="Times New Roman"/>
          <w:sz w:val="24"/>
          <w:szCs w:val="24"/>
          <w:lang w:val="sr-Cyrl-CS"/>
        </w:rPr>
        <w:t xml:space="preserve"> транспортним услугама и инфраструктури у градовима потребна је посебна пажња.</w:t>
      </w: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Стратешки циљеви јавног градског и приградског превоза путника у свим видовима које пр</w:t>
      </w:r>
      <w:r>
        <w:rPr>
          <w:rFonts w:ascii="Times New Roman" w:hAnsi="Times New Roman" w:cs="Times New Roman"/>
          <w:sz w:val="24"/>
          <w:szCs w:val="24"/>
          <w:lang w:val="sr-Cyrl-CS"/>
        </w:rPr>
        <w:t>о</w:t>
      </w:r>
      <w:r w:rsidRPr="00C12624">
        <w:rPr>
          <w:rFonts w:ascii="Times New Roman" w:hAnsi="Times New Roman" w:cs="Times New Roman"/>
          <w:sz w:val="24"/>
          <w:szCs w:val="24"/>
          <w:lang w:val="sr-Cyrl-CS"/>
        </w:rPr>
        <w:t>писује ова комунална делатност, морају бити одређени на државном нивоу, а локална самоуправа треба да буде стимулисана да би те циљеве реализовала у оквиру свог специфичног окружења, услова, интереса и расположивих средстава. Специфични циљеви су: 1) припремање дугорочних планова (и буџета) за јавни градски и приградски превоз путника; 2) повећање капацитета и нивоа квалитета услуга у јавном градском и приградском превозу путника; 3) стимулисање коришћења јавног градског и приградског превоза путника уместо приватних возила у градским подручјима; 4) модернизовање возних паркова; 5) развијање резервисане транспортне инфраструктуре за јавни, пешачки и бициклистички саобраћај и транспорт где год је то могуће; 6) прилагођавање транспортне инфраструктуре и возила специфичним групама корисника (деца, особе са посебним потребама, старије особе итд.).</w:t>
      </w:r>
    </w:p>
    <w:p w:rsidR="00CA4A11" w:rsidRPr="00C12624" w:rsidRDefault="00CA4A11" w:rsidP="00CA4A11">
      <w:pPr>
        <w:rPr>
          <w:rFonts w:ascii="Times New Roman" w:hAnsi="Times New Roman" w:cs="Times New Roman"/>
          <w:sz w:val="24"/>
          <w:szCs w:val="24"/>
          <w:lang w:val="sr-Cyrl-CS"/>
        </w:rPr>
      </w:pPr>
    </w:p>
    <w:p w:rsidR="00CA4A11" w:rsidRPr="00C12624" w:rsidRDefault="00CA4A11" w:rsidP="00CA4A11">
      <w:pPr>
        <w:ind w:firstLine="720"/>
        <w:rPr>
          <w:rFonts w:ascii="Times New Roman" w:hAnsi="Times New Roman" w:cs="Times New Roman"/>
          <w:sz w:val="24"/>
          <w:szCs w:val="24"/>
          <w:lang w:val="sr-Cyrl-CS"/>
        </w:rPr>
      </w:pPr>
    </w:p>
    <w:p w:rsidR="00CA4A11" w:rsidRPr="00C12624" w:rsidRDefault="00CA4A11" w:rsidP="00CA4A11">
      <w:pPr>
        <w:pStyle w:val="ListParagraph"/>
        <w:numPr>
          <w:ilvl w:val="0"/>
          <w:numId w:val="9"/>
        </w:numPr>
        <w:spacing w:after="0" w:line="240" w:lineRule="auto"/>
        <w:jc w:val="center"/>
        <w:rPr>
          <w:rFonts w:ascii="Times New Roman" w:eastAsia="MS Mincho" w:hAnsi="Times New Roman"/>
          <w:sz w:val="24"/>
          <w:szCs w:val="24"/>
          <w:u w:val="single"/>
          <w:lang w:val="sr-Cyrl-CS"/>
        </w:rPr>
      </w:pPr>
      <w:r w:rsidRPr="00C12624">
        <w:rPr>
          <w:rFonts w:ascii="Times New Roman" w:eastAsia="MS Mincho" w:hAnsi="Times New Roman"/>
          <w:b/>
          <w:sz w:val="24"/>
          <w:szCs w:val="24"/>
          <w:lang w:val="sr-Cyrl-CS"/>
        </w:rPr>
        <w:t>Циљеви доношења закона</w:t>
      </w:r>
      <w:r w:rsidRPr="00C12624">
        <w:rPr>
          <w:rFonts w:ascii="Times New Roman" w:eastAsia="MS Mincho" w:hAnsi="Times New Roman"/>
          <w:sz w:val="24"/>
          <w:szCs w:val="24"/>
          <w:lang w:val="sr-Cyrl-CS"/>
        </w:rPr>
        <w:t>:</w:t>
      </w:r>
    </w:p>
    <w:p w:rsidR="00CA4A11" w:rsidRPr="00C12624" w:rsidRDefault="00CA4A11" w:rsidP="00CA4A11">
      <w:pPr>
        <w:pStyle w:val="ListParagraph"/>
        <w:spacing w:after="0" w:line="240" w:lineRule="auto"/>
        <w:jc w:val="both"/>
        <w:rPr>
          <w:rFonts w:ascii="Times New Roman" w:eastAsia="MS Mincho" w:hAnsi="Times New Roman"/>
          <w:b/>
          <w:sz w:val="24"/>
          <w:szCs w:val="24"/>
          <w:lang w:val="sr-Cyrl-CS"/>
        </w:rPr>
      </w:pPr>
    </w:p>
    <w:p w:rsidR="00CA4A11" w:rsidRPr="00C12624" w:rsidRDefault="00CA4A11" w:rsidP="00CA4A11">
      <w:pPr>
        <w:ind w:firstLine="720"/>
        <w:rPr>
          <w:rFonts w:ascii="Times New Roman" w:eastAsia="MS Mincho" w:hAnsi="Times New Roman" w:cs="Times New Roman"/>
          <w:sz w:val="24"/>
          <w:szCs w:val="24"/>
          <w:lang w:val="sr-Cyrl-CS"/>
        </w:rPr>
      </w:pPr>
      <w:r w:rsidRPr="00C12624">
        <w:rPr>
          <w:rFonts w:ascii="Times New Roman" w:eastAsia="MS Mincho" w:hAnsi="Times New Roman" w:cs="Times New Roman"/>
          <w:sz w:val="24"/>
          <w:szCs w:val="24"/>
          <w:lang w:val="sr-Cyrl-CS"/>
        </w:rPr>
        <w:t xml:space="preserve">Због значаја комуналних делатности за живот у градовима и другим насељима, јасно је да затечене проблеме треба што је могуће пре решавати, али на добро осмишљен и целовит начин. Парцијалним решењима једноставно није могуће реформисати овај део </w:t>
      </w:r>
      <w:r w:rsidRPr="00C12624">
        <w:rPr>
          <w:rFonts w:ascii="Times New Roman" w:eastAsia="MS Mincho" w:hAnsi="Times New Roman" w:cs="Times New Roman"/>
          <w:sz w:val="24"/>
          <w:szCs w:val="24"/>
          <w:lang w:val="sr-Cyrl-CS"/>
        </w:rPr>
        <w:lastRenderedPageBreak/>
        <w:t>привреде. Локалним самоуправама као доносиоцима одлука и те како је потребан јасан законодавни оквир, али и усмерење и политика трансформације формулисана на републичком нивоу.</w:t>
      </w:r>
    </w:p>
    <w:p w:rsidR="00CA4A11" w:rsidRPr="00C12624" w:rsidRDefault="00CA4A11" w:rsidP="00CA4A11">
      <w:pPr>
        <w:ind w:firstLine="720"/>
        <w:rPr>
          <w:rFonts w:ascii="Times New Roman" w:eastAsia="MS Mincho" w:hAnsi="Times New Roman" w:cs="Times New Roman"/>
          <w:sz w:val="24"/>
          <w:szCs w:val="24"/>
          <w:lang w:val="sr-Cyrl-CS"/>
        </w:rPr>
      </w:pPr>
      <w:r w:rsidRPr="00C12624">
        <w:rPr>
          <w:rFonts w:ascii="Times New Roman" w:eastAsia="MS Mincho" w:hAnsi="Times New Roman" w:cs="Times New Roman"/>
          <w:sz w:val="24"/>
          <w:szCs w:val="24"/>
          <w:lang w:val="sr-Cyrl-CS"/>
        </w:rPr>
        <w:t>Целовито планирање промена у комуналном сектору свакако треба да пође од постојећих јавних комуналних предузећа која пружају комуналне услуге највећем делу становништва. Ту треба преиспитати њихов укупан статус, линије управљања и руковођења, али треба предвидети и мере за потпуну консолидацију ових предузећа која би омогућила пословање на дугорочно одрживим основама и оживљавање инвестиционе активности.</w:t>
      </w:r>
    </w:p>
    <w:p w:rsidR="00CA4A11" w:rsidRPr="00C12624" w:rsidRDefault="00CA4A11" w:rsidP="00CA4A11">
      <w:pPr>
        <w:ind w:firstLine="720"/>
        <w:rPr>
          <w:rFonts w:ascii="Times New Roman" w:eastAsia="MS Mincho" w:hAnsi="Times New Roman" w:cs="Times New Roman"/>
          <w:sz w:val="24"/>
          <w:szCs w:val="24"/>
          <w:lang w:val="sr-Cyrl-CS"/>
        </w:rPr>
      </w:pPr>
      <w:r w:rsidRPr="00C12624">
        <w:rPr>
          <w:rFonts w:ascii="Times New Roman" w:eastAsia="MS Mincho" w:hAnsi="Times New Roman" w:cs="Times New Roman"/>
          <w:sz w:val="24"/>
          <w:szCs w:val="24"/>
          <w:lang w:val="sr-Cyrl-CS"/>
        </w:rPr>
        <w:t xml:space="preserve">Циљеви који се постижу доношењем Закона о допуни Закона о комуналним делатностима су стварање услова за повећање улагања у комуналном сектору и усклађивање принципа обављања комуналне делатности са најбољом међународном праксом. </w:t>
      </w:r>
    </w:p>
    <w:p w:rsidR="00CA4A11" w:rsidRPr="00C12624" w:rsidRDefault="00CA4A11" w:rsidP="00CA4A11">
      <w:pPr>
        <w:ind w:left="142" w:firstLine="578"/>
        <w:rPr>
          <w:rFonts w:ascii="Times New Roman" w:hAnsi="Times New Roman" w:cs="Times New Roman"/>
          <w:sz w:val="24"/>
          <w:szCs w:val="24"/>
          <w:lang w:val="sr-Cyrl-CS"/>
        </w:rPr>
      </w:pPr>
      <w:r w:rsidRPr="00C12624">
        <w:rPr>
          <w:rFonts w:ascii="Times New Roman" w:hAnsi="Times New Roman" w:cs="Times New Roman"/>
          <w:sz w:val="24"/>
          <w:szCs w:val="24"/>
          <w:lang w:val="sr-Cyrl-CS"/>
        </w:rPr>
        <w:t>У том смислу, циљеви који ће се постићи доношењем овог закона су:</w:t>
      </w:r>
    </w:p>
    <w:p w:rsidR="00CA4A11" w:rsidRPr="00C12624" w:rsidRDefault="00CA4A11" w:rsidP="00CA4A11">
      <w:pPr>
        <w:pStyle w:val="ListParagraph"/>
        <w:numPr>
          <w:ilvl w:val="0"/>
          <w:numId w:val="14"/>
        </w:numPr>
        <w:tabs>
          <w:tab w:val="left" w:pos="709"/>
        </w:tabs>
        <w:spacing w:after="0" w:line="240" w:lineRule="auto"/>
        <w:ind w:left="0" w:firstLine="426"/>
        <w:jc w:val="both"/>
        <w:rPr>
          <w:rFonts w:ascii="Times New Roman" w:hAnsi="Times New Roman"/>
          <w:sz w:val="24"/>
          <w:szCs w:val="24"/>
          <w:lang w:val="sr-Cyrl-CS"/>
        </w:rPr>
      </w:pPr>
      <w:r w:rsidRPr="00C12624">
        <w:rPr>
          <w:rFonts w:ascii="Times New Roman" w:hAnsi="Times New Roman"/>
          <w:sz w:val="24"/>
          <w:szCs w:val="24"/>
          <w:lang w:val="sr-Cyrl-CS"/>
        </w:rPr>
        <w:t>побољшање ефикасности, квалитета и рационалности обављања комуналних услуга као делатности од општег интереса;</w:t>
      </w:r>
    </w:p>
    <w:p w:rsidR="00CA4A11" w:rsidRPr="00C12624" w:rsidRDefault="00CA4A11" w:rsidP="00CA4A11">
      <w:pPr>
        <w:pStyle w:val="ListParagraph"/>
        <w:numPr>
          <w:ilvl w:val="0"/>
          <w:numId w:val="14"/>
        </w:numPr>
        <w:spacing w:after="0" w:line="240" w:lineRule="auto"/>
        <w:ind w:left="0" w:firstLine="425"/>
        <w:jc w:val="both"/>
        <w:rPr>
          <w:rFonts w:ascii="Times New Roman" w:hAnsi="Times New Roman"/>
          <w:sz w:val="24"/>
          <w:szCs w:val="24"/>
          <w:lang w:val="sr-Cyrl-CS"/>
        </w:rPr>
      </w:pPr>
      <w:r w:rsidRPr="00C12624">
        <w:rPr>
          <w:rFonts w:ascii="Times New Roman" w:hAnsi="Times New Roman"/>
          <w:sz w:val="24"/>
          <w:szCs w:val="24"/>
          <w:lang w:val="sr-Cyrl-CS"/>
        </w:rPr>
        <w:t>побољшање ефикасног, оперативног, организационог и техничког пословања вршилаца комуналне делатности;</w:t>
      </w:r>
    </w:p>
    <w:p w:rsidR="00CA4A11" w:rsidRPr="00C12624" w:rsidRDefault="00CA4A11" w:rsidP="00CA4A11">
      <w:pPr>
        <w:pStyle w:val="ListParagraph"/>
        <w:numPr>
          <w:ilvl w:val="0"/>
          <w:numId w:val="14"/>
        </w:numPr>
        <w:spacing w:after="0" w:line="240" w:lineRule="auto"/>
        <w:ind w:left="0" w:firstLine="425"/>
        <w:jc w:val="both"/>
        <w:rPr>
          <w:rFonts w:ascii="Times New Roman" w:hAnsi="Times New Roman"/>
          <w:sz w:val="24"/>
          <w:szCs w:val="24"/>
          <w:lang w:val="sr-Cyrl-CS"/>
        </w:rPr>
      </w:pPr>
      <w:r w:rsidRPr="00C12624">
        <w:rPr>
          <w:rFonts w:ascii="Times New Roman" w:hAnsi="Times New Roman"/>
          <w:sz w:val="24"/>
          <w:szCs w:val="24"/>
          <w:lang w:val="sr-Cyrl-CS"/>
        </w:rPr>
        <w:t>омогућава се и изградња комуналне инфраструктуре која изискује знатна финансијска средства које јединице локалне самоуправе без приватног партнера нису у позицији да изграде, а што у крајњем исходу има утицај на повећање квалитета комуналне услуге за крајње кориснике – грађане и грађанке Републике Србије.</w:t>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r w:rsidRPr="00C12624">
        <w:rPr>
          <w:rFonts w:ascii="Times New Roman" w:hAnsi="Times New Roman"/>
          <w:sz w:val="24"/>
          <w:szCs w:val="24"/>
          <w:lang w:val="sr-Cyrl-CS"/>
        </w:rPr>
        <w:tab/>
      </w:r>
    </w:p>
    <w:p w:rsidR="00CA4A11" w:rsidRPr="00C12624" w:rsidRDefault="00CA4A11" w:rsidP="00CA4A11">
      <w:pPr>
        <w:ind w:firstLine="644"/>
        <w:rPr>
          <w:rFonts w:ascii="Times New Roman" w:hAnsi="Times New Roman" w:cs="Times New Roman"/>
          <w:sz w:val="24"/>
          <w:szCs w:val="24"/>
          <w:lang w:val="sr-Cyrl-CS"/>
        </w:rPr>
      </w:pPr>
    </w:p>
    <w:p w:rsidR="00CA4A11" w:rsidRPr="00C12624" w:rsidRDefault="00CA4A11" w:rsidP="00CA4A11">
      <w:pPr>
        <w:pStyle w:val="ListParagraph"/>
        <w:numPr>
          <w:ilvl w:val="0"/>
          <w:numId w:val="9"/>
        </w:numPr>
        <w:spacing w:after="0" w:line="240" w:lineRule="auto"/>
        <w:ind w:left="993"/>
        <w:jc w:val="center"/>
        <w:rPr>
          <w:rFonts w:ascii="Times New Roman" w:hAnsi="Times New Roman"/>
          <w:b/>
          <w:sz w:val="24"/>
          <w:szCs w:val="24"/>
          <w:lang w:val="sr-Cyrl-CS"/>
        </w:rPr>
      </w:pPr>
      <w:r w:rsidRPr="00C12624">
        <w:rPr>
          <w:rFonts w:ascii="Times New Roman" w:hAnsi="Times New Roman"/>
          <w:b/>
          <w:sz w:val="24"/>
          <w:szCs w:val="24"/>
          <w:lang w:val="sr-Cyrl-CS"/>
        </w:rPr>
        <w:t>Да ли су разматране друге могућности за решавање проблема:</w:t>
      </w:r>
    </w:p>
    <w:p w:rsidR="00CA4A11" w:rsidRPr="00C12624" w:rsidRDefault="00CA4A11" w:rsidP="00CA4A11">
      <w:pPr>
        <w:ind w:left="284"/>
        <w:rPr>
          <w:rFonts w:ascii="Times New Roman" w:hAnsi="Times New Roman" w:cs="Times New Roman"/>
          <w:sz w:val="24"/>
          <w:szCs w:val="24"/>
          <w:lang w:val="sr-Cyrl-CS" w:eastAsia="sr-Latn-CS"/>
        </w:rPr>
      </w:pPr>
    </w:p>
    <w:p w:rsidR="00CA4A11" w:rsidRPr="00C12624" w:rsidRDefault="00CA4A11" w:rsidP="00CA4A11">
      <w:pPr>
        <w:ind w:firstLine="633"/>
        <w:rPr>
          <w:rFonts w:ascii="Times New Roman" w:hAnsi="Times New Roman" w:cs="Times New Roman"/>
          <w:b/>
          <w:sz w:val="24"/>
          <w:szCs w:val="24"/>
          <w:lang w:val="sr-Cyrl-CS"/>
        </w:rPr>
      </w:pPr>
      <w:r w:rsidRPr="00C12624">
        <w:rPr>
          <w:rFonts w:ascii="Times New Roman" w:hAnsi="Times New Roman" w:cs="Times New Roman"/>
          <w:sz w:val="24"/>
          <w:szCs w:val="24"/>
          <w:lang w:val="sr-Cyrl-CS" w:eastAsia="sr-Latn-CS"/>
        </w:rPr>
        <w:t xml:space="preserve">Не постоје друге могућности за решавање наведених проблема и за уређивање ове области, изузев доношења Закона о допуни Закона о комуналним делатностима, а све у </w:t>
      </w:r>
      <w:r w:rsidRPr="00C12624">
        <w:rPr>
          <w:rFonts w:ascii="Times New Roman" w:hAnsi="Times New Roman" w:cs="Times New Roman"/>
          <w:sz w:val="24"/>
          <w:szCs w:val="24"/>
          <w:lang w:val="sr-Cyrl-CS"/>
        </w:rPr>
        <w:t>циљу постизања одговарајућих материјалних услова који ће омогућити квалитетнији живот корисника комуналних услуга.</w:t>
      </w:r>
    </w:p>
    <w:p w:rsidR="00CA4A11" w:rsidRPr="00C12624" w:rsidRDefault="00CA4A11" w:rsidP="00CA4A11">
      <w:pPr>
        <w:ind w:left="993" w:firstLine="644"/>
        <w:rPr>
          <w:rFonts w:ascii="Times New Roman" w:hAnsi="Times New Roman" w:cs="Times New Roman"/>
          <w:sz w:val="24"/>
          <w:szCs w:val="24"/>
          <w:lang w:val="sr-Cyrl-CS"/>
        </w:rPr>
      </w:pPr>
    </w:p>
    <w:p w:rsidR="00CA4A11" w:rsidRPr="00C12624" w:rsidRDefault="00CA4A11" w:rsidP="00CA4A11">
      <w:pPr>
        <w:pStyle w:val="ListParagraph"/>
        <w:numPr>
          <w:ilvl w:val="0"/>
          <w:numId w:val="9"/>
        </w:numPr>
        <w:spacing w:after="0" w:line="240" w:lineRule="auto"/>
        <w:jc w:val="center"/>
        <w:rPr>
          <w:rFonts w:ascii="Times New Roman" w:hAnsi="Times New Roman"/>
          <w:sz w:val="24"/>
          <w:szCs w:val="24"/>
          <w:lang w:val="sr-Cyrl-CS"/>
        </w:rPr>
      </w:pPr>
      <w:r w:rsidRPr="00C12624">
        <w:rPr>
          <w:rFonts w:ascii="Times New Roman" w:hAnsi="Times New Roman"/>
          <w:b/>
          <w:sz w:val="24"/>
          <w:szCs w:val="24"/>
          <w:lang w:val="sr-Cyrl-CS"/>
        </w:rPr>
        <w:t>Зашто је доношење закона најбоље за решавање проблема:</w:t>
      </w:r>
    </w:p>
    <w:p w:rsidR="00CA4A11" w:rsidRPr="00C12624" w:rsidRDefault="00CA4A11" w:rsidP="00CA4A11">
      <w:pPr>
        <w:pStyle w:val="ListParagraph"/>
        <w:spacing w:after="0" w:line="240" w:lineRule="auto"/>
        <w:jc w:val="both"/>
        <w:rPr>
          <w:rFonts w:ascii="Times New Roman" w:hAnsi="Times New Roman"/>
          <w:sz w:val="24"/>
          <w:szCs w:val="24"/>
          <w:lang w:val="sr-Cyrl-CS"/>
        </w:rPr>
      </w:pPr>
    </w:p>
    <w:p w:rsidR="00CA4A11" w:rsidRPr="00C12624" w:rsidRDefault="00CA4A11" w:rsidP="00CA4A11">
      <w:pPr>
        <w:ind w:firstLine="644"/>
        <w:rPr>
          <w:rFonts w:ascii="Times New Roman" w:hAnsi="Times New Roman" w:cs="Times New Roman"/>
          <w:sz w:val="24"/>
          <w:szCs w:val="24"/>
          <w:lang w:val="sr-Cyrl-CS"/>
        </w:rPr>
      </w:pPr>
      <w:r w:rsidRPr="00C12624">
        <w:rPr>
          <w:rFonts w:ascii="Times New Roman" w:hAnsi="Times New Roman" w:cs="Times New Roman"/>
          <w:sz w:val="24"/>
          <w:szCs w:val="24"/>
          <w:lang w:val="sr-Cyrl-CS"/>
        </w:rPr>
        <w:t>Доношењем Закона о допуни Закона о комуналним делатностима прецизираће се начин на који правна лица из јавног сектора могу да организују оба</w:t>
      </w:r>
      <w:r>
        <w:rPr>
          <w:rFonts w:ascii="Times New Roman" w:hAnsi="Times New Roman" w:cs="Times New Roman"/>
          <w:sz w:val="24"/>
          <w:szCs w:val="24"/>
          <w:lang w:val="sr-Cyrl-CS"/>
        </w:rPr>
        <w:t>в</w:t>
      </w:r>
      <w:r w:rsidRPr="00C12624">
        <w:rPr>
          <w:rFonts w:ascii="Times New Roman" w:hAnsi="Times New Roman" w:cs="Times New Roman"/>
          <w:sz w:val="24"/>
          <w:szCs w:val="24"/>
          <w:lang w:val="sr-Cyrl-CS"/>
        </w:rPr>
        <w:t>љање комуналне делатности сна</w:t>
      </w:r>
      <w:r>
        <w:rPr>
          <w:rFonts w:ascii="Times New Roman" w:hAnsi="Times New Roman" w:cs="Times New Roman"/>
          <w:sz w:val="24"/>
          <w:szCs w:val="24"/>
          <w:lang w:val="sr-Cyrl-CS"/>
        </w:rPr>
        <w:t>дб</w:t>
      </w:r>
      <w:r w:rsidRPr="00C12624">
        <w:rPr>
          <w:rFonts w:ascii="Times New Roman" w:hAnsi="Times New Roman" w:cs="Times New Roman"/>
          <w:sz w:val="24"/>
          <w:szCs w:val="24"/>
          <w:lang w:val="sr-Cyrl-CS"/>
        </w:rPr>
        <w:t xml:space="preserve">евања водом и комуналне делатности </w:t>
      </w:r>
      <w:r w:rsidRPr="00C12624">
        <w:rPr>
          <w:rFonts w:ascii="Times New Roman" w:hAnsi="Times New Roman" w:cs="Times New Roman"/>
          <w:color w:val="000000" w:themeColor="text1"/>
          <w:sz w:val="24"/>
          <w:szCs w:val="24"/>
          <w:lang w:val="sr-Cyrl-CS"/>
        </w:rPr>
        <w:t>обављања јавног линијског превоза путника тролејбусима и трамвајима</w:t>
      </w:r>
      <w:r w:rsidRPr="00C12624">
        <w:rPr>
          <w:rFonts w:ascii="Times New Roman" w:hAnsi="Times New Roman" w:cs="Times New Roman"/>
          <w:sz w:val="24"/>
          <w:szCs w:val="24"/>
          <w:lang w:val="sr-Cyrl-CS"/>
        </w:rPr>
        <w:t xml:space="preserve"> и уредити могућност да се подигне квалитет вршења тих комуналних делатности који је у општем јавном интересу. </w:t>
      </w:r>
    </w:p>
    <w:p w:rsidR="00CA4A11" w:rsidRPr="00C12624" w:rsidRDefault="00CA4A11" w:rsidP="00CA4A11">
      <w:pPr>
        <w:ind w:firstLine="644"/>
        <w:rPr>
          <w:rFonts w:ascii="Times New Roman" w:eastAsia="Calibri" w:hAnsi="Times New Roman" w:cs="Times New Roman"/>
          <w:sz w:val="24"/>
          <w:szCs w:val="24"/>
          <w:lang w:val="sr-Cyrl-CS"/>
        </w:rPr>
      </w:pPr>
      <w:r w:rsidRPr="00C12624">
        <w:rPr>
          <w:rFonts w:ascii="Times New Roman" w:eastAsia="Calibri" w:hAnsi="Times New Roman" w:cs="Times New Roman"/>
          <w:sz w:val="24"/>
          <w:szCs w:val="24"/>
          <w:lang w:val="sr-Cyrl-CS"/>
        </w:rPr>
        <w:t>Наиме, у случају статус кво опције (енгл. basecase – непромењено стање), односно не предузимања мера државне интервенције, које могу бити нерегулаторне и регулаторне, није могуће решити описане проблеме. Проблеме ове области без утицаја државе није могуће решити, а решавање предметних проблема није могуће постићи ни у случају самосталног деловања тржишних механизама.</w:t>
      </w:r>
    </w:p>
    <w:p w:rsidR="00CA4A11" w:rsidRPr="00C12624" w:rsidRDefault="00CA4A11" w:rsidP="00CA4A11">
      <w:pPr>
        <w:ind w:firstLine="644"/>
        <w:rPr>
          <w:rFonts w:ascii="Times New Roman" w:eastAsia="Calibri" w:hAnsi="Times New Roman" w:cs="Times New Roman"/>
          <w:sz w:val="24"/>
          <w:szCs w:val="24"/>
          <w:lang w:val="sr-Cyrl-CS"/>
        </w:rPr>
      </w:pPr>
      <w:r w:rsidRPr="00C12624">
        <w:rPr>
          <w:rFonts w:ascii="Times New Roman" w:eastAsia="Calibri" w:hAnsi="Times New Roman" w:cs="Times New Roman"/>
          <w:sz w:val="24"/>
          <w:szCs w:val="24"/>
          <w:lang w:val="sr-Cyrl-CS"/>
        </w:rPr>
        <w:t xml:space="preserve">Нерегулаторне мере социјалне природе, </w:t>
      </w:r>
      <w:r w:rsidRPr="00C12624">
        <w:rPr>
          <w:rFonts w:ascii="Times New Roman" w:hAnsi="Times New Roman" w:cs="Times New Roman"/>
          <w:sz w:val="24"/>
          <w:szCs w:val="24"/>
          <w:lang w:val="sr-Cyrl-CS"/>
        </w:rPr>
        <w:t xml:space="preserve">са нижим степеном државне интервенције, попут различитих врста акција у виду информационих, образовних и медијских кампања </w:t>
      </w:r>
      <w:r w:rsidRPr="00C12624">
        <w:rPr>
          <w:rFonts w:ascii="Times New Roman" w:hAnsi="Times New Roman" w:cs="Times New Roman"/>
          <w:sz w:val="24"/>
          <w:szCs w:val="24"/>
          <w:lang w:val="sr-Cyrl-CS"/>
        </w:rPr>
        <w:lastRenderedPageBreak/>
        <w:t xml:space="preserve">усмерених на подизање нивоа свести, неопходно је да прате примену овог закона у пракси, али оне саме, изоловане, не могу решити предметне проблеме. </w:t>
      </w:r>
    </w:p>
    <w:p w:rsidR="00CA4A11" w:rsidRPr="00C12624" w:rsidRDefault="00CA4A11" w:rsidP="00CA4A11">
      <w:pPr>
        <w:ind w:firstLine="644"/>
        <w:rPr>
          <w:rFonts w:ascii="Times New Roman" w:eastAsia="Calibri" w:hAnsi="Times New Roman" w:cs="Times New Roman"/>
          <w:sz w:val="24"/>
          <w:szCs w:val="24"/>
          <w:lang w:val="sr-Cyrl-CS"/>
        </w:rPr>
      </w:pPr>
      <w:r w:rsidRPr="00C12624">
        <w:rPr>
          <w:rFonts w:ascii="Times New Roman" w:eastAsia="Calibri" w:hAnsi="Times New Roman" w:cs="Times New Roman"/>
          <w:sz w:val="24"/>
          <w:szCs w:val="24"/>
          <w:lang w:val="sr-Cyrl-CS"/>
        </w:rPr>
        <w:t>У оквиру мера регулаторне природе као најбоље решење јавља се доношење Закона о допуни Закона о комуналним делатностима, с обзиром на хитност поступка регулације комуналне делатности, из разлога општег интереса.</w:t>
      </w:r>
    </w:p>
    <w:p w:rsidR="00CA4A11" w:rsidRPr="00C12624" w:rsidRDefault="00CA4A11" w:rsidP="00CA4A11">
      <w:pPr>
        <w:ind w:left="142" w:firstLine="218"/>
        <w:rPr>
          <w:rFonts w:ascii="Times New Roman" w:hAnsi="Times New Roman" w:cs="Times New Roman"/>
          <w:sz w:val="24"/>
          <w:szCs w:val="24"/>
          <w:lang w:val="sr-Cyrl-CS"/>
        </w:rPr>
      </w:pPr>
    </w:p>
    <w:p w:rsidR="00CA4A11" w:rsidRPr="00C12624" w:rsidRDefault="00CA4A11" w:rsidP="00CA4A11">
      <w:pPr>
        <w:pStyle w:val="ListParagraph"/>
        <w:numPr>
          <w:ilvl w:val="0"/>
          <w:numId w:val="9"/>
        </w:numPr>
        <w:spacing w:after="0" w:line="240" w:lineRule="auto"/>
        <w:jc w:val="center"/>
        <w:rPr>
          <w:rFonts w:ascii="Times New Roman" w:hAnsi="Times New Roman"/>
          <w:b/>
          <w:sz w:val="24"/>
          <w:szCs w:val="24"/>
          <w:lang w:val="sr-Cyrl-CS"/>
        </w:rPr>
      </w:pPr>
      <w:r w:rsidRPr="00C12624">
        <w:rPr>
          <w:rFonts w:ascii="Times New Roman" w:hAnsi="Times New Roman"/>
          <w:b/>
          <w:sz w:val="24"/>
          <w:szCs w:val="24"/>
          <w:lang w:val="sr-Cyrl-CS"/>
        </w:rPr>
        <w:t>На кога и како ће највероватније утицати решења предложена у закону:</w:t>
      </w:r>
    </w:p>
    <w:p w:rsidR="00CA4A11" w:rsidRPr="00C12624" w:rsidRDefault="00CA4A11" w:rsidP="00CA4A11">
      <w:pPr>
        <w:pStyle w:val="ListParagraph"/>
        <w:spacing w:after="0" w:line="240" w:lineRule="auto"/>
        <w:jc w:val="both"/>
        <w:rPr>
          <w:rFonts w:ascii="Times New Roman" w:hAnsi="Times New Roman"/>
          <w:b/>
          <w:sz w:val="24"/>
          <w:szCs w:val="24"/>
          <w:lang w:val="sr-Cyrl-CS"/>
        </w:rPr>
      </w:pPr>
    </w:p>
    <w:p w:rsidR="00CA4A11" w:rsidRPr="00C12624" w:rsidRDefault="00CA4A11" w:rsidP="00CA4A11">
      <w:pPr>
        <w:ind w:firstLine="644"/>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У првој категорији субјеката регулације, на које ће предложена решења у закону утицати, налазе се пре свега јединице локалне самоуправе, које су по Уставу и закону одговорне за функционисање и развој комуналних делатности и које су као такве доносиоци свих кључних одлука. </w:t>
      </w:r>
    </w:p>
    <w:p w:rsidR="00CA4A11" w:rsidRPr="00C12624" w:rsidRDefault="00CA4A11" w:rsidP="00CA4A11">
      <w:pPr>
        <w:ind w:firstLine="644"/>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С обзиром на материју коју регулише, решења предложена у </w:t>
      </w:r>
      <w:r>
        <w:rPr>
          <w:rFonts w:ascii="Times New Roman" w:hAnsi="Times New Roman" w:cs="Times New Roman"/>
          <w:sz w:val="24"/>
          <w:szCs w:val="24"/>
          <w:lang w:val="sr-Cyrl-CS"/>
        </w:rPr>
        <w:t>Предлогу</w:t>
      </w:r>
      <w:r w:rsidRPr="00C12624">
        <w:rPr>
          <w:rFonts w:ascii="Times New Roman" w:hAnsi="Times New Roman" w:cs="Times New Roman"/>
          <w:sz w:val="24"/>
          <w:szCs w:val="24"/>
          <w:lang w:val="sr-Cyrl-CS"/>
        </w:rPr>
        <w:t xml:space="preserve"> закона непосредно ће подстицајно утицати на:</w:t>
      </w:r>
    </w:p>
    <w:p w:rsidR="00CA4A11" w:rsidRPr="00C12624" w:rsidRDefault="00CA4A11" w:rsidP="00CA4A11">
      <w:pPr>
        <w:pStyle w:val="ListParagraph"/>
        <w:numPr>
          <w:ilvl w:val="0"/>
          <w:numId w:val="4"/>
        </w:numPr>
        <w:spacing w:after="0" w:line="240" w:lineRule="auto"/>
        <w:ind w:left="0" w:firstLine="720"/>
        <w:jc w:val="both"/>
        <w:rPr>
          <w:rFonts w:ascii="Times New Roman" w:hAnsi="Times New Roman"/>
          <w:sz w:val="24"/>
          <w:szCs w:val="24"/>
          <w:lang w:val="sr-Cyrl-CS"/>
        </w:rPr>
      </w:pPr>
      <w:r w:rsidRPr="00C12624">
        <w:rPr>
          <w:rFonts w:ascii="Times New Roman" w:hAnsi="Times New Roman"/>
          <w:sz w:val="24"/>
          <w:szCs w:val="24"/>
          <w:lang w:val="sr-Cyrl-CS"/>
        </w:rPr>
        <w:t>јавна комунална предузећа, од којих се очекује да искористе могућности које закон пружа како би побољшала квалитет и доступност услуга и ојачала свој финансијски положај;</w:t>
      </w:r>
    </w:p>
    <w:p w:rsidR="00CA4A11" w:rsidRPr="00C12624" w:rsidRDefault="00CA4A11" w:rsidP="00CA4A11">
      <w:pPr>
        <w:pStyle w:val="ListParagraph"/>
        <w:numPr>
          <w:ilvl w:val="0"/>
          <w:numId w:val="4"/>
        </w:numPr>
        <w:spacing w:after="0" w:line="240" w:lineRule="auto"/>
        <w:ind w:left="0" w:firstLine="720"/>
        <w:jc w:val="both"/>
        <w:rPr>
          <w:rFonts w:ascii="Times New Roman" w:hAnsi="Times New Roman"/>
          <w:sz w:val="24"/>
          <w:szCs w:val="24"/>
          <w:lang w:val="sr-Cyrl-CS"/>
        </w:rPr>
      </w:pPr>
      <w:r w:rsidRPr="00C12624">
        <w:rPr>
          <w:rFonts w:ascii="Times New Roman" w:hAnsi="Times New Roman"/>
          <w:sz w:val="24"/>
          <w:szCs w:val="24"/>
          <w:lang w:val="sr-Cyrl-CS"/>
        </w:rPr>
        <w:t>привредна друштва и предузетнике кроз омогућавање већег броја услуга које може да врши приватни сектор;</w:t>
      </w:r>
    </w:p>
    <w:p w:rsidR="00CA4A11" w:rsidRPr="00C12624" w:rsidRDefault="00CA4A11" w:rsidP="00CA4A11">
      <w:pPr>
        <w:pStyle w:val="ListParagraph"/>
        <w:numPr>
          <w:ilvl w:val="0"/>
          <w:numId w:val="4"/>
        </w:numPr>
        <w:spacing w:after="0" w:line="240" w:lineRule="auto"/>
        <w:ind w:left="0" w:firstLine="720"/>
        <w:jc w:val="both"/>
        <w:rPr>
          <w:rFonts w:ascii="Times New Roman" w:hAnsi="Times New Roman"/>
          <w:sz w:val="24"/>
          <w:szCs w:val="24"/>
          <w:lang w:val="sr-Cyrl-CS"/>
        </w:rPr>
      </w:pPr>
      <w:r w:rsidRPr="00C12624">
        <w:rPr>
          <w:rFonts w:ascii="Times New Roman" w:hAnsi="Times New Roman"/>
          <w:sz w:val="24"/>
          <w:szCs w:val="24"/>
          <w:lang w:val="sr-Cyrl-CS"/>
        </w:rPr>
        <w:t>повећање заинтересованости приватних инвеститора за улагање у пројекте развоја и унапређења комуналне инфраструктуре;</w:t>
      </w:r>
    </w:p>
    <w:p w:rsidR="00CA4A11" w:rsidRPr="00C12624" w:rsidRDefault="00CA4A11" w:rsidP="00CA4A11">
      <w:pPr>
        <w:pStyle w:val="ListParagraph"/>
        <w:numPr>
          <w:ilvl w:val="0"/>
          <w:numId w:val="4"/>
        </w:numPr>
        <w:spacing w:after="0" w:line="240" w:lineRule="auto"/>
        <w:ind w:left="0" w:firstLine="720"/>
        <w:jc w:val="both"/>
        <w:rPr>
          <w:rFonts w:ascii="Times New Roman" w:hAnsi="Times New Roman"/>
          <w:sz w:val="24"/>
          <w:szCs w:val="24"/>
          <w:lang w:val="sr-Cyrl-CS"/>
        </w:rPr>
      </w:pPr>
      <w:r w:rsidRPr="00C12624">
        <w:rPr>
          <w:rFonts w:ascii="Times New Roman" w:hAnsi="Times New Roman"/>
          <w:sz w:val="24"/>
          <w:szCs w:val="24"/>
          <w:lang w:val="sr-Cyrl-CS"/>
        </w:rPr>
        <w:t>кориснике услуга, грађане и привредне субјекте, који могу да очекују постепено јачање одговорности вршилаца комуналних делатности, односно испоручилаца комуналних производа и услуга који преузимају пуну одговорност за обухват, обим и квалитет производа и услуге.</w:t>
      </w:r>
    </w:p>
    <w:p w:rsidR="00CA4A11" w:rsidRPr="00C12624" w:rsidRDefault="00CA4A11" w:rsidP="00CA4A11">
      <w:pPr>
        <w:pStyle w:val="ListParagraph"/>
        <w:spacing w:after="0" w:line="240" w:lineRule="auto"/>
        <w:jc w:val="both"/>
        <w:rPr>
          <w:rFonts w:ascii="Times New Roman" w:hAnsi="Times New Roman"/>
          <w:sz w:val="24"/>
          <w:szCs w:val="24"/>
          <w:lang w:val="sr-Cyrl-CS"/>
        </w:rPr>
      </w:pPr>
    </w:p>
    <w:p w:rsidR="00CA4A11" w:rsidRPr="00C12624" w:rsidRDefault="00CA4A11" w:rsidP="00CA4A11">
      <w:pPr>
        <w:pStyle w:val="ListParagraph"/>
        <w:numPr>
          <w:ilvl w:val="0"/>
          <w:numId w:val="9"/>
        </w:numPr>
        <w:spacing w:after="0" w:line="240" w:lineRule="auto"/>
        <w:jc w:val="center"/>
        <w:rPr>
          <w:rFonts w:ascii="Times New Roman" w:hAnsi="Times New Roman"/>
          <w:b/>
          <w:sz w:val="24"/>
          <w:szCs w:val="24"/>
          <w:lang w:val="sr-Cyrl-CS"/>
        </w:rPr>
      </w:pPr>
      <w:r w:rsidRPr="00C12624">
        <w:rPr>
          <w:rFonts w:ascii="Times New Roman" w:hAnsi="Times New Roman"/>
          <w:b/>
          <w:sz w:val="24"/>
          <w:szCs w:val="24"/>
          <w:lang w:val="sr-Cyrl-CS"/>
        </w:rPr>
        <w:t>Који су трошкови које ће примена закона изазвати грађанима и привреди, посебно малим и средњим предузећима:</w:t>
      </w:r>
    </w:p>
    <w:p w:rsidR="00CA4A11" w:rsidRPr="00C12624" w:rsidRDefault="00CA4A11" w:rsidP="00CA4A11">
      <w:pPr>
        <w:ind w:left="142"/>
        <w:rPr>
          <w:rFonts w:ascii="Times New Roman" w:hAnsi="Times New Roman" w:cs="Times New Roman"/>
          <w:b/>
          <w:sz w:val="24"/>
          <w:szCs w:val="24"/>
          <w:lang w:val="sr-Cyrl-CS"/>
        </w:rPr>
      </w:pPr>
    </w:p>
    <w:p w:rsidR="00CA4A11" w:rsidRPr="00C12624" w:rsidRDefault="00CA4A11" w:rsidP="00CA4A11">
      <w:pPr>
        <w:ind w:firstLine="644"/>
        <w:rPr>
          <w:rFonts w:ascii="Times New Roman" w:hAnsi="Times New Roman" w:cs="Times New Roman"/>
          <w:sz w:val="24"/>
          <w:szCs w:val="24"/>
          <w:lang w:val="sr-Cyrl-CS"/>
        </w:rPr>
      </w:pPr>
      <w:r w:rsidRPr="00C12624">
        <w:rPr>
          <w:rFonts w:ascii="Times New Roman" w:hAnsi="Times New Roman" w:cs="Times New Roman"/>
          <w:sz w:val="24"/>
          <w:szCs w:val="24"/>
          <w:lang w:val="sr-Cyrl-CS"/>
        </w:rPr>
        <w:t>Овај закон системски уређује стање у комуналној области и као такав непосредно не регулише питања којима се генеришу трошкови субјеката регулације, међу којима су свакако најважније све категорије корисника комуналних услуга – група потрошача.</w:t>
      </w:r>
    </w:p>
    <w:p w:rsidR="00CA4A11" w:rsidRPr="00C12624" w:rsidRDefault="00CA4A11" w:rsidP="00CA4A11">
      <w:pPr>
        <w:ind w:firstLine="644"/>
        <w:rPr>
          <w:rFonts w:ascii="Times New Roman" w:hAnsi="Times New Roman" w:cs="Times New Roman"/>
          <w:sz w:val="24"/>
          <w:szCs w:val="24"/>
          <w:lang w:val="sr-Cyrl-CS"/>
        </w:rPr>
      </w:pPr>
      <w:r w:rsidRPr="00C12624">
        <w:rPr>
          <w:rFonts w:ascii="Times New Roman" w:hAnsi="Times New Roman" w:cs="Times New Roman"/>
          <w:sz w:val="24"/>
          <w:szCs w:val="24"/>
          <w:lang w:val="sr-Cyrl-CS"/>
        </w:rPr>
        <w:t>У складу са овом си</w:t>
      </w:r>
      <w:r>
        <w:rPr>
          <w:rFonts w:ascii="Times New Roman" w:hAnsi="Times New Roman" w:cs="Times New Roman"/>
          <w:sz w:val="24"/>
          <w:szCs w:val="24"/>
          <w:lang w:val="sr-Cyrl-CS"/>
        </w:rPr>
        <w:t>с</w:t>
      </w:r>
      <w:r w:rsidRPr="00C12624">
        <w:rPr>
          <w:rFonts w:ascii="Times New Roman" w:hAnsi="Times New Roman" w:cs="Times New Roman"/>
          <w:sz w:val="24"/>
          <w:szCs w:val="24"/>
          <w:lang w:val="sr-Cyrl-CS"/>
        </w:rPr>
        <w:t>темском поставком, као и Уставом, Република Србија око тих питања нема директну надлежност, већ све кључне одлуке о статусу вршиоца, начину финансирања комуналних делатности и висини евентуалних субвенција према вршиоцима делатности доносе надлежни органи јединица локалних самоуправа.</w:t>
      </w:r>
    </w:p>
    <w:p w:rsidR="00CA4A11" w:rsidRPr="00C12624" w:rsidRDefault="00CA4A11" w:rsidP="00CA4A11">
      <w:pPr>
        <w:ind w:firstLine="644"/>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У односу на важећи Закон о комуналним делатностима, </w:t>
      </w:r>
      <w:r>
        <w:rPr>
          <w:rFonts w:ascii="Times New Roman" w:hAnsi="Times New Roman" w:cs="Times New Roman"/>
          <w:sz w:val="24"/>
          <w:szCs w:val="24"/>
          <w:lang w:val="sr-Cyrl-CS"/>
        </w:rPr>
        <w:t>Предлог</w:t>
      </w:r>
      <w:r w:rsidRPr="00C12624">
        <w:rPr>
          <w:rFonts w:ascii="Times New Roman" w:hAnsi="Times New Roman" w:cs="Times New Roman"/>
          <w:sz w:val="24"/>
          <w:szCs w:val="24"/>
          <w:lang w:val="sr-Cyrl-CS"/>
        </w:rPr>
        <w:t xml:space="preserve"> закона не уноси нове елементе на основу којих би трошкови корисника услуга били већи од досадашњих.</w:t>
      </w:r>
    </w:p>
    <w:p w:rsidR="00CA4A11" w:rsidRPr="00C12624" w:rsidRDefault="00CA4A11" w:rsidP="00CA4A11">
      <w:pPr>
        <w:rPr>
          <w:rFonts w:ascii="Times New Roman" w:hAnsi="Times New Roman" w:cs="Times New Roman"/>
          <w:sz w:val="24"/>
          <w:szCs w:val="24"/>
          <w:lang w:val="sr-Cyrl-CS"/>
        </w:rPr>
      </w:pPr>
    </w:p>
    <w:p w:rsidR="00CA4A11" w:rsidRPr="00C12624" w:rsidRDefault="00CA4A11" w:rsidP="00CA4A11">
      <w:pPr>
        <w:pStyle w:val="ListParagraph"/>
        <w:numPr>
          <w:ilvl w:val="0"/>
          <w:numId w:val="9"/>
        </w:numPr>
        <w:spacing w:after="0" w:line="240" w:lineRule="auto"/>
        <w:jc w:val="center"/>
        <w:rPr>
          <w:rFonts w:ascii="Times New Roman" w:hAnsi="Times New Roman"/>
          <w:b/>
          <w:sz w:val="24"/>
          <w:szCs w:val="24"/>
          <w:lang w:val="sr-Cyrl-CS"/>
        </w:rPr>
      </w:pPr>
      <w:r w:rsidRPr="00C12624">
        <w:rPr>
          <w:rFonts w:ascii="Times New Roman" w:hAnsi="Times New Roman"/>
          <w:b/>
          <w:sz w:val="24"/>
          <w:szCs w:val="24"/>
          <w:lang w:val="sr-Cyrl-CS"/>
        </w:rPr>
        <w:t>Да ли су позитивни ефекти доношења закона такви да оправдавају трошкове:</w:t>
      </w:r>
    </w:p>
    <w:p w:rsidR="00CA4A11" w:rsidRPr="00C12624" w:rsidRDefault="00CA4A11" w:rsidP="00CA4A11">
      <w:pPr>
        <w:ind w:left="360"/>
        <w:rPr>
          <w:rFonts w:ascii="Times New Roman" w:hAnsi="Times New Roman" w:cs="Times New Roman"/>
          <w:b/>
          <w:sz w:val="24"/>
          <w:szCs w:val="24"/>
          <w:lang w:val="sr-Cyrl-CS"/>
        </w:rPr>
      </w:pPr>
    </w:p>
    <w:p w:rsidR="00CA4A11" w:rsidRPr="00C12624" w:rsidRDefault="00CA4A11" w:rsidP="00CA4A11">
      <w:pPr>
        <w:ind w:firstLine="644"/>
        <w:rPr>
          <w:rFonts w:ascii="Times New Roman" w:hAnsi="Times New Roman" w:cs="Times New Roman"/>
          <w:sz w:val="24"/>
          <w:szCs w:val="24"/>
          <w:lang w:val="sr-Cyrl-CS"/>
        </w:rPr>
      </w:pPr>
      <w:r w:rsidRPr="00C12624">
        <w:rPr>
          <w:rFonts w:ascii="Times New Roman" w:hAnsi="Times New Roman" w:cs="Times New Roman"/>
          <w:sz w:val="24"/>
          <w:szCs w:val="24"/>
          <w:lang w:val="sr-Cyrl-CS"/>
        </w:rPr>
        <w:t>С обзиром на циљеве које би Законом о допуни закона о комуналним делатностима требало остварити, који су постављени у јавном и општем интересу, као и да нису произашли нови трошкови које ове измене закона стварају, то постоје вишеструки позитивни ефекти доношења овог закона.</w:t>
      </w:r>
    </w:p>
    <w:p w:rsidR="00CA4A11" w:rsidRPr="00C12624" w:rsidRDefault="00CA4A11" w:rsidP="00CA4A11">
      <w:pPr>
        <w:ind w:firstLine="644"/>
        <w:rPr>
          <w:rFonts w:ascii="Times New Roman" w:hAnsi="Times New Roman" w:cs="Times New Roman"/>
          <w:sz w:val="24"/>
          <w:szCs w:val="24"/>
          <w:lang w:val="sr-Cyrl-CS"/>
        </w:rPr>
      </w:pPr>
      <w:r w:rsidRPr="00C12624">
        <w:rPr>
          <w:rFonts w:ascii="Times New Roman" w:hAnsi="Times New Roman" w:cs="Times New Roman"/>
          <w:sz w:val="24"/>
          <w:szCs w:val="24"/>
          <w:lang w:val="sr-Cyrl-CS"/>
        </w:rPr>
        <w:t>Користи ће имати:</w:t>
      </w:r>
    </w:p>
    <w:p w:rsidR="00CA4A11" w:rsidRPr="00C12624" w:rsidRDefault="00CA4A11" w:rsidP="00CA4A11">
      <w:pPr>
        <w:pStyle w:val="ListParagraph"/>
        <w:numPr>
          <w:ilvl w:val="0"/>
          <w:numId w:val="4"/>
        </w:numPr>
        <w:spacing w:after="0" w:line="240" w:lineRule="auto"/>
        <w:ind w:left="0" w:firstLine="720"/>
        <w:jc w:val="both"/>
        <w:rPr>
          <w:rFonts w:ascii="Times New Roman" w:hAnsi="Times New Roman"/>
          <w:sz w:val="24"/>
          <w:szCs w:val="24"/>
          <w:lang w:val="sr-Cyrl-CS"/>
        </w:rPr>
      </w:pPr>
      <w:r w:rsidRPr="00C12624">
        <w:rPr>
          <w:rFonts w:ascii="Times New Roman" w:hAnsi="Times New Roman"/>
          <w:sz w:val="24"/>
          <w:szCs w:val="24"/>
          <w:lang w:val="sr-Cyrl-CS"/>
        </w:rPr>
        <w:lastRenderedPageBreak/>
        <w:t>јавна комунална предузећа, од којих се очекује да искористе могућности које закон пружа како би побољшала квалитет и доступност услуга и ојачала свој финансијски положај;</w:t>
      </w:r>
    </w:p>
    <w:p w:rsidR="00CA4A11" w:rsidRPr="00C12624" w:rsidRDefault="00CA4A11" w:rsidP="00CA4A11">
      <w:pPr>
        <w:pStyle w:val="ListParagraph"/>
        <w:numPr>
          <w:ilvl w:val="0"/>
          <w:numId w:val="4"/>
        </w:numPr>
        <w:spacing w:after="0" w:line="240" w:lineRule="auto"/>
        <w:ind w:left="0" w:firstLine="720"/>
        <w:jc w:val="both"/>
        <w:rPr>
          <w:rFonts w:ascii="Times New Roman" w:hAnsi="Times New Roman"/>
          <w:sz w:val="24"/>
          <w:szCs w:val="24"/>
          <w:lang w:val="sr-Cyrl-CS"/>
        </w:rPr>
      </w:pPr>
      <w:r w:rsidRPr="00C12624">
        <w:rPr>
          <w:rFonts w:ascii="Times New Roman" w:hAnsi="Times New Roman"/>
          <w:sz w:val="24"/>
          <w:szCs w:val="24"/>
          <w:lang w:val="sr-Cyrl-CS"/>
        </w:rPr>
        <w:t>привредна друштва и предузетнике кроз омогућавање већег броја услуга које може да врши приватни сектор;</w:t>
      </w:r>
    </w:p>
    <w:p w:rsidR="00CA4A11" w:rsidRPr="00C12624" w:rsidRDefault="00CA4A11" w:rsidP="00CA4A11">
      <w:pPr>
        <w:pStyle w:val="ListParagraph"/>
        <w:numPr>
          <w:ilvl w:val="0"/>
          <w:numId w:val="4"/>
        </w:numPr>
        <w:spacing w:after="0" w:line="240" w:lineRule="auto"/>
        <w:ind w:left="0" w:firstLine="720"/>
        <w:jc w:val="both"/>
        <w:rPr>
          <w:rFonts w:ascii="Times New Roman" w:hAnsi="Times New Roman"/>
          <w:sz w:val="24"/>
          <w:szCs w:val="24"/>
          <w:lang w:val="sr-Cyrl-CS"/>
        </w:rPr>
      </w:pPr>
      <w:r w:rsidRPr="00C12624">
        <w:rPr>
          <w:rFonts w:ascii="Times New Roman" w:hAnsi="Times New Roman"/>
          <w:sz w:val="24"/>
          <w:szCs w:val="24"/>
          <w:lang w:val="sr-Cyrl-CS"/>
        </w:rPr>
        <w:t>повећање заинтересованости приватних инвеститора за улагање у пројекте развоја и унапређења комуналне инфраструктуре;</w:t>
      </w:r>
    </w:p>
    <w:p w:rsidR="00CA4A11" w:rsidRPr="00C12624" w:rsidRDefault="00CA4A11" w:rsidP="00CA4A11">
      <w:pPr>
        <w:pStyle w:val="ListParagraph"/>
        <w:numPr>
          <w:ilvl w:val="0"/>
          <w:numId w:val="4"/>
        </w:numPr>
        <w:spacing w:after="0" w:line="240" w:lineRule="auto"/>
        <w:ind w:left="0" w:firstLine="720"/>
        <w:jc w:val="both"/>
        <w:rPr>
          <w:rFonts w:ascii="Times New Roman" w:hAnsi="Times New Roman"/>
          <w:sz w:val="24"/>
          <w:szCs w:val="24"/>
          <w:lang w:val="sr-Cyrl-CS"/>
        </w:rPr>
      </w:pPr>
      <w:r w:rsidRPr="00C12624">
        <w:rPr>
          <w:rFonts w:ascii="Times New Roman" w:hAnsi="Times New Roman"/>
          <w:sz w:val="24"/>
          <w:szCs w:val="24"/>
          <w:lang w:val="sr-Cyrl-CS"/>
        </w:rPr>
        <w:t>кориснике услуга, грађане и привредне субјекте, који могу да очекују постепено јачање одговорности вршилаца комуналних делатности, односно испоручилаца комуналних производа и услуга који преузимају пуну одговорност за обухват, обим и квалитет производа и услуге.</w:t>
      </w:r>
    </w:p>
    <w:p w:rsidR="00CA4A11" w:rsidRPr="00C12624" w:rsidRDefault="00CA4A11" w:rsidP="00CA4A11">
      <w:pPr>
        <w:pStyle w:val="ListParagraph"/>
        <w:spacing w:after="0" w:line="240" w:lineRule="auto"/>
        <w:ind w:left="360"/>
        <w:jc w:val="both"/>
        <w:rPr>
          <w:rFonts w:ascii="Times New Roman" w:hAnsi="Times New Roman"/>
          <w:sz w:val="24"/>
          <w:szCs w:val="24"/>
          <w:lang w:val="sr-Cyrl-CS"/>
        </w:rPr>
      </w:pPr>
    </w:p>
    <w:p w:rsidR="00CA4A11" w:rsidRPr="00C12624" w:rsidRDefault="00CA4A11" w:rsidP="00CA4A11">
      <w:pPr>
        <w:pStyle w:val="ListParagraph"/>
        <w:numPr>
          <w:ilvl w:val="0"/>
          <w:numId w:val="9"/>
        </w:numPr>
        <w:spacing w:after="0" w:line="240" w:lineRule="auto"/>
        <w:jc w:val="center"/>
        <w:rPr>
          <w:rFonts w:ascii="Times New Roman" w:hAnsi="Times New Roman"/>
          <w:b/>
          <w:sz w:val="24"/>
          <w:szCs w:val="24"/>
          <w:lang w:val="sr-Cyrl-CS"/>
        </w:rPr>
      </w:pPr>
      <w:r w:rsidRPr="00C12624">
        <w:rPr>
          <w:rFonts w:ascii="Times New Roman" w:hAnsi="Times New Roman"/>
          <w:b/>
          <w:sz w:val="24"/>
          <w:szCs w:val="24"/>
          <w:lang w:val="sr-Cyrl-CS"/>
        </w:rPr>
        <w:t>Да ли закон стимулише појаву нових привредних субјеката на тржишту и тржишну конкуренцију:</w:t>
      </w:r>
    </w:p>
    <w:p w:rsidR="00CA4A11" w:rsidRPr="00C12624" w:rsidRDefault="00CA4A11" w:rsidP="00CA4A11">
      <w:pPr>
        <w:rPr>
          <w:rFonts w:ascii="Times New Roman" w:hAnsi="Times New Roman" w:cs="Times New Roman"/>
          <w:b/>
          <w:sz w:val="24"/>
          <w:szCs w:val="24"/>
          <w:lang w:val="sr-Cyrl-CS"/>
        </w:rPr>
      </w:pPr>
    </w:p>
    <w:p w:rsidR="00CA4A11" w:rsidRPr="00C12624" w:rsidRDefault="00CA4A11" w:rsidP="00CA4A11">
      <w:pPr>
        <w:ind w:firstLine="644"/>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Предложеном допуном Закона о комуналним делатностима предвиђено је да правна лица из јавног сектора која припадају јавном сектору могу да уговоре са другим правним лицем (које може бити и из приватног сектора), обављање појединих послова из оквира комуналне делатности снадбевања водом и комуналне делатности </w:t>
      </w:r>
      <w:r w:rsidRPr="00C12624">
        <w:rPr>
          <w:rFonts w:ascii="Times New Roman" w:hAnsi="Times New Roman" w:cs="Times New Roman"/>
          <w:color w:val="000000" w:themeColor="text1"/>
          <w:sz w:val="24"/>
          <w:szCs w:val="24"/>
          <w:lang w:val="sr-Cyrl-CS"/>
        </w:rPr>
        <w:t>обављања јавног линијског превоза путника тролејбусима и трамвајима</w:t>
      </w:r>
      <w:r w:rsidRPr="00C12624">
        <w:rPr>
          <w:rFonts w:ascii="Times New Roman" w:hAnsi="Times New Roman" w:cs="Times New Roman"/>
          <w:sz w:val="24"/>
          <w:szCs w:val="24"/>
          <w:lang w:val="sr-Cyrl-CS"/>
        </w:rPr>
        <w:t>, док и у том случају се као вршилац комуналне делатности у смислу законских одредби и свих права и обавеза сматра искључиво правно лице из члана 5. став 2 Закона.</w:t>
      </w:r>
    </w:p>
    <w:p w:rsidR="00CA4A11" w:rsidRPr="00C12624" w:rsidRDefault="00CA4A11" w:rsidP="00CA4A11">
      <w:pPr>
        <w:ind w:firstLine="644"/>
        <w:rPr>
          <w:rFonts w:ascii="Times New Roman" w:hAnsi="Times New Roman" w:cs="Times New Roman"/>
          <w:sz w:val="24"/>
          <w:szCs w:val="24"/>
          <w:lang w:val="sr-Cyrl-CS"/>
        </w:rPr>
      </w:pPr>
      <w:r w:rsidRPr="00C12624">
        <w:rPr>
          <w:rFonts w:ascii="Times New Roman" w:hAnsi="Times New Roman" w:cs="Times New Roman"/>
          <w:sz w:val="24"/>
          <w:szCs w:val="24"/>
          <w:lang w:val="sr-Cyrl-CS"/>
        </w:rPr>
        <w:t>Недовољно ослањање на савремене принципе управљања комуналним делатностима, укључујући и постепено увођење принципа конкуренције за тржиште (у поступку избора партнера вршиоцу комуналне делатности из члана 5. став 2 Закона) и на тржишту један је од основних разлога за законске измене у овој области. Због тога се јасно прописује могућност и за приватни сектор у обављању појединих послова комуналних делатности описаних у важећем члану 5. став 2. закона, чиме се ове комуналне делатности отварају за нове инвестиције у неупоредиво већем обиму него што је до сада био случај.</w:t>
      </w:r>
    </w:p>
    <w:p w:rsidR="00CA4A11" w:rsidRPr="00C12624" w:rsidRDefault="00CA4A11" w:rsidP="00CA4A11">
      <w:pPr>
        <w:ind w:firstLine="644"/>
        <w:rPr>
          <w:rFonts w:ascii="Times New Roman" w:hAnsi="Times New Roman" w:cs="Times New Roman"/>
          <w:sz w:val="24"/>
          <w:szCs w:val="24"/>
          <w:lang w:val="sr-Cyrl-CS"/>
        </w:rPr>
      </w:pPr>
    </w:p>
    <w:p w:rsidR="00CA4A11" w:rsidRPr="00C12624" w:rsidRDefault="00CA4A11" w:rsidP="00CA4A11">
      <w:pPr>
        <w:pStyle w:val="ListParagraph"/>
        <w:numPr>
          <w:ilvl w:val="0"/>
          <w:numId w:val="9"/>
        </w:numPr>
        <w:spacing w:after="0" w:line="240" w:lineRule="auto"/>
        <w:jc w:val="center"/>
        <w:rPr>
          <w:rFonts w:ascii="Times New Roman" w:hAnsi="Times New Roman"/>
          <w:b/>
          <w:sz w:val="24"/>
          <w:szCs w:val="24"/>
          <w:lang w:val="sr-Cyrl-CS"/>
        </w:rPr>
      </w:pPr>
      <w:r w:rsidRPr="00C12624">
        <w:rPr>
          <w:rFonts w:ascii="Times New Roman" w:hAnsi="Times New Roman"/>
          <w:b/>
          <w:sz w:val="24"/>
          <w:szCs w:val="24"/>
          <w:lang w:val="sr-Cyrl-CS"/>
        </w:rPr>
        <w:t>Да ли су све заинтересоване стране имале прилику да изнесу своје ставове о закону:</w:t>
      </w:r>
    </w:p>
    <w:p w:rsidR="00CA4A11" w:rsidRPr="00C12624" w:rsidRDefault="00CA4A11" w:rsidP="00CA4A11">
      <w:pPr>
        <w:pStyle w:val="ListParagraph"/>
        <w:spacing w:after="0" w:line="240" w:lineRule="auto"/>
        <w:jc w:val="both"/>
        <w:rPr>
          <w:rFonts w:ascii="Times New Roman" w:eastAsia="Times New Roman" w:hAnsi="Times New Roman"/>
          <w:b/>
          <w:sz w:val="24"/>
          <w:szCs w:val="24"/>
          <w:lang w:val="sr-Cyrl-CS"/>
        </w:rPr>
      </w:pPr>
    </w:p>
    <w:p w:rsidR="00CA4A11" w:rsidRPr="00C12624" w:rsidRDefault="00CA4A11" w:rsidP="00CA4A11">
      <w:pPr>
        <w:pStyle w:val="ListParagraph"/>
        <w:tabs>
          <w:tab w:val="left" w:pos="284"/>
          <w:tab w:val="left" w:pos="810"/>
        </w:tabs>
        <w:spacing w:after="0" w:line="240" w:lineRule="auto"/>
        <w:ind w:left="0"/>
        <w:jc w:val="both"/>
        <w:rPr>
          <w:rFonts w:ascii="Times New Roman" w:hAnsi="Times New Roman"/>
          <w:color w:val="000000" w:themeColor="text1"/>
          <w:sz w:val="24"/>
          <w:szCs w:val="24"/>
          <w:lang w:val="sr-Cyrl-CS"/>
        </w:rPr>
      </w:pPr>
      <w:r w:rsidRPr="00C12624">
        <w:rPr>
          <w:rFonts w:ascii="Times New Roman" w:hAnsi="Times New Roman"/>
          <w:color w:val="000000" w:themeColor="text1"/>
          <w:sz w:val="24"/>
          <w:szCs w:val="24"/>
          <w:lang w:val="sr-Cyrl-CS"/>
        </w:rPr>
        <w:tab/>
      </w:r>
      <w:r w:rsidRPr="00C12624">
        <w:rPr>
          <w:rFonts w:ascii="Times New Roman" w:hAnsi="Times New Roman"/>
          <w:color w:val="000000" w:themeColor="text1"/>
          <w:sz w:val="24"/>
          <w:szCs w:val="24"/>
          <w:lang w:val="sr-Cyrl-CS"/>
        </w:rPr>
        <w:tab/>
        <w:t xml:space="preserve">Јавну расправу у вези са Нацртом о допуни Закона о комуналним делатностима ниje било потребно спроводити, будући да је неопходно да допуна закона што хитније ступи на правну снагу како би се у што краћем року омогућило брже и ефикасније обављање </w:t>
      </w:r>
      <w:r w:rsidRPr="00C12624">
        <w:rPr>
          <w:rFonts w:ascii="Times New Roman" w:hAnsi="Times New Roman"/>
          <w:sz w:val="24"/>
          <w:szCs w:val="24"/>
          <w:lang w:val="sr-Cyrl-CS"/>
        </w:rPr>
        <w:t xml:space="preserve">појединих послова из оквира комуналне делатности снадбевања водом и комуналне делатности </w:t>
      </w:r>
      <w:r w:rsidRPr="00C12624">
        <w:rPr>
          <w:rFonts w:ascii="Times New Roman" w:hAnsi="Times New Roman"/>
          <w:color w:val="000000" w:themeColor="text1"/>
          <w:sz w:val="24"/>
          <w:szCs w:val="24"/>
          <w:lang w:val="sr-Cyrl-CS"/>
        </w:rPr>
        <w:t>обављања јавног линијског превоза путника тролејбусима и трамвајима и стварање могућности за нове инвестиције у овој области.</w:t>
      </w:r>
    </w:p>
    <w:p w:rsidR="00CA4A11" w:rsidRPr="00C12624" w:rsidRDefault="00CA4A11" w:rsidP="00CA4A11">
      <w:pPr>
        <w:pStyle w:val="ListParagraph"/>
        <w:tabs>
          <w:tab w:val="left" w:pos="284"/>
          <w:tab w:val="left" w:pos="810"/>
        </w:tabs>
        <w:spacing w:after="0" w:line="240" w:lineRule="auto"/>
        <w:ind w:left="0"/>
        <w:jc w:val="both"/>
        <w:rPr>
          <w:rFonts w:ascii="Times New Roman" w:hAnsi="Times New Roman"/>
          <w:color w:val="000000" w:themeColor="text1"/>
          <w:sz w:val="24"/>
          <w:szCs w:val="24"/>
          <w:lang w:val="sr-Cyrl-CS"/>
        </w:rPr>
      </w:pPr>
      <w:r w:rsidRPr="00C12624">
        <w:rPr>
          <w:rFonts w:ascii="Times New Roman" w:hAnsi="Times New Roman"/>
          <w:color w:val="000000" w:themeColor="text1"/>
          <w:sz w:val="24"/>
          <w:szCs w:val="24"/>
          <w:lang w:val="sr-Cyrl-CS"/>
        </w:rPr>
        <w:tab/>
      </w:r>
      <w:r w:rsidRPr="00C12624">
        <w:rPr>
          <w:rFonts w:ascii="Times New Roman" w:hAnsi="Times New Roman"/>
          <w:color w:val="000000" w:themeColor="text1"/>
          <w:sz w:val="24"/>
          <w:szCs w:val="24"/>
          <w:lang w:val="sr-Cyrl-CS"/>
        </w:rPr>
        <w:tab/>
        <w:t>Такође, приликом израде текста Нацрта закона предлагач је имао у виду све потребе као и захтева за мишљења које су упућивале заинтересоване стране као и надлежни органи а имајући у виду да Министарство грађевинарства, саобраћаја и инфраструктуре континуирано прати спровођење Закона о комуналним делатностима пред свим надлежним органима.</w:t>
      </w:r>
    </w:p>
    <w:p w:rsidR="00CA4A11" w:rsidRPr="00C12624" w:rsidRDefault="00CA4A11" w:rsidP="00CA4A11">
      <w:pPr>
        <w:ind w:firstLine="360"/>
        <w:rPr>
          <w:rFonts w:ascii="Times New Roman" w:hAnsi="Times New Roman" w:cs="Times New Roman"/>
          <w:color w:val="000000" w:themeColor="text1"/>
          <w:sz w:val="24"/>
          <w:szCs w:val="24"/>
          <w:lang w:val="sr-Cyrl-CS"/>
        </w:rPr>
      </w:pPr>
      <w:r w:rsidRPr="00C12624">
        <w:rPr>
          <w:rFonts w:ascii="Times New Roman" w:eastAsia="Calibri" w:hAnsi="Times New Roman" w:cs="Times New Roman"/>
          <w:color w:val="000000" w:themeColor="text1"/>
          <w:sz w:val="24"/>
          <w:szCs w:val="24"/>
          <w:lang w:val="sr-Cyrl-CS"/>
        </w:rPr>
        <w:tab/>
        <w:t>Посебно се имало у виду да се допуном одредбе члана 5. важећег закона утиче на могућност повећања фина</w:t>
      </w:r>
      <w:r>
        <w:rPr>
          <w:rFonts w:ascii="Times New Roman" w:eastAsia="Calibri" w:hAnsi="Times New Roman" w:cs="Times New Roman"/>
          <w:color w:val="000000" w:themeColor="text1"/>
          <w:sz w:val="24"/>
          <w:szCs w:val="24"/>
          <w:lang w:val="sr-Cyrl-CS"/>
        </w:rPr>
        <w:t>н</w:t>
      </w:r>
      <w:r w:rsidRPr="00C12624">
        <w:rPr>
          <w:rFonts w:ascii="Times New Roman" w:eastAsia="Calibri" w:hAnsi="Times New Roman" w:cs="Times New Roman"/>
          <w:color w:val="000000" w:themeColor="text1"/>
          <w:sz w:val="24"/>
          <w:szCs w:val="24"/>
          <w:lang w:val="sr-Cyrl-CS"/>
        </w:rPr>
        <w:t>сијске</w:t>
      </w:r>
      <w:r w:rsidRPr="00C12624">
        <w:rPr>
          <w:rFonts w:ascii="Times New Roman" w:hAnsi="Times New Roman" w:cs="Times New Roman"/>
          <w:color w:val="000000" w:themeColor="text1"/>
          <w:sz w:val="24"/>
          <w:szCs w:val="24"/>
          <w:lang w:val="sr-Cyrl-CS"/>
        </w:rPr>
        <w:t xml:space="preserve"> стабилности правних лица из јавног сектора које се баве </w:t>
      </w:r>
      <w:r w:rsidRPr="00C12624">
        <w:rPr>
          <w:rFonts w:ascii="Times New Roman" w:hAnsi="Times New Roman" w:cs="Times New Roman"/>
          <w:color w:val="000000" w:themeColor="text1"/>
          <w:sz w:val="24"/>
          <w:szCs w:val="24"/>
          <w:lang w:val="sr-Cyrl-CS"/>
        </w:rPr>
        <w:lastRenderedPageBreak/>
        <w:t xml:space="preserve">овим  делатностима, али и квалитета услуге која се пружа крајњим  корисницима – грађанима и привреди Републике Србије. </w:t>
      </w:r>
    </w:p>
    <w:p w:rsidR="00CA4A11" w:rsidRPr="00C12624" w:rsidRDefault="00CA4A11" w:rsidP="00CA4A11">
      <w:pPr>
        <w:ind w:firstLine="360"/>
        <w:rPr>
          <w:rFonts w:ascii="Times New Roman" w:eastAsia="Calibri" w:hAnsi="Times New Roman" w:cs="Times New Roman"/>
          <w:sz w:val="24"/>
          <w:szCs w:val="24"/>
          <w:lang w:val="sr-Cyrl-CS"/>
        </w:rPr>
      </w:pPr>
    </w:p>
    <w:p w:rsidR="00CA4A11" w:rsidRPr="00C12624" w:rsidRDefault="00CA4A11" w:rsidP="00CA4A11">
      <w:pPr>
        <w:pStyle w:val="ListParagraph"/>
        <w:numPr>
          <w:ilvl w:val="0"/>
          <w:numId w:val="9"/>
        </w:numPr>
        <w:spacing w:after="0" w:line="240" w:lineRule="auto"/>
        <w:jc w:val="center"/>
        <w:rPr>
          <w:rFonts w:ascii="Times New Roman" w:eastAsia="Times New Roman" w:hAnsi="Times New Roman"/>
          <w:b/>
          <w:sz w:val="24"/>
          <w:szCs w:val="24"/>
          <w:lang w:val="sr-Cyrl-CS"/>
        </w:rPr>
      </w:pPr>
      <w:r w:rsidRPr="00C12624">
        <w:rPr>
          <w:rFonts w:ascii="Times New Roman" w:eastAsia="Times New Roman" w:hAnsi="Times New Roman"/>
          <w:b/>
          <w:sz w:val="24"/>
          <w:szCs w:val="24"/>
          <w:lang w:val="sr-Cyrl-CS"/>
        </w:rPr>
        <w:t>Које ће мере током примене закона бити предузете да би се остварили разлози доношења закона:</w:t>
      </w:r>
    </w:p>
    <w:p w:rsidR="00CA4A11" w:rsidRPr="00C12624" w:rsidRDefault="00CA4A11" w:rsidP="00CA4A11">
      <w:pPr>
        <w:pStyle w:val="ListParagraph"/>
        <w:spacing w:after="0" w:line="240" w:lineRule="auto"/>
        <w:ind w:left="644"/>
        <w:rPr>
          <w:rFonts w:ascii="Times New Roman" w:eastAsia="Times New Roman" w:hAnsi="Times New Roman"/>
          <w:b/>
          <w:sz w:val="24"/>
          <w:szCs w:val="24"/>
          <w:lang w:val="sr-Cyrl-CS"/>
        </w:rPr>
      </w:pP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Капацитети јединица локалних самоуправа надлежних за обављање комуналних делатности уредиће се како би могли да обављају послове који су им дати у надлежност, као и да појачају инспекцијски надзор у циљу ефикасног обављања комуналних делатности у складу са законом.</w:t>
      </w: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По ступању на снагу овог закона, Министарство ће по потреби организовати радионице са јединицама локалних самоуправа, као</w:t>
      </w:r>
      <w:r>
        <w:rPr>
          <w:rFonts w:ascii="Times New Roman" w:hAnsi="Times New Roman" w:cs="Times New Roman"/>
          <w:sz w:val="24"/>
          <w:szCs w:val="24"/>
          <w:lang w:val="sr-Cyrl-CS"/>
        </w:rPr>
        <w:t xml:space="preserve"> </w:t>
      </w:r>
      <w:r w:rsidRPr="00C12624">
        <w:rPr>
          <w:rFonts w:ascii="Times New Roman" w:hAnsi="Times New Roman" w:cs="Times New Roman"/>
          <w:sz w:val="24"/>
          <w:szCs w:val="24"/>
          <w:lang w:val="sr-Cyrl-CS"/>
        </w:rPr>
        <w:t>и</w:t>
      </w:r>
      <w:r>
        <w:rPr>
          <w:rFonts w:ascii="Times New Roman" w:hAnsi="Times New Roman" w:cs="Times New Roman"/>
          <w:sz w:val="24"/>
          <w:szCs w:val="24"/>
          <w:lang w:val="sr-Cyrl-CS"/>
        </w:rPr>
        <w:t xml:space="preserve"> </w:t>
      </w:r>
      <w:r w:rsidRPr="00C12624">
        <w:rPr>
          <w:rFonts w:ascii="Times New Roman" w:hAnsi="Times New Roman" w:cs="Times New Roman"/>
          <w:sz w:val="24"/>
          <w:szCs w:val="24"/>
          <w:lang w:val="sr-Cyrl-CS"/>
        </w:rPr>
        <w:t xml:space="preserve"> другим заинтересованим учесницима на којима ће бити представљена решења из предложених допуна Закона о комуналним делатностима, а у циљу омогућавања пуне имплементације предвиђених законских решења.</w:t>
      </w:r>
    </w:p>
    <w:p w:rsidR="00CA4A11" w:rsidRPr="00C12624" w:rsidRDefault="00CA4A11" w:rsidP="00CA4A11">
      <w:pPr>
        <w:ind w:firstLine="720"/>
        <w:rPr>
          <w:rFonts w:ascii="Times New Roman" w:eastAsia="Calibri" w:hAnsi="Times New Roman" w:cs="Times New Roman"/>
          <w:sz w:val="24"/>
          <w:szCs w:val="24"/>
          <w:lang w:val="sr-Cyrl-CS"/>
        </w:rPr>
      </w:pPr>
      <w:r w:rsidRPr="00C12624">
        <w:rPr>
          <w:rFonts w:ascii="Times New Roman" w:hAnsi="Times New Roman" w:cs="Times New Roman"/>
          <w:sz w:val="24"/>
          <w:szCs w:val="24"/>
          <w:lang w:val="sr-Cyrl-CS"/>
        </w:rPr>
        <w:t>Имплементација закона ће се пратити и кроз редовне и ванредне инспекцијске надзоре републичке и општинске, односно градске комуналне инспекције, и то како у јединицама локалне самоуправе, тако и код вршилаца комуналне делатности и корисника услуга.</w:t>
      </w:r>
    </w:p>
    <w:p w:rsidR="00CA4A11" w:rsidRPr="00C12624" w:rsidRDefault="00CA4A11" w:rsidP="00CA4A11">
      <w:pPr>
        <w:ind w:firstLine="360"/>
        <w:rPr>
          <w:rFonts w:ascii="Times New Roman" w:hAnsi="Times New Roman" w:cs="Times New Roman"/>
          <w:sz w:val="24"/>
          <w:szCs w:val="24"/>
          <w:lang w:val="sr-Cyrl-CS"/>
        </w:rPr>
      </w:pPr>
    </w:p>
    <w:p w:rsidR="00CA4A11" w:rsidRPr="00C12624" w:rsidRDefault="00CA4A11" w:rsidP="00CA4A11">
      <w:pPr>
        <w:ind w:left="-426" w:firstLine="426"/>
        <w:jc w:val="center"/>
        <w:rPr>
          <w:rFonts w:ascii="Times New Roman" w:hAnsi="Times New Roman" w:cs="Times New Roman"/>
          <w:b/>
          <w:i/>
          <w:sz w:val="24"/>
          <w:szCs w:val="24"/>
          <w:u w:val="single"/>
          <w:lang w:val="sr-Cyrl-CS"/>
        </w:rPr>
      </w:pPr>
      <w:r w:rsidRPr="00C12624">
        <w:rPr>
          <w:rFonts w:ascii="Times New Roman" w:hAnsi="Times New Roman" w:cs="Times New Roman"/>
          <w:b/>
          <w:i/>
          <w:sz w:val="24"/>
          <w:szCs w:val="24"/>
          <w:u w:val="single"/>
          <w:lang w:val="sr-Cyrl-CS"/>
        </w:rPr>
        <w:t>Регулаторне мере:</w:t>
      </w: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Предложеним решењима Закона о допуни Закона о комуналним делатностима нису предвиђене нове регулаторне мере.</w:t>
      </w:r>
    </w:p>
    <w:p w:rsidR="00CA4A11" w:rsidRPr="00C12624" w:rsidRDefault="00CA4A11" w:rsidP="00CA4A11">
      <w:pPr>
        <w:ind w:firstLine="720"/>
        <w:rPr>
          <w:rFonts w:ascii="Times New Roman" w:hAnsi="Times New Roman" w:cs="Times New Roman"/>
          <w:sz w:val="24"/>
          <w:szCs w:val="24"/>
          <w:lang w:val="sr-Cyrl-CS"/>
        </w:rPr>
      </w:pPr>
    </w:p>
    <w:p w:rsidR="00CA4A11" w:rsidRPr="00C12624" w:rsidRDefault="00CA4A11" w:rsidP="00CA4A11">
      <w:pPr>
        <w:ind w:left="426"/>
        <w:jc w:val="center"/>
        <w:rPr>
          <w:rFonts w:ascii="Times New Roman" w:hAnsi="Times New Roman" w:cs="Times New Roman"/>
          <w:b/>
          <w:i/>
          <w:sz w:val="24"/>
          <w:szCs w:val="24"/>
          <w:u w:val="single"/>
          <w:lang w:val="sr-Cyrl-CS"/>
        </w:rPr>
      </w:pPr>
      <w:r w:rsidRPr="00C12624">
        <w:rPr>
          <w:rFonts w:ascii="Times New Roman" w:hAnsi="Times New Roman" w:cs="Times New Roman"/>
          <w:b/>
          <w:i/>
          <w:sz w:val="24"/>
          <w:szCs w:val="24"/>
          <w:u w:val="single"/>
          <w:lang w:val="sr-Cyrl-CS"/>
        </w:rPr>
        <w:t>Институционално управљачке:</w:t>
      </w: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За спровођење Закона о комуналним делатностима надлежни су:</w:t>
      </w:r>
    </w:p>
    <w:p w:rsidR="00CA4A11" w:rsidRPr="00C12624" w:rsidRDefault="00CA4A11" w:rsidP="00CA4A11">
      <w:pPr>
        <w:numPr>
          <w:ilvl w:val="0"/>
          <w:numId w:val="3"/>
        </w:numPr>
        <w:tabs>
          <w:tab w:val="left" w:pos="1134"/>
        </w:tabs>
        <w:ind w:left="0"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Јединица локалне самоуправе је у обавези да обезбеди обављање комуналних делатности и њихов развој, као и да обезбеди организационе, материјалне и друге услове за изградњу, одржавање и функционисање комуналних објеката и за техничко-технолошко јединство система и уређаја. Јединица локалне самоуправе својим општим актима прописује услове за обављање комуналних делатности у складу са законом и подзаконским актима донетим на основу закона, затим начин вршења надзора над обављањем комуналних делатности, као и права и обавезе корисника комуналних услуга. Инспекцијски надзор над спровођењем прописа јединица локалне самоуправе донетих на основу закона врши јединица локалне самоуправе преко комуналних инспектора. Што се тиче капацитета, свака јединица локалне самоуправе има комуналну инспекцију, као и надлежне органе које се баве комуналним делатностима.</w:t>
      </w:r>
    </w:p>
    <w:p w:rsidR="00CA4A11" w:rsidRPr="00C12624" w:rsidRDefault="00CA4A11" w:rsidP="00CA4A11">
      <w:pPr>
        <w:numPr>
          <w:ilvl w:val="0"/>
          <w:numId w:val="3"/>
        </w:numPr>
        <w:tabs>
          <w:tab w:val="left" w:pos="1134"/>
        </w:tabs>
        <w:ind w:left="0"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Министарство има обавезу да прати квалитет и обухват пружања комуналних услуга, ефикасност вршилаца, кретање цена, број запослених и ниво улагања у одржавање и изградњу комуналне инфраструктуре и о томе најмање једном годишње обавештава Владу и јавност. Инспекцијски надзор над спровођењем закона и републичких прописа донетих на основу закона обавља Министарство преко републичких инспектора за комуналне делатности. У оквиру ресорног министарства у Сектору за инспекцијски надзор постоји Одсек републичке инспекције за комуналне делатности, стога Министарство има капацитете за спровођење Закона о комуналним делатностима.</w:t>
      </w:r>
    </w:p>
    <w:p w:rsidR="00CA4A11" w:rsidRPr="00C12624" w:rsidRDefault="00CA4A11" w:rsidP="00CA4A11">
      <w:pPr>
        <w:tabs>
          <w:tab w:val="left" w:pos="1134"/>
        </w:tabs>
        <w:ind w:left="720"/>
        <w:rPr>
          <w:rFonts w:ascii="Times New Roman" w:hAnsi="Times New Roman" w:cs="Times New Roman"/>
          <w:sz w:val="24"/>
          <w:szCs w:val="24"/>
          <w:lang w:val="sr-Cyrl-CS"/>
        </w:rPr>
      </w:pPr>
    </w:p>
    <w:p w:rsidR="00CA4A11" w:rsidRPr="00C12624" w:rsidRDefault="00CA4A11" w:rsidP="00CA4A11">
      <w:pPr>
        <w:tabs>
          <w:tab w:val="left" w:pos="1134"/>
        </w:tabs>
        <w:ind w:left="720"/>
        <w:jc w:val="center"/>
        <w:rPr>
          <w:rFonts w:ascii="Times New Roman" w:hAnsi="Times New Roman" w:cs="Times New Roman"/>
          <w:b/>
          <w:i/>
          <w:sz w:val="24"/>
          <w:szCs w:val="24"/>
          <w:u w:val="single"/>
          <w:lang w:val="sr-Cyrl-CS"/>
        </w:rPr>
      </w:pPr>
      <w:r w:rsidRPr="00C12624">
        <w:rPr>
          <w:rFonts w:ascii="Times New Roman" w:hAnsi="Times New Roman" w:cs="Times New Roman"/>
          <w:b/>
          <w:i/>
          <w:sz w:val="24"/>
          <w:szCs w:val="24"/>
          <w:u w:val="single"/>
          <w:lang w:val="sr-Cyrl-CS"/>
        </w:rPr>
        <w:lastRenderedPageBreak/>
        <w:t>Нерегулаторне мере:</w:t>
      </w: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 xml:space="preserve">Усвајањем </w:t>
      </w:r>
      <w:r>
        <w:rPr>
          <w:rFonts w:ascii="Times New Roman" w:hAnsi="Times New Roman" w:cs="Times New Roman"/>
          <w:sz w:val="24"/>
          <w:szCs w:val="24"/>
          <w:lang w:val="sr-Cyrl-CS"/>
        </w:rPr>
        <w:t>овог</w:t>
      </w:r>
      <w:r w:rsidRPr="00C12624">
        <w:rPr>
          <w:rFonts w:ascii="Times New Roman" w:hAnsi="Times New Roman" w:cs="Times New Roman"/>
          <w:sz w:val="24"/>
          <w:szCs w:val="24"/>
          <w:lang w:val="sr-Cyrl-CS"/>
        </w:rPr>
        <w:t xml:space="preserve"> закона биће предузете активности у циљу информисања локалних самоуправа о новим решењима Закона о комуналним делатностима, за шта нису потребна додатна финансијска средства. Поред тога, путем средстава јавног информисања грађани Републике Србије тј. корисници комуналних услуга биће информисани о новим одредбама закона. Такође, по потреби биће организоване и радионице и трибине ради информисања јавности и свих којих се закон тиче у циљу омогућавања пуне имплементације предвиђених законских решења.</w:t>
      </w:r>
    </w:p>
    <w:p w:rsidR="00CA4A11" w:rsidRPr="00C12624" w:rsidRDefault="00CA4A11" w:rsidP="00CA4A11">
      <w:pPr>
        <w:ind w:firstLine="720"/>
        <w:rPr>
          <w:rFonts w:ascii="Times New Roman" w:hAnsi="Times New Roman" w:cs="Times New Roman"/>
          <w:sz w:val="24"/>
          <w:szCs w:val="24"/>
          <w:lang w:val="sr-Cyrl-CS"/>
        </w:rPr>
      </w:pPr>
      <w:r w:rsidRPr="00C12624">
        <w:rPr>
          <w:rFonts w:ascii="Times New Roman" w:hAnsi="Times New Roman" w:cs="Times New Roman"/>
          <w:sz w:val="24"/>
          <w:szCs w:val="24"/>
          <w:lang w:val="sr-Cyrl-CS"/>
        </w:rPr>
        <w:t>Републичка инспекција за комуналне делатности је и до сада у току спровођења инспекцијског надзора, између осталог, деловала пре свега едукативно и саветодавно како у јединицама локалне самоуправе, тако и код вршилаца комуналне делатности и корисника услуга, што ће и у будућности чинити.</w:t>
      </w:r>
    </w:p>
    <w:p w:rsidR="00C90D8F" w:rsidRPr="00C12624" w:rsidRDefault="00C90D8F" w:rsidP="00311785">
      <w:pPr>
        <w:widowControl w:val="0"/>
        <w:autoSpaceDE w:val="0"/>
        <w:autoSpaceDN w:val="0"/>
        <w:adjustRightInd w:val="0"/>
        <w:ind w:firstLine="720"/>
        <w:rPr>
          <w:rFonts w:ascii="Times New Roman" w:hAnsi="Times New Roman" w:cs="Times New Roman"/>
          <w:sz w:val="24"/>
          <w:szCs w:val="24"/>
          <w:lang w:val="sr-Cyrl-CS"/>
        </w:rPr>
      </w:pPr>
    </w:p>
    <w:sectPr w:rsidR="00C90D8F" w:rsidRPr="00C12624" w:rsidSect="00E7024B">
      <w:footerReference w:type="even" r:id="rId9"/>
      <w:footerReference w:type="default" r:id="rId10"/>
      <w:pgSz w:w="12240" w:h="15840"/>
      <w:pgMar w:top="1418" w:right="1418"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96F" w:rsidRDefault="005A296F" w:rsidP="002E02C5">
      <w:r>
        <w:separator/>
      </w:r>
    </w:p>
  </w:endnote>
  <w:endnote w:type="continuationSeparator" w:id="0">
    <w:p w:rsidR="005A296F" w:rsidRDefault="005A296F" w:rsidP="002E0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006" w:rsidRDefault="001530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3006" w:rsidRDefault="0015300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102536"/>
      <w:docPartObj>
        <w:docPartGallery w:val="Page Numbers (Bottom of Page)"/>
        <w:docPartUnique/>
      </w:docPartObj>
    </w:sdtPr>
    <w:sdtEndPr/>
    <w:sdtContent>
      <w:p w:rsidR="00153006" w:rsidRDefault="00153006">
        <w:pPr>
          <w:pStyle w:val="Footer"/>
          <w:jc w:val="right"/>
        </w:pPr>
        <w:r>
          <w:fldChar w:fldCharType="begin"/>
        </w:r>
        <w:r>
          <w:instrText xml:space="preserve"> PAGE   \* MERGEFORMAT </w:instrText>
        </w:r>
        <w:r>
          <w:fldChar w:fldCharType="separate"/>
        </w:r>
        <w:r w:rsidR="00CA4A11">
          <w:rPr>
            <w:noProof/>
          </w:rPr>
          <w:t>4</w:t>
        </w:r>
        <w:r>
          <w:rPr>
            <w:noProof/>
          </w:rPr>
          <w:fldChar w:fldCharType="end"/>
        </w:r>
      </w:p>
    </w:sdtContent>
  </w:sdt>
  <w:p w:rsidR="00153006" w:rsidRDefault="00153006">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96F" w:rsidRDefault="005A296F" w:rsidP="002E02C5">
      <w:r>
        <w:separator/>
      </w:r>
    </w:p>
  </w:footnote>
  <w:footnote w:type="continuationSeparator" w:id="0">
    <w:p w:rsidR="005A296F" w:rsidRDefault="005A296F" w:rsidP="002E02C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935"/>
    <w:multiLevelType w:val="hybridMultilevel"/>
    <w:tmpl w:val="29B42312"/>
    <w:lvl w:ilvl="0" w:tplc="04090011">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D72EF"/>
    <w:multiLevelType w:val="hybridMultilevel"/>
    <w:tmpl w:val="35124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655060"/>
    <w:multiLevelType w:val="hybridMultilevel"/>
    <w:tmpl w:val="847E3FA0"/>
    <w:lvl w:ilvl="0" w:tplc="1974E2B2">
      <w:start w:val="1"/>
      <w:numFmt w:val="decimal"/>
      <w:lvlText w:val="%1)"/>
      <w:lvlJc w:val="left"/>
      <w:pPr>
        <w:ind w:left="7732" w:hanging="360"/>
      </w:pPr>
      <w:rPr>
        <w:rFonts w:hint="default"/>
      </w:rPr>
    </w:lvl>
    <w:lvl w:ilvl="1" w:tplc="04090019" w:tentative="1">
      <w:start w:val="1"/>
      <w:numFmt w:val="lowerLetter"/>
      <w:lvlText w:val="%2."/>
      <w:lvlJc w:val="left"/>
      <w:pPr>
        <w:ind w:left="8517" w:hanging="360"/>
      </w:pPr>
    </w:lvl>
    <w:lvl w:ilvl="2" w:tplc="0409001B" w:tentative="1">
      <w:start w:val="1"/>
      <w:numFmt w:val="lowerRoman"/>
      <w:lvlText w:val="%3."/>
      <w:lvlJc w:val="right"/>
      <w:pPr>
        <w:ind w:left="9237" w:hanging="180"/>
      </w:pPr>
    </w:lvl>
    <w:lvl w:ilvl="3" w:tplc="0409000F" w:tentative="1">
      <w:start w:val="1"/>
      <w:numFmt w:val="decimal"/>
      <w:lvlText w:val="%4."/>
      <w:lvlJc w:val="left"/>
      <w:pPr>
        <w:ind w:left="9957" w:hanging="360"/>
      </w:pPr>
    </w:lvl>
    <w:lvl w:ilvl="4" w:tplc="04090019" w:tentative="1">
      <w:start w:val="1"/>
      <w:numFmt w:val="lowerLetter"/>
      <w:lvlText w:val="%5."/>
      <w:lvlJc w:val="left"/>
      <w:pPr>
        <w:ind w:left="10677" w:hanging="360"/>
      </w:pPr>
    </w:lvl>
    <w:lvl w:ilvl="5" w:tplc="0409001B" w:tentative="1">
      <w:start w:val="1"/>
      <w:numFmt w:val="lowerRoman"/>
      <w:lvlText w:val="%6."/>
      <w:lvlJc w:val="right"/>
      <w:pPr>
        <w:ind w:left="11397" w:hanging="180"/>
      </w:pPr>
    </w:lvl>
    <w:lvl w:ilvl="6" w:tplc="0409000F" w:tentative="1">
      <w:start w:val="1"/>
      <w:numFmt w:val="decimal"/>
      <w:lvlText w:val="%7."/>
      <w:lvlJc w:val="left"/>
      <w:pPr>
        <w:ind w:left="12117" w:hanging="360"/>
      </w:pPr>
    </w:lvl>
    <w:lvl w:ilvl="7" w:tplc="04090019" w:tentative="1">
      <w:start w:val="1"/>
      <w:numFmt w:val="lowerLetter"/>
      <w:lvlText w:val="%8."/>
      <w:lvlJc w:val="left"/>
      <w:pPr>
        <w:ind w:left="12837" w:hanging="360"/>
      </w:pPr>
    </w:lvl>
    <w:lvl w:ilvl="8" w:tplc="0409001B" w:tentative="1">
      <w:start w:val="1"/>
      <w:numFmt w:val="lowerRoman"/>
      <w:lvlText w:val="%9."/>
      <w:lvlJc w:val="right"/>
      <w:pPr>
        <w:ind w:left="13557" w:hanging="180"/>
      </w:pPr>
    </w:lvl>
  </w:abstractNum>
  <w:abstractNum w:abstractNumId="3" w15:restartNumberingAfterBreak="0">
    <w:nsid w:val="1CD549A3"/>
    <w:multiLevelType w:val="hybridMultilevel"/>
    <w:tmpl w:val="6BCCF0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572758"/>
    <w:multiLevelType w:val="hybridMultilevel"/>
    <w:tmpl w:val="F88819AC"/>
    <w:lvl w:ilvl="0" w:tplc="4926BE70">
      <w:start w:val="1"/>
      <w:numFmt w:val="decimal"/>
      <w:lvlText w:val="%1."/>
      <w:lvlJc w:val="left"/>
      <w:pPr>
        <w:ind w:left="644"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F2603F"/>
    <w:multiLevelType w:val="hybridMultilevel"/>
    <w:tmpl w:val="1422D75E"/>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6" w15:restartNumberingAfterBreak="0">
    <w:nsid w:val="2BC85062"/>
    <w:multiLevelType w:val="hybridMultilevel"/>
    <w:tmpl w:val="FDC2A276"/>
    <w:lvl w:ilvl="0" w:tplc="105CE8C4">
      <w:start w:val="1"/>
      <w:numFmt w:val="decimal"/>
      <w:lvlText w:val="%1."/>
      <w:lvlJc w:val="left"/>
      <w:pPr>
        <w:ind w:left="1004" w:hanging="720"/>
      </w:pPr>
      <w:rPr>
        <w:rFonts w:hint="default"/>
      </w:rPr>
    </w:lvl>
    <w:lvl w:ilvl="1" w:tplc="241A0019" w:tentative="1">
      <w:start w:val="1"/>
      <w:numFmt w:val="lowerLetter"/>
      <w:lvlText w:val="%2."/>
      <w:lvlJc w:val="left"/>
      <w:pPr>
        <w:ind w:left="1298" w:hanging="360"/>
      </w:pPr>
    </w:lvl>
    <w:lvl w:ilvl="2" w:tplc="241A001B" w:tentative="1">
      <w:start w:val="1"/>
      <w:numFmt w:val="lowerRoman"/>
      <w:lvlText w:val="%3."/>
      <w:lvlJc w:val="right"/>
      <w:pPr>
        <w:ind w:left="2018" w:hanging="180"/>
      </w:pPr>
    </w:lvl>
    <w:lvl w:ilvl="3" w:tplc="241A000F" w:tentative="1">
      <w:start w:val="1"/>
      <w:numFmt w:val="decimal"/>
      <w:lvlText w:val="%4."/>
      <w:lvlJc w:val="left"/>
      <w:pPr>
        <w:ind w:left="2738" w:hanging="360"/>
      </w:pPr>
    </w:lvl>
    <w:lvl w:ilvl="4" w:tplc="241A0019" w:tentative="1">
      <w:start w:val="1"/>
      <w:numFmt w:val="lowerLetter"/>
      <w:lvlText w:val="%5."/>
      <w:lvlJc w:val="left"/>
      <w:pPr>
        <w:ind w:left="3458" w:hanging="360"/>
      </w:pPr>
    </w:lvl>
    <w:lvl w:ilvl="5" w:tplc="241A001B" w:tentative="1">
      <w:start w:val="1"/>
      <w:numFmt w:val="lowerRoman"/>
      <w:lvlText w:val="%6."/>
      <w:lvlJc w:val="right"/>
      <w:pPr>
        <w:ind w:left="4178" w:hanging="180"/>
      </w:pPr>
    </w:lvl>
    <w:lvl w:ilvl="6" w:tplc="241A000F" w:tentative="1">
      <w:start w:val="1"/>
      <w:numFmt w:val="decimal"/>
      <w:lvlText w:val="%7."/>
      <w:lvlJc w:val="left"/>
      <w:pPr>
        <w:ind w:left="4898" w:hanging="360"/>
      </w:pPr>
    </w:lvl>
    <w:lvl w:ilvl="7" w:tplc="241A0019" w:tentative="1">
      <w:start w:val="1"/>
      <w:numFmt w:val="lowerLetter"/>
      <w:lvlText w:val="%8."/>
      <w:lvlJc w:val="left"/>
      <w:pPr>
        <w:ind w:left="5618" w:hanging="360"/>
      </w:pPr>
    </w:lvl>
    <w:lvl w:ilvl="8" w:tplc="241A001B" w:tentative="1">
      <w:start w:val="1"/>
      <w:numFmt w:val="lowerRoman"/>
      <w:lvlText w:val="%9."/>
      <w:lvlJc w:val="right"/>
      <w:pPr>
        <w:ind w:left="6338" w:hanging="180"/>
      </w:pPr>
    </w:lvl>
  </w:abstractNum>
  <w:abstractNum w:abstractNumId="7" w15:restartNumberingAfterBreak="0">
    <w:nsid w:val="2DB1147B"/>
    <w:multiLevelType w:val="hybridMultilevel"/>
    <w:tmpl w:val="ADD42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42649A"/>
    <w:multiLevelType w:val="multilevel"/>
    <w:tmpl w:val="7C48611E"/>
    <w:lvl w:ilvl="0">
      <w:start w:val="1"/>
      <w:numFmt w:val="decimal"/>
      <w:lvlText w:val="%1)"/>
      <w:lvlJc w:val="left"/>
      <w:rPr>
        <w:strike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F44032"/>
    <w:multiLevelType w:val="hybridMultilevel"/>
    <w:tmpl w:val="DC4E21D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473F033D"/>
    <w:multiLevelType w:val="hybridMultilevel"/>
    <w:tmpl w:val="E26CF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8B50F9"/>
    <w:multiLevelType w:val="hybridMultilevel"/>
    <w:tmpl w:val="923A6748"/>
    <w:lvl w:ilvl="0" w:tplc="04090011">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452078"/>
    <w:multiLevelType w:val="hybridMultilevel"/>
    <w:tmpl w:val="0704A840"/>
    <w:lvl w:ilvl="0" w:tplc="2EBA1E70">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59124FEA"/>
    <w:multiLevelType w:val="hybridMultilevel"/>
    <w:tmpl w:val="FE38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C81A41"/>
    <w:multiLevelType w:val="hybridMultilevel"/>
    <w:tmpl w:val="3D9CECCA"/>
    <w:lvl w:ilvl="0" w:tplc="73BA0A0E">
      <w:start w:val="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104791"/>
    <w:multiLevelType w:val="hybridMultilevel"/>
    <w:tmpl w:val="A57AE89E"/>
    <w:lvl w:ilvl="0" w:tplc="836EB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A85D7F"/>
    <w:multiLevelType w:val="hybridMultilevel"/>
    <w:tmpl w:val="4FEC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470D4B"/>
    <w:multiLevelType w:val="hybridMultilevel"/>
    <w:tmpl w:val="9E663ED2"/>
    <w:lvl w:ilvl="0" w:tplc="3FD082B4">
      <w:start w:val="1"/>
      <w:numFmt w:val="decimal"/>
      <w:lvlText w:val="%1."/>
      <w:lvlJc w:val="left"/>
      <w:pPr>
        <w:ind w:left="574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2301BB"/>
    <w:multiLevelType w:val="hybridMultilevel"/>
    <w:tmpl w:val="775EDFB6"/>
    <w:lvl w:ilvl="0" w:tplc="7CA2F3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D575E5"/>
    <w:multiLevelType w:val="hybridMultilevel"/>
    <w:tmpl w:val="3AD8E75E"/>
    <w:lvl w:ilvl="0" w:tplc="105CE8C4">
      <w:start w:val="1"/>
      <w:numFmt w:val="decimal"/>
      <w:lvlText w:val="%1."/>
      <w:lvlJc w:val="left"/>
      <w:pPr>
        <w:ind w:left="1109" w:hanging="720"/>
      </w:pPr>
      <w:rPr>
        <w:rFonts w:hint="default"/>
      </w:rPr>
    </w:lvl>
    <w:lvl w:ilvl="1" w:tplc="241A0019" w:tentative="1">
      <w:start w:val="1"/>
      <w:numFmt w:val="lowerLetter"/>
      <w:lvlText w:val="%2."/>
      <w:lvlJc w:val="left"/>
      <w:pPr>
        <w:ind w:left="1403" w:hanging="360"/>
      </w:pPr>
    </w:lvl>
    <w:lvl w:ilvl="2" w:tplc="241A001B" w:tentative="1">
      <w:start w:val="1"/>
      <w:numFmt w:val="lowerRoman"/>
      <w:lvlText w:val="%3."/>
      <w:lvlJc w:val="right"/>
      <w:pPr>
        <w:ind w:left="2123" w:hanging="180"/>
      </w:pPr>
    </w:lvl>
    <w:lvl w:ilvl="3" w:tplc="241A000F" w:tentative="1">
      <w:start w:val="1"/>
      <w:numFmt w:val="decimal"/>
      <w:lvlText w:val="%4."/>
      <w:lvlJc w:val="left"/>
      <w:pPr>
        <w:ind w:left="2843" w:hanging="360"/>
      </w:pPr>
    </w:lvl>
    <w:lvl w:ilvl="4" w:tplc="241A0019" w:tentative="1">
      <w:start w:val="1"/>
      <w:numFmt w:val="lowerLetter"/>
      <w:lvlText w:val="%5."/>
      <w:lvlJc w:val="left"/>
      <w:pPr>
        <w:ind w:left="3563" w:hanging="360"/>
      </w:pPr>
    </w:lvl>
    <w:lvl w:ilvl="5" w:tplc="241A001B" w:tentative="1">
      <w:start w:val="1"/>
      <w:numFmt w:val="lowerRoman"/>
      <w:lvlText w:val="%6."/>
      <w:lvlJc w:val="right"/>
      <w:pPr>
        <w:ind w:left="4283" w:hanging="180"/>
      </w:pPr>
    </w:lvl>
    <w:lvl w:ilvl="6" w:tplc="241A000F" w:tentative="1">
      <w:start w:val="1"/>
      <w:numFmt w:val="decimal"/>
      <w:lvlText w:val="%7."/>
      <w:lvlJc w:val="left"/>
      <w:pPr>
        <w:ind w:left="5003" w:hanging="360"/>
      </w:pPr>
    </w:lvl>
    <w:lvl w:ilvl="7" w:tplc="241A0019" w:tentative="1">
      <w:start w:val="1"/>
      <w:numFmt w:val="lowerLetter"/>
      <w:lvlText w:val="%8."/>
      <w:lvlJc w:val="left"/>
      <w:pPr>
        <w:ind w:left="5723" w:hanging="360"/>
      </w:pPr>
    </w:lvl>
    <w:lvl w:ilvl="8" w:tplc="241A001B" w:tentative="1">
      <w:start w:val="1"/>
      <w:numFmt w:val="lowerRoman"/>
      <w:lvlText w:val="%9."/>
      <w:lvlJc w:val="right"/>
      <w:pPr>
        <w:ind w:left="6443" w:hanging="180"/>
      </w:pPr>
    </w:lvl>
  </w:abstractNum>
  <w:abstractNum w:abstractNumId="20" w15:restartNumberingAfterBreak="0">
    <w:nsid w:val="7FB05E68"/>
    <w:multiLevelType w:val="hybridMultilevel"/>
    <w:tmpl w:val="26BC4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3"/>
  </w:num>
  <w:num w:numId="3">
    <w:abstractNumId w:val="17"/>
  </w:num>
  <w:num w:numId="4">
    <w:abstractNumId w:val="20"/>
  </w:num>
  <w:num w:numId="5">
    <w:abstractNumId w:val="1"/>
  </w:num>
  <w:num w:numId="6">
    <w:abstractNumId w:val="13"/>
  </w:num>
  <w:num w:numId="7">
    <w:abstractNumId w:val="7"/>
  </w:num>
  <w:num w:numId="8">
    <w:abstractNumId w:val="18"/>
  </w:num>
  <w:num w:numId="9">
    <w:abstractNumId w:val="4"/>
  </w:num>
  <w:num w:numId="10">
    <w:abstractNumId w:val="11"/>
  </w:num>
  <w:num w:numId="11">
    <w:abstractNumId w:val="10"/>
  </w:num>
  <w:num w:numId="12">
    <w:abstractNumId w:val="8"/>
  </w:num>
  <w:num w:numId="13">
    <w:abstractNumId w:val="0"/>
  </w:num>
  <w:num w:numId="14">
    <w:abstractNumId w:val="2"/>
  </w:num>
  <w:num w:numId="15">
    <w:abstractNumId w:val="12"/>
  </w:num>
  <w:num w:numId="16">
    <w:abstractNumId w:val="5"/>
  </w:num>
  <w:num w:numId="17">
    <w:abstractNumId w:val="9"/>
  </w:num>
  <w:num w:numId="18">
    <w:abstractNumId w:val="14"/>
  </w:num>
  <w:num w:numId="19">
    <w:abstractNumId w:val="16"/>
  </w:num>
  <w:num w:numId="20">
    <w:abstractNumId w:val="6"/>
  </w:num>
  <w:num w:numId="21">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15E"/>
    <w:rsid w:val="00002FF5"/>
    <w:rsid w:val="00005B9B"/>
    <w:rsid w:val="00005F2E"/>
    <w:rsid w:val="000158AF"/>
    <w:rsid w:val="00015FCD"/>
    <w:rsid w:val="00017C49"/>
    <w:rsid w:val="000202DF"/>
    <w:rsid w:val="00020953"/>
    <w:rsid w:val="00020A62"/>
    <w:rsid w:val="00021F64"/>
    <w:rsid w:val="000220BB"/>
    <w:rsid w:val="000259B2"/>
    <w:rsid w:val="000266B9"/>
    <w:rsid w:val="00026E9B"/>
    <w:rsid w:val="000340A3"/>
    <w:rsid w:val="00036951"/>
    <w:rsid w:val="00036EA6"/>
    <w:rsid w:val="000515BC"/>
    <w:rsid w:val="00055A83"/>
    <w:rsid w:val="00057FE9"/>
    <w:rsid w:val="00060367"/>
    <w:rsid w:val="000619B0"/>
    <w:rsid w:val="0006212E"/>
    <w:rsid w:val="00064FE7"/>
    <w:rsid w:val="00066292"/>
    <w:rsid w:val="00071C8D"/>
    <w:rsid w:val="00073EA0"/>
    <w:rsid w:val="00074DD3"/>
    <w:rsid w:val="00075650"/>
    <w:rsid w:val="000762C4"/>
    <w:rsid w:val="000773AA"/>
    <w:rsid w:val="00085D2F"/>
    <w:rsid w:val="000A69F5"/>
    <w:rsid w:val="000A73A4"/>
    <w:rsid w:val="000B36CF"/>
    <w:rsid w:val="000B78CE"/>
    <w:rsid w:val="000C0C08"/>
    <w:rsid w:val="000C1DB0"/>
    <w:rsid w:val="000C2FCC"/>
    <w:rsid w:val="000C3A02"/>
    <w:rsid w:val="000C4EB0"/>
    <w:rsid w:val="000C5CE8"/>
    <w:rsid w:val="000D39F5"/>
    <w:rsid w:val="000D7791"/>
    <w:rsid w:val="000E421C"/>
    <w:rsid w:val="000E66A0"/>
    <w:rsid w:val="000F4385"/>
    <w:rsid w:val="000F47DB"/>
    <w:rsid w:val="000F6263"/>
    <w:rsid w:val="00100328"/>
    <w:rsid w:val="00102E3F"/>
    <w:rsid w:val="00103867"/>
    <w:rsid w:val="001104DC"/>
    <w:rsid w:val="00120972"/>
    <w:rsid w:val="00123B1A"/>
    <w:rsid w:val="00141551"/>
    <w:rsid w:val="00142370"/>
    <w:rsid w:val="00142714"/>
    <w:rsid w:val="00143630"/>
    <w:rsid w:val="00153006"/>
    <w:rsid w:val="00155C18"/>
    <w:rsid w:val="00163471"/>
    <w:rsid w:val="00164C15"/>
    <w:rsid w:val="00170D9F"/>
    <w:rsid w:val="00181F77"/>
    <w:rsid w:val="00184CC0"/>
    <w:rsid w:val="00186647"/>
    <w:rsid w:val="001901EE"/>
    <w:rsid w:val="00190D4C"/>
    <w:rsid w:val="00195809"/>
    <w:rsid w:val="00197C16"/>
    <w:rsid w:val="001A1EC4"/>
    <w:rsid w:val="001A1EEF"/>
    <w:rsid w:val="001A3755"/>
    <w:rsid w:val="001B2977"/>
    <w:rsid w:val="001B5E90"/>
    <w:rsid w:val="001C01F1"/>
    <w:rsid w:val="001C132A"/>
    <w:rsid w:val="001C4457"/>
    <w:rsid w:val="001C65A0"/>
    <w:rsid w:val="001D03C8"/>
    <w:rsid w:val="001D4B86"/>
    <w:rsid w:val="001D6321"/>
    <w:rsid w:val="001D635C"/>
    <w:rsid w:val="001E3C45"/>
    <w:rsid w:val="001E3D35"/>
    <w:rsid w:val="001F2FAE"/>
    <w:rsid w:val="001F5E9C"/>
    <w:rsid w:val="0020181D"/>
    <w:rsid w:val="00203CBD"/>
    <w:rsid w:val="00207253"/>
    <w:rsid w:val="00211707"/>
    <w:rsid w:val="002133FD"/>
    <w:rsid w:val="00224622"/>
    <w:rsid w:val="00224F34"/>
    <w:rsid w:val="00225BDC"/>
    <w:rsid w:val="00233F04"/>
    <w:rsid w:val="00240041"/>
    <w:rsid w:val="002406CD"/>
    <w:rsid w:val="00242306"/>
    <w:rsid w:val="002437DD"/>
    <w:rsid w:val="00244A02"/>
    <w:rsid w:val="002476E6"/>
    <w:rsid w:val="002521AD"/>
    <w:rsid w:val="00252461"/>
    <w:rsid w:val="002550DA"/>
    <w:rsid w:val="002641C2"/>
    <w:rsid w:val="0026609B"/>
    <w:rsid w:val="002763B9"/>
    <w:rsid w:val="002803A9"/>
    <w:rsid w:val="002826EC"/>
    <w:rsid w:val="0028626B"/>
    <w:rsid w:val="002922B3"/>
    <w:rsid w:val="0029283E"/>
    <w:rsid w:val="00292ACC"/>
    <w:rsid w:val="00292ED0"/>
    <w:rsid w:val="00293036"/>
    <w:rsid w:val="002A2310"/>
    <w:rsid w:val="002A5D3D"/>
    <w:rsid w:val="002B1846"/>
    <w:rsid w:val="002B29DE"/>
    <w:rsid w:val="002B3DB9"/>
    <w:rsid w:val="002B5BB7"/>
    <w:rsid w:val="002B6BA4"/>
    <w:rsid w:val="002B6CFB"/>
    <w:rsid w:val="002C5CF6"/>
    <w:rsid w:val="002C7F35"/>
    <w:rsid w:val="002D4708"/>
    <w:rsid w:val="002D5A96"/>
    <w:rsid w:val="002D6685"/>
    <w:rsid w:val="002D71E4"/>
    <w:rsid w:val="002E02C5"/>
    <w:rsid w:val="002E4CF3"/>
    <w:rsid w:val="002F255C"/>
    <w:rsid w:val="002F539F"/>
    <w:rsid w:val="002F5517"/>
    <w:rsid w:val="002F5C18"/>
    <w:rsid w:val="0030046D"/>
    <w:rsid w:val="00301E16"/>
    <w:rsid w:val="00311785"/>
    <w:rsid w:val="00312B9F"/>
    <w:rsid w:val="0031404F"/>
    <w:rsid w:val="00315062"/>
    <w:rsid w:val="003163B7"/>
    <w:rsid w:val="00316814"/>
    <w:rsid w:val="00316B92"/>
    <w:rsid w:val="00316F73"/>
    <w:rsid w:val="00334B30"/>
    <w:rsid w:val="003400C4"/>
    <w:rsid w:val="0034107F"/>
    <w:rsid w:val="00346322"/>
    <w:rsid w:val="003517FA"/>
    <w:rsid w:val="00354377"/>
    <w:rsid w:val="00362B81"/>
    <w:rsid w:val="00363E87"/>
    <w:rsid w:val="00365948"/>
    <w:rsid w:val="0037325D"/>
    <w:rsid w:val="003747E1"/>
    <w:rsid w:val="0037757C"/>
    <w:rsid w:val="003814CA"/>
    <w:rsid w:val="003816FC"/>
    <w:rsid w:val="003831FB"/>
    <w:rsid w:val="003937A5"/>
    <w:rsid w:val="00395895"/>
    <w:rsid w:val="00396CEE"/>
    <w:rsid w:val="003978AD"/>
    <w:rsid w:val="003B19E1"/>
    <w:rsid w:val="003C07A3"/>
    <w:rsid w:val="003D27C6"/>
    <w:rsid w:val="003D2B0F"/>
    <w:rsid w:val="003D5417"/>
    <w:rsid w:val="003D682F"/>
    <w:rsid w:val="003D7B1E"/>
    <w:rsid w:val="003E32BF"/>
    <w:rsid w:val="003E54EB"/>
    <w:rsid w:val="003F5D08"/>
    <w:rsid w:val="003F6DD4"/>
    <w:rsid w:val="00403D89"/>
    <w:rsid w:val="00403F54"/>
    <w:rsid w:val="0040626B"/>
    <w:rsid w:val="00406424"/>
    <w:rsid w:val="00411070"/>
    <w:rsid w:val="00420271"/>
    <w:rsid w:val="00420E82"/>
    <w:rsid w:val="00430B54"/>
    <w:rsid w:val="004321BA"/>
    <w:rsid w:val="004326A0"/>
    <w:rsid w:val="00433AD0"/>
    <w:rsid w:val="0044042E"/>
    <w:rsid w:val="00451831"/>
    <w:rsid w:val="004521CF"/>
    <w:rsid w:val="004528C5"/>
    <w:rsid w:val="00454A29"/>
    <w:rsid w:val="004551F3"/>
    <w:rsid w:val="004553CA"/>
    <w:rsid w:val="004663F5"/>
    <w:rsid w:val="00466B7A"/>
    <w:rsid w:val="0047297A"/>
    <w:rsid w:val="0047599F"/>
    <w:rsid w:val="00475A9B"/>
    <w:rsid w:val="00477D0D"/>
    <w:rsid w:val="00482660"/>
    <w:rsid w:val="00482A91"/>
    <w:rsid w:val="00484297"/>
    <w:rsid w:val="004866A9"/>
    <w:rsid w:val="004866EA"/>
    <w:rsid w:val="00490021"/>
    <w:rsid w:val="00490B3C"/>
    <w:rsid w:val="00491C3C"/>
    <w:rsid w:val="00492035"/>
    <w:rsid w:val="0049367D"/>
    <w:rsid w:val="004A281E"/>
    <w:rsid w:val="004B0BE9"/>
    <w:rsid w:val="004B3E4B"/>
    <w:rsid w:val="004B42F7"/>
    <w:rsid w:val="004B4E79"/>
    <w:rsid w:val="004B7209"/>
    <w:rsid w:val="004B7D3B"/>
    <w:rsid w:val="004C1439"/>
    <w:rsid w:val="004C20F5"/>
    <w:rsid w:val="004C54F4"/>
    <w:rsid w:val="004C768F"/>
    <w:rsid w:val="004D0709"/>
    <w:rsid w:val="004D5A41"/>
    <w:rsid w:val="004D5F2A"/>
    <w:rsid w:val="004E07E5"/>
    <w:rsid w:val="004E37D2"/>
    <w:rsid w:val="004E46FA"/>
    <w:rsid w:val="004E68E7"/>
    <w:rsid w:val="004F0CD0"/>
    <w:rsid w:val="004F0EEC"/>
    <w:rsid w:val="004F1449"/>
    <w:rsid w:val="004F3767"/>
    <w:rsid w:val="004F40F5"/>
    <w:rsid w:val="004F6E9E"/>
    <w:rsid w:val="004F7637"/>
    <w:rsid w:val="005023FD"/>
    <w:rsid w:val="0051059D"/>
    <w:rsid w:val="00513DBD"/>
    <w:rsid w:val="0053079A"/>
    <w:rsid w:val="0053658F"/>
    <w:rsid w:val="00536951"/>
    <w:rsid w:val="00536965"/>
    <w:rsid w:val="005439C0"/>
    <w:rsid w:val="00545866"/>
    <w:rsid w:val="00546A16"/>
    <w:rsid w:val="00554539"/>
    <w:rsid w:val="00555B8B"/>
    <w:rsid w:val="00555E53"/>
    <w:rsid w:val="00563894"/>
    <w:rsid w:val="00567BD7"/>
    <w:rsid w:val="0057001C"/>
    <w:rsid w:val="00575435"/>
    <w:rsid w:val="0058219D"/>
    <w:rsid w:val="005867EC"/>
    <w:rsid w:val="00586EEE"/>
    <w:rsid w:val="005913F8"/>
    <w:rsid w:val="00591643"/>
    <w:rsid w:val="00591E2F"/>
    <w:rsid w:val="005A296F"/>
    <w:rsid w:val="005A38E9"/>
    <w:rsid w:val="005A626B"/>
    <w:rsid w:val="005A6B91"/>
    <w:rsid w:val="005B2271"/>
    <w:rsid w:val="005B2845"/>
    <w:rsid w:val="005B43C8"/>
    <w:rsid w:val="005B46A0"/>
    <w:rsid w:val="005B497C"/>
    <w:rsid w:val="005C0084"/>
    <w:rsid w:val="005C0A40"/>
    <w:rsid w:val="005C3D18"/>
    <w:rsid w:val="005C4F30"/>
    <w:rsid w:val="005C6611"/>
    <w:rsid w:val="005D3DF5"/>
    <w:rsid w:val="005F101B"/>
    <w:rsid w:val="005F3940"/>
    <w:rsid w:val="00600E7F"/>
    <w:rsid w:val="00601A33"/>
    <w:rsid w:val="00601E8F"/>
    <w:rsid w:val="00602D6D"/>
    <w:rsid w:val="00610760"/>
    <w:rsid w:val="00613A24"/>
    <w:rsid w:val="00616237"/>
    <w:rsid w:val="00620F26"/>
    <w:rsid w:val="00621332"/>
    <w:rsid w:val="00622205"/>
    <w:rsid w:val="00626622"/>
    <w:rsid w:val="0062780F"/>
    <w:rsid w:val="00631BD8"/>
    <w:rsid w:val="00632F24"/>
    <w:rsid w:val="006341B7"/>
    <w:rsid w:val="006362B8"/>
    <w:rsid w:val="006411CF"/>
    <w:rsid w:val="006665C6"/>
    <w:rsid w:val="00667FBB"/>
    <w:rsid w:val="00675854"/>
    <w:rsid w:val="00676856"/>
    <w:rsid w:val="006823F3"/>
    <w:rsid w:val="00686E8A"/>
    <w:rsid w:val="00694200"/>
    <w:rsid w:val="006A0291"/>
    <w:rsid w:val="006A2C4B"/>
    <w:rsid w:val="006A6BDA"/>
    <w:rsid w:val="006A76F0"/>
    <w:rsid w:val="006A7C21"/>
    <w:rsid w:val="006B6CC2"/>
    <w:rsid w:val="006B783F"/>
    <w:rsid w:val="006C057E"/>
    <w:rsid w:val="006C106B"/>
    <w:rsid w:val="006C51D5"/>
    <w:rsid w:val="006D0726"/>
    <w:rsid w:val="006D2DF5"/>
    <w:rsid w:val="006D4FDF"/>
    <w:rsid w:val="006D7A4B"/>
    <w:rsid w:val="006E2A77"/>
    <w:rsid w:val="006E3EA6"/>
    <w:rsid w:val="006E5FDB"/>
    <w:rsid w:val="006E6517"/>
    <w:rsid w:val="006F0481"/>
    <w:rsid w:val="006F1230"/>
    <w:rsid w:val="006F4BC7"/>
    <w:rsid w:val="006F6490"/>
    <w:rsid w:val="006F7E1F"/>
    <w:rsid w:val="00703DE9"/>
    <w:rsid w:val="00706BF3"/>
    <w:rsid w:val="00706EE7"/>
    <w:rsid w:val="007107C3"/>
    <w:rsid w:val="007128EC"/>
    <w:rsid w:val="00713E8B"/>
    <w:rsid w:val="0072031B"/>
    <w:rsid w:val="00720848"/>
    <w:rsid w:val="00721770"/>
    <w:rsid w:val="00722E96"/>
    <w:rsid w:val="0072430E"/>
    <w:rsid w:val="007259C5"/>
    <w:rsid w:val="00730318"/>
    <w:rsid w:val="00730382"/>
    <w:rsid w:val="00730BAA"/>
    <w:rsid w:val="00731699"/>
    <w:rsid w:val="00733872"/>
    <w:rsid w:val="007340EE"/>
    <w:rsid w:val="007346E8"/>
    <w:rsid w:val="0074322B"/>
    <w:rsid w:val="007460DB"/>
    <w:rsid w:val="00751810"/>
    <w:rsid w:val="00751D34"/>
    <w:rsid w:val="007578D1"/>
    <w:rsid w:val="007604F8"/>
    <w:rsid w:val="0076124E"/>
    <w:rsid w:val="00761A84"/>
    <w:rsid w:val="00763203"/>
    <w:rsid w:val="007656BC"/>
    <w:rsid w:val="007742A0"/>
    <w:rsid w:val="00774594"/>
    <w:rsid w:val="00774DAE"/>
    <w:rsid w:val="00775DD7"/>
    <w:rsid w:val="0077654E"/>
    <w:rsid w:val="007853B7"/>
    <w:rsid w:val="00787AD4"/>
    <w:rsid w:val="00787FEB"/>
    <w:rsid w:val="0079120E"/>
    <w:rsid w:val="00792238"/>
    <w:rsid w:val="00795A65"/>
    <w:rsid w:val="007A23C1"/>
    <w:rsid w:val="007A5AEF"/>
    <w:rsid w:val="007B47F5"/>
    <w:rsid w:val="007B4D2D"/>
    <w:rsid w:val="007B5D02"/>
    <w:rsid w:val="007C4249"/>
    <w:rsid w:val="007C47CE"/>
    <w:rsid w:val="007C495F"/>
    <w:rsid w:val="007C68CC"/>
    <w:rsid w:val="007D02E8"/>
    <w:rsid w:val="007D39DC"/>
    <w:rsid w:val="007D4A22"/>
    <w:rsid w:val="007D5B6F"/>
    <w:rsid w:val="007E0675"/>
    <w:rsid w:val="007E517C"/>
    <w:rsid w:val="007E679E"/>
    <w:rsid w:val="00800688"/>
    <w:rsid w:val="0080449F"/>
    <w:rsid w:val="00806C73"/>
    <w:rsid w:val="00807328"/>
    <w:rsid w:val="00807AE6"/>
    <w:rsid w:val="00813D7B"/>
    <w:rsid w:val="00815874"/>
    <w:rsid w:val="00820164"/>
    <w:rsid w:val="00830F90"/>
    <w:rsid w:val="0083229B"/>
    <w:rsid w:val="008425B7"/>
    <w:rsid w:val="00843DB1"/>
    <w:rsid w:val="0084556E"/>
    <w:rsid w:val="008513E2"/>
    <w:rsid w:val="008535E3"/>
    <w:rsid w:val="008636D5"/>
    <w:rsid w:val="00867E42"/>
    <w:rsid w:val="008700BC"/>
    <w:rsid w:val="00872461"/>
    <w:rsid w:val="00874C30"/>
    <w:rsid w:val="0087579F"/>
    <w:rsid w:val="008760EB"/>
    <w:rsid w:val="00880232"/>
    <w:rsid w:val="00882211"/>
    <w:rsid w:val="00883BFF"/>
    <w:rsid w:val="008913C8"/>
    <w:rsid w:val="00892636"/>
    <w:rsid w:val="00893EC8"/>
    <w:rsid w:val="00895C6E"/>
    <w:rsid w:val="008973F5"/>
    <w:rsid w:val="00897C80"/>
    <w:rsid w:val="008A0E85"/>
    <w:rsid w:val="008B11E9"/>
    <w:rsid w:val="008B4BB1"/>
    <w:rsid w:val="008C0783"/>
    <w:rsid w:val="008C2AA3"/>
    <w:rsid w:val="008D3D68"/>
    <w:rsid w:val="008D483A"/>
    <w:rsid w:val="008D612A"/>
    <w:rsid w:val="008D79B6"/>
    <w:rsid w:val="008E09F9"/>
    <w:rsid w:val="008E2D7E"/>
    <w:rsid w:val="008F1AE3"/>
    <w:rsid w:val="008F214C"/>
    <w:rsid w:val="008F346F"/>
    <w:rsid w:val="008F588C"/>
    <w:rsid w:val="008F776F"/>
    <w:rsid w:val="008F7C6D"/>
    <w:rsid w:val="0090219B"/>
    <w:rsid w:val="0090273C"/>
    <w:rsid w:val="00905A30"/>
    <w:rsid w:val="00915D4E"/>
    <w:rsid w:val="00916332"/>
    <w:rsid w:val="00916392"/>
    <w:rsid w:val="0091664E"/>
    <w:rsid w:val="009212B4"/>
    <w:rsid w:val="00921879"/>
    <w:rsid w:val="0092365E"/>
    <w:rsid w:val="0092395D"/>
    <w:rsid w:val="009245EC"/>
    <w:rsid w:val="009247AE"/>
    <w:rsid w:val="0093100D"/>
    <w:rsid w:val="009349C1"/>
    <w:rsid w:val="0093712A"/>
    <w:rsid w:val="00937290"/>
    <w:rsid w:val="009403F3"/>
    <w:rsid w:val="00946FE9"/>
    <w:rsid w:val="00952A7F"/>
    <w:rsid w:val="00953A51"/>
    <w:rsid w:val="00955615"/>
    <w:rsid w:val="00955F32"/>
    <w:rsid w:val="009638FE"/>
    <w:rsid w:val="00966A09"/>
    <w:rsid w:val="00970FE4"/>
    <w:rsid w:val="00971258"/>
    <w:rsid w:val="0097427E"/>
    <w:rsid w:val="00974DDE"/>
    <w:rsid w:val="00983BA8"/>
    <w:rsid w:val="009925FF"/>
    <w:rsid w:val="0099416D"/>
    <w:rsid w:val="00995D77"/>
    <w:rsid w:val="009965B6"/>
    <w:rsid w:val="009A0046"/>
    <w:rsid w:val="009A6961"/>
    <w:rsid w:val="009A6D65"/>
    <w:rsid w:val="009B09B5"/>
    <w:rsid w:val="009B1C99"/>
    <w:rsid w:val="009B1F7F"/>
    <w:rsid w:val="009B4420"/>
    <w:rsid w:val="009B49A3"/>
    <w:rsid w:val="009B69B0"/>
    <w:rsid w:val="009C16EA"/>
    <w:rsid w:val="009C19B7"/>
    <w:rsid w:val="009C248E"/>
    <w:rsid w:val="009C681E"/>
    <w:rsid w:val="009C7CC1"/>
    <w:rsid w:val="009D4FE3"/>
    <w:rsid w:val="009E01FF"/>
    <w:rsid w:val="009E46B6"/>
    <w:rsid w:val="009E576B"/>
    <w:rsid w:val="009E701C"/>
    <w:rsid w:val="009F023B"/>
    <w:rsid w:val="009F5791"/>
    <w:rsid w:val="009F6E44"/>
    <w:rsid w:val="00A01B62"/>
    <w:rsid w:val="00A07A32"/>
    <w:rsid w:val="00A10644"/>
    <w:rsid w:val="00A138B3"/>
    <w:rsid w:val="00A1397A"/>
    <w:rsid w:val="00A161B2"/>
    <w:rsid w:val="00A23A56"/>
    <w:rsid w:val="00A24291"/>
    <w:rsid w:val="00A349B9"/>
    <w:rsid w:val="00A36252"/>
    <w:rsid w:val="00A41165"/>
    <w:rsid w:val="00A5248C"/>
    <w:rsid w:val="00A530CC"/>
    <w:rsid w:val="00A53416"/>
    <w:rsid w:val="00A5519A"/>
    <w:rsid w:val="00A612EE"/>
    <w:rsid w:val="00A6765B"/>
    <w:rsid w:val="00A712BB"/>
    <w:rsid w:val="00A728FE"/>
    <w:rsid w:val="00A74897"/>
    <w:rsid w:val="00A80D1C"/>
    <w:rsid w:val="00A829F6"/>
    <w:rsid w:val="00A8616A"/>
    <w:rsid w:val="00A939FD"/>
    <w:rsid w:val="00A93BE4"/>
    <w:rsid w:val="00A95F09"/>
    <w:rsid w:val="00AA3CAF"/>
    <w:rsid w:val="00AA6044"/>
    <w:rsid w:val="00AB1000"/>
    <w:rsid w:val="00AB110A"/>
    <w:rsid w:val="00AB3189"/>
    <w:rsid w:val="00AB78A2"/>
    <w:rsid w:val="00AD179D"/>
    <w:rsid w:val="00AD3B60"/>
    <w:rsid w:val="00AD6D41"/>
    <w:rsid w:val="00AE2CCE"/>
    <w:rsid w:val="00AE62B2"/>
    <w:rsid w:val="00AE7226"/>
    <w:rsid w:val="00AF4EA6"/>
    <w:rsid w:val="00AF53FF"/>
    <w:rsid w:val="00AF697B"/>
    <w:rsid w:val="00AF6D1B"/>
    <w:rsid w:val="00B02030"/>
    <w:rsid w:val="00B05EC8"/>
    <w:rsid w:val="00B10C17"/>
    <w:rsid w:val="00B12BB0"/>
    <w:rsid w:val="00B138F0"/>
    <w:rsid w:val="00B20F1E"/>
    <w:rsid w:val="00B218E5"/>
    <w:rsid w:val="00B243A1"/>
    <w:rsid w:val="00B26ABE"/>
    <w:rsid w:val="00B30651"/>
    <w:rsid w:val="00B32465"/>
    <w:rsid w:val="00B328C7"/>
    <w:rsid w:val="00B34047"/>
    <w:rsid w:val="00B35BFB"/>
    <w:rsid w:val="00B37AC7"/>
    <w:rsid w:val="00B42500"/>
    <w:rsid w:val="00B45817"/>
    <w:rsid w:val="00B47686"/>
    <w:rsid w:val="00B5115E"/>
    <w:rsid w:val="00B550C8"/>
    <w:rsid w:val="00B64C8D"/>
    <w:rsid w:val="00B651D5"/>
    <w:rsid w:val="00B66264"/>
    <w:rsid w:val="00B668A4"/>
    <w:rsid w:val="00B72590"/>
    <w:rsid w:val="00B80FBE"/>
    <w:rsid w:val="00B83DA2"/>
    <w:rsid w:val="00B8640A"/>
    <w:rsid w:val="00B95831"/>
    <w:rsid w:val="00BA1527"/>
    <w:rsid w:val="00BA1FC0"/>
    <w:rsid w:val="00BA5C3F"/>
    <w:rsid w:val="00BB0E5C"/>
    <w:rsid w:val="00BB3191"/>
    <w:rsid w:val="00BB3911"/>
    <w:rsid w:val="00BB4CF9"/>
    <w:rsid w:val="00BB7F31"/>
    <w:rsid w:val="00BC0E4A"/>
    <w:rsid w:val="00BC2BC6"/>
    <w:rsid w:val="00BC5ED6"/>
    <w:rsid w:val="00BD6C56"/>
    <w:rsid w:val="00BE12CE"/>
    <w:rsid w:val="00BE5E43"/>
    <w:rsid w:val="00C00A46"/>
    <w:rsid w:val="00C018D8"/>
    <w:rsid w:val="00C01D0D"/>
    <w:rsid w:val="00C05E0D"/>
    <w:rsid w:val="00C07F8E"/>
    <w:rsid w:val="00C106AC"/>
    <w:rsid w:val="00C123AC"/>
    <w:rsid w:val="00C1242A"/>
    <w:rsid w:val="00C12624"/>
    <w:rsid w:val="00C13017"/>
    <w:rsid w:val="00C160C1"/>
    <w:rsid w:val="00C249D9"/>
    <w:rsid w:val="00C25DC0"/>
    <w:rsid w:val="00C26C06"/>
    <w:rsid w:val="00C31F15"/>
    <w:rsid w:val="00C33BCC"/>
    <w:rsid w:val="00C43100"/>
    <w:rsid w:val="00C45976"/>
    <w:rsid w:val="00C45DDA"/>
    <w:rsid w:val="00C4690A"/>
    <w:rsid w:val="00C539A5"/>
    <w:rsid w:val="00C5584E"/>
    <w:rsid w:val="00C5659B"/>
    <w:rsid w:val="00C606A4"/>
    <w:rsid w:val="00C7039C"/>
    <w:rsid w:val="00C705B9"/>
    <w:rsid w:val="00C73FC4"/>
    <w:rsid w:val="00C74170"/>
    <w:rsid w:val="00C75013"/>
    <w:rsid w:val="00C76178"/>
    <w:rsid w:val="00C82820"/>
    <w:rsid w:val="00C839E3"/>
    <w:rsid w:val="00C90D8F"/>
    <w:rsid w:val="00C92CF0"/>
    <w:rsid w:val="00C94E73"/>
    <w:rsid w:val="00C97CCB"/>
    <w:rsid w:val="00C97EEB"/>
    <w:rsid w:val="00CA4A11"/>
    <w:rsid w:val="00CB3734"/>
    <w:rsid w:val="00CC05BA"/>
    <w:rsid w:val="00CC5FF6"/>
    <w:rsid w:val="00CC6455"/>
    <w:rsid w:val="00CC71A4"/>
    <w:rsid w:val="00CC7799"/>
    <w:rsid w:val="00CC7CE7"/>
    <w:rsid w:val="00CE40E3"/>
    <w:rsid w:val="00CF0B1C"/>
    <w:rsid w:val="00CF5325"/>
    <w:rsid w:val="00CF6F27"/>
    <w:rsid w:val="00CF70E9"/>
    <w:rsid w:val="00CF70F3"/>
    <w:rsid w:val="00D00003"/>
    <w:rsid w:val="00D01008"/>
    <w:rsid w:val="00D025C3"/>
    <w:rsid w:val="00D03B87"/>
    <w:rsid w:val="00D04534"/>
    <w:rsid w:val="00D11CF5"/>
    <w:rsid w:val="00D15E43"/>
    <w:rsid w:val="00D20377"/>
    <w:rsid w:val="00D20441"/>
    <w:rsid w:val="00D21A87"/>
    <w:rsid w:val="00D2617A"/>
    <w:rsid w:val="00D3367C"/>
    <w:rsid w:val="00D36828"/>
    <w:rsid w:val="00D41A5C"/>
    <w:rsid w:val="00D44F7D"/>
    <w:rsid w:val="00D45C14"/>
    <w:rsid w:val="00D46077"/>
    <w:rsid w:val="00D47E2A"/>
    <w:rsid w:val="00D52537"/>
    <w:rsid w:val="00D54303"/>
    <w:rsid w:val="00D55883"/>
    <w:rsid w:val="00D606B3"/>
    <w:rsid w:val="00D60A79"/>
    <w:rsid w:val="00D617A2"/>
    <w:rsid w:val="00D656B9"/>
    <w:rsid w:val="00D72577"/>
    <w:rsid w:val="00D73DF1"/>
    <w:rsid w:val="00D74C9D"/>
    <w:rsid w:val="00D778F2"/>
    <w:rsid w:val="00D8079E"/>
    <w:rsid w:val="00D83B8D"/>
    <w:rsid w:val="00D959EB"/>
    <w:rsid w:val="00D966F2"/>
    <w:rsid w:val="00DA16FC"/>
    <w:rsid w:val="00DA3322"/>
    <w:rsid w:val="00DA35EC"/>
    <w:rsid w:val="00DA5232"/>
    <w:rsid w:val="00DA6B06"/>
    <w:rsid w:val="00DB169B"/>
    <w:rsid w:val="00DB1F89"/>
    <w:rsid w:val="00DB43F0"/>
    <w:rsid w:val="00DB6F31"/>
    <w:rsid w:val="00DC2263"/>
    <w:rsid w:val="00DC248D"/>
    <w:rsid w:val="00DC5050"/>
    <w:rsid w:val="00DD2721"/>
    <w:rsid w:val="00DD3AB8"/>
    <w:rsid w:val="00DE000D"/>
    <w:rsid w:val="00DE0E4E"/>
    <w:rsid w:val="00DE2BD6"/>
    <w:rsid w:val="00DF6581"/>
    <w:rsid w:val="00DF7BF0"/>
    <w:rsid w:val="00E0484F"/>
    <w:rsid w:val="00E05C2F"/>
    <w:rsid w:val="00E11D9F"/>
    <w:rsid w:val="00E12010"/>
    <w:rsid w:val="00E12FB8"/>
    <w:rsid w:val="00E143BC"/>
    <w:rsid w:val="00E15FB4"/>
    <w:rsid w:val="00E21702"/>
    <w:rsid w:val="00E24BDA"/>
    <w:rsid w:val="00E2522E"/>
    <w:rsid w:val="00E27512"/>
    <w:rsid w:val="00E2792A"/>
    <w:rsid w:val="00E35BE1"/>
    <w:rsid w:val="00E36E13"/>
    <w:rsid w:val="00E41C3D"/>
    <w:rsid w:val="00E44E81"/>
    <w:rsid w:val="00E47E09"/>
    <w:rsid w:val="00E574BD"/>
    <w:rsid w:val="00E608DB"/>
    <w:rsid w:val="00E60D3F"/>
    <w:rsid w:val="00E638F6"/>
    <w:rsid w:val="00E64087"/>
    <w:rsid w:val="00E66B1B"/>
    <w:rsid w:val="00E67A92"/>
    <w:rsid w:val="00E7024B"/>
    <w:rsid w:val="00E73726"/>
    <w:rsid w:val="00E75BAD"/>
    <w:rsid w:val="00E76DD9"/>
    <w:rsid w:val="00E83725"/>
    <w:rsid w:val="00E83DB7"/>
    <w:rsid w:val="00E848D2"/>
    <w:rsid w:val="00E86693"/>
    <w:rsid w:val="00E91468"/>
    <w:rsid w:val="00E93BCF"/>
    <w:rsid w:val="00E9702E"/>
    <w:rsid w:val="00EA39D5"/>
    <w:rsid w:val="00EA4651"/>
    <w:rsid w:val="00EA678D"/>
    <w:rsid w:val="00EB1B0D"/>
    <w:rsid w:val="00EB6D9D"/>
    <w:rsid w:val="00EC2292"/>
    <w:rsid w:val="00EC4F2F"/>
    <w:rsid w:val="00EC617C"/>
    <w:rsid w:val="00EC7C77"/>
    <w:rsid w:val="00ED02E9"/>
    <w:rsid w:val="00ED12A2"/>
    <w:rsid w:val="00ED1614"/>
    <w:rsid w:val="00ED56C7"/>
    <w:rsid w:val="00ED6CDE"/>
    <w:rsid w:val="00EE0179"/>
    <w:rsid w:val="00EE0DDC"/>
    <w:rsid w:val="00EE1984"/>
    <w:rsid w:val="00EE2548"/>
    <w:rsid w:val="00EE4E24"/>
    <w:rsid w:val="00EE5B82"/>
    <w:rsid w:val="00EF32BF"/>
    <w:rsid w:val="00EF4D41"/>
    <w:rsid w:val="00EF52B9"/>
    <w:rsid w:val="00F00945"/>
    <w:rsid w:val="00F0121A"/>
    <w:rsid w:val="00F059E1"/>
    <w:rsid w:val="00F16622"/>
    <w:rsid w:val="00F1742E"/>
    <w:rsid w:val="00F2085C"/>
    <w:rsid w:val="00F20B92"/>
    <w:rsid w:val="00F25180"/>
    <w:rsid w:val="00F404E4"/>
    <w:rsid w:val="00F41A40"/>
    <w:rsid w:val="00F4290D"/>
    <w:rsid w:val="00F42953"/>
    <w:rsid w:val="00F436CA"/>
    <w:rsid w:val="00F50B03"/>
    <w:rsid w:val="00F51D03"/>
    <w:rsid w:val="00F52B5A"/>
    <w:rsid w:val="00F56006"/>
    <w:rsid w:val="00F5600C"/>
    <w:rsid w:val="00F6454B"/>
    <w:rsid w:val="00F7071C"/>
    <w:rsid w:val="00F728AD"/>
    <w:rsid w:val="00F800FF"/>
    <w:rsid w:val="00F85616"/>
    <w:rsid w:val="00F85665"/>
    <w:rsid w:val="00F86050"/>
    <w:rsid w:val="00F87802"/>
    <w:rsid w:val="00F90350"/>
    <w:rsid w:val="00F912A8"/>
    <w:rsid w:val="00F91E37"/>
    <w:rsid w:val="00F97789"/>
    <w:rsid w:val="00FA0AF9"/>
    <w:rsid w:val="00FA3887"/>
    <w:rsid w:val="00FA4B06"/>
    <w:rsid w:val="00FB0904"/>
    <w:rsid w:val="00FB2520"/>
    <w:rsid w:val="00FB5103"/>
    <w:rsid w:val="00FC20DE"/>
    <w:rsid w:val="00FC5A4C"/>
    <w:rsid w:val="00FC73B0"/>
    <w:rsid w:val="00FC7E06"/>
    <w:rsid w:val="00FD075B"/>
    <w:rsid w:val="00FD0A0A"/>
    <w:rsid w:val="00FD58FD"/>
    <w:rsid w:val="00FE1977"/>
    <w:rsid w:val="00FE4F3E"/>
    <w:rsid w:val="00FF29D3"/>
    <w:rsid w:val="00FF54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EFF18"/>
  <w15:docId w15:val="{B210A759-0AA1-4F45-8C6D-226719548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15E"/>
    <w:pPr>
      <w:spacing w:after="0" w:line="240" w:lineRule="auto"/>
      <w:jc w:val="both"/>
    </w:pPr>
    <w:rPr>
      <w:rFonts w:ascii="Calibri" w:eastAsia="Times New Roman" w:hAnsi="Calibri" w:cs="Calibri"/>
    </w:rPr>
  </w:style>
  <w:style w:type="paragraph" w:styleId="Heading1">
    <w:name w:val="heading 1"/>
    <w:basedOn w:val="Normal"/>
    <w:next w:val="Normal"/>
    <w:link w:val="Heading1Char"/>
    <w:qFormat/>
    <w:rsid w:val="00B5115E"/>
    <w:pPr>
      <w:keepNext/>
      <w:spacing w:before="240" w:after="60"/>
      <w:jc w:val="left"/>
      <w:outlineLvl w:val="0"/>
    </w:pPr>
    <w:rPr>
      <w:rFonts w:ascii="Cambria" w:eastAsia="Calibri" w:hAnsi="Cambria" w:cs="Times New Roman"/>
      <w:b/>
      <w:bCs/>
      <w:kern w:val="32"/>
      <w:sz w:val="32"/>
      <w:szCs w:val="32"/>
    </w:rPr>
  </w:style>
  <w:style w:type="paragraph" w:styleId="Heading3">
    <w:name w:val="heading 3"/>
    <w:basedOn w:val="Normal"/>
    <w:next w:val="Normal"/>
    <w:link w:val="Heading3Char"/>
    <w:qFormat/>
    <w:rsid w:val="00B5115E"/>
    <w:pPr>
      <w:keepNext/>
      <w:spacing w:before="240" w:after="60"/>
      <w:outlineLvl w:val="2"/>
    </w:pPr>
    <w:rPr>
      <w:rFonts w:ascii="Cambria" w:eastAsia="Calibri"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115E"/>
    <w:rPr>
      <w:rFonts w:ascii="Cambria" w:eastAsia="Calibri" w:hAnsi="Cambria" w:cs="Times New Roman"/>
      <w:b/>
      <w:bCs/>
      <w:kern w:val="32"/>
      <w:sz w:val="32"/>
      <w:szCs w:val="32"/>
    </w:rPr>
  </w:style>
  <w:style w:type="character" w:customStyle="1" w:styleId="Heading3Char">
    <w:name w:val="Heading 3 Char"/>
    <w:basedOn w:val="DefaultParagraphFont"/>
    <w:link w:val="Heading3"/>
    <w:rsid w:val="00B5115E"/>
    <w:rPr>
      <w:rFonts w:ascii="Cambria" w:eastAsia="Calibri" w:hAnsi="Cambria" w:cs="Times New Roman"/>
      <w:b/>
      <w:bCs/>
      <w:sz w:val="26"/>
      <w:szCs w:val="26"/>
    </w:rPr>
  </w:style>
  <w:style w:type="paragraph" w:styleId="BalloonText">
    <w:name w:val="Balloon Text"/>
    <w:basedOn w:val="Normal"/>
    <w:link w:val="BalloonTextChar"/>
    <w:semiHidden/>
    <w:rsid w:val="00B5115E"/>
    <w:rPr>
      <w:rFonts w:ascii="Tahoma" w:eastAsia="Calibri" w:hAnsi="Tahoma" w:cs="Times New Roman"/>
      <w:sz w:val="16"/>
      <w:szCs w:val="16"/>
    </w:rPr>
  </w:style>
  <w:style w:type="character" w:customStyle="1" w:styleId="BalloonTextChar">
    <w:name w:val="Balloon Text Char"/>
    <w:basedOn w:val="DefaultParagraphFont"/>
    <w:link w:val="BalloonText"/>
    <w:semiHidden/>
    <w:rsid w:val="00B5115E"/>
    <w:rPr>
      <w:rFonts w:ascii="Tahoma" w:eastAsia="Calibri" w:hAnsi="Tahoma" w:cs="Times New Roman"/>
      <w:sz w:val="16"/>
      <w:szCs w:val="16"/>
    </w:rPr>
  </w:style>
  <w:style w:type="character" w:customStyle="1" w:styleId="apple-converted-space">
    <w:name w:val="apple-converted-space"/>
    <w:rsid w:val="00B5115E"/>
    <w:rPr>
      <w:rFonts w:cs="Times New Roman"/>
    </w:rPr>
  </w:style>
  <w:style w:type="paragraph" w:styleId="FootnoteText">
    <w:name w:val="footnote text"/>
    <w:basedOn w:val="Normal"/>
    <w:link w:val="FootnoteTextChar"/>
    <w:semiHidden/>
    <w:rsid w:val="00B5115E"/>
    <w:pPr>
      <w:spacing w:line="276" w:lineRule="auto"/>
      <w:jc w:val="left"/>
    </w:pPr>
    <w:rPr>
      <w:rFonts w:eastAsia="Calibri" w:cs="Times New Roman"/>
      <w:sz w:val="20"/>
      <w:szCs w:val="20"/>
    </w:rPr>
  </w:style>
  <w:style w:type="character" w:customStyle="1" w:styleId="FootnoteTextChar">
    <w:name w:val="Footnote Text Char"/>
    <w:basedOn w:val="DefaultParagraphFont"/>
    <w:link w:val="FootnoteText"/>
    <w:semiHidden/>
    <w:rsid w:val="00B5115E"/>
    <w:rPr>
      <w:rFonts w:ascii="Calibri" w:eastAsia="Calibri" w:hAnsi="Calibri" w:cs="Times New Roman"/>
      <w:sz w:val="20"/>
      <w:szCs w:val="20"/>
    </w:rPr>
  </w:style>
  <w:style w:type="character" w:styleId="FootnoteReference">
    <w:name w:val="footnote reference"/>
    <w:semiHidden/>
    <w:rsid w:val="00B5115E"/>
    <w:rPr>
      <w:rFonts w:cs="Times New Roman"/>
      <w:vertAlign w:val="superscript"/>
    </w:rPr>
  </w:style>
  <w:style w:type="paragraph" w:customStyle="1" w:styleId="wyq120---podnaslov-clana">
    <w:name w:val="wyq120---podnaslov-clana"/>
    <w:basedOn w:val="Normal"/>
    <w:rsid w:val="00B5115E"/>
    <w:pPr>
      <w:spacing w:before="240" w:after="240"/>
      <w:jc w:val="center"/>
    </w:pPr>
    <w:rPr>
      <w:rFonts w:ascii="Arial" w:eastAsia="Calibri" w:hAnsi="Arial" w:cs="Arial"/>
      <w:i/>
      <w:iCs/>
      <w:sz w:val="24"/>
      <w:szCs w:val="24"/>
    </w:rPr>
  </w:style>
  <w:style w:type="paragraph" w:customStyle="1" w:styleId="clan">
    <w:name w:val="clan"/>
    <w:basedOn w:val="Normal"/>
    <w:rsid w:val="00B5115E"/>
    <w:pPr>
      <w:spacing w:before="240" w:after="120"/>
      <w:jc w:val="center"/>
    </w:pPr>
    <w:rPr>
      <w:rFonts w:ascii="Arial" w:eastAsia="Calibri" w:hAnsi="Arial" w:cs="Arial"/>
      <w:b/>
      <w:bCs/>
      <w:sz w:val="24"/>
      <w:szCs w:val="24"/>
    </w:rPr>
  </w:style>
  <w:style w:type="paragraph" w:customStyle="1" w:styleId="Normal1">
    <w:name w:val="Normal1"/>
    <w:basedOn w:val="Normal"/>
    <w:rsid w:val="00B5115E"/>
    <w:pPr>
      <w:spacing w:before="100" w:beforeAutospacing="1" w:after="100" w:afterAutospacing="1"/>
      <w:jc w:val="left"/>
    </w:pPr>
    <w:rPr>
      <w:rFonts w:ascii="Arial" w:eastAsia="Calibri" w:hAnsi="Arial" w:cs="Arial"/>
    </w:rPr>
  </w:style>
  <w:style w:type="character" w:customStyle="1" w:styleId="expand1">
    <w:name w:val="expand1"/>
    <w:rsid w:val="00B5115E"/>
    <w:rPr>
      <w:rFonts w:ascii="Arial" w:hAnsi="Arial" w:cs="Arial"/>
      <w:vanish/>
      <w:sz w:val="15"/>
      <w:szCs w:val="15"/>
    </w:rPr>
  </w:style>
  <w:style w:type="character" w:styleId="Hyperlink">
    <w:name w:val="Hyperlink"/>
    <w:rsid w:val="00B5115E"/>
    <w:rPr>
      <w:rFonts w:ascii="Arial" w:hAnsi="Arial" w:cs="Arial"/>
      <w:color w:val="auto"/>
      <w:sz w:val="14"/>
      <w:szCs w:val="14"/>
      <w:u w:val="none"/>
      <w:effect w:val="none"/>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B5115E"/>
    <w:pPr>
      <w:tabs>
        <w:tab w:val="left" w:pos="709"/>
      </w:tabs>
      <w:jc w:val="left"/>
    </w:pPr>
    <w:rPr>
      <w:rFonts w:ascii="Arial Narrow" w:hAnsi="Arial Narrow" w:cs="Arial Narrow"/>
      <w:b/>
      <w:bCs/>
      <w:sz w:val="26"/>
      <w:szCs w:val="26"/>
      <w:lang w:val="pl-PL" w:eastAsia="pl-PL"/>
    </w:rPr>
  </w:style>
  <w:style w:type="paragraph" w:customStyle="1" w:styleId="Char">
    <w:name w:val="Char"/>
    <w:basedOn w:val="Normal"/>
    <w:rsid w:val="00B5115E"/>
    <w:pPr>
      <w:tabs>
        <w:tab w:val="left" w:pos="709"/>
      </w:tabs>
      <w:jc w:val="left"/>
    </w:pPr>
    <w:rPr>
      <w:rFonts w:ascii="Arial Narrow" w:hAnsi="Arial Narrow" w:cs="Arial Narrow"/>
      <w:b/>
      <w:bCs/>
      <w:sz w:val="26"/>
      <w:szCs w:val="26"/>
      <w:lang w:val="pl-PL" w:eastAsia="pl-PL"/>
    </w:rPr>
  </w:style>
  <w:style w:type="paragraph" w:styleId="BodyTextIndent2">
    <w:name w:val="Body Text Indent 2"/>
    <w:basedOn w:val="Normal"/>
    <w:link w:val="BodyTextIndent2Char"/>
    <w:rsid w:val="00B5115E"/>
    <w:pPr>
      <w:ind w:firstLine="720"/>
    </w:pPr>
    <w:rPr>
      <w:rFonts w:eastAsia="Calibri" w:cs="Times New Roman"/>
      <w:sz w:val="20"/>
      <w:szCs w:val="20"/>
    </w:rPr>
  </w:style>
  <w:style w:type="character" w:customStyle="1" w:styleId="BodyTextIndent2Char">
    <w:name w:val="Body Text Indent 2 Char"/>
    <w:basedOn w:val="DefaultParagraphFont"/>
    <w:link w:val="BodyTextIndent2"/>
    <w:rsid w:val="00B5115E"/>
    <w:rPr>
      <w:rFonts w:ascii="Calibri" w:eastAsia="Calibri" w:hAnsi="Calibri" w:cs="Times New Roman"/>
      <w:sz w:val="20"/>
      <w:szCs w:val="20"/>
    </w:rPr>
  </w:style>
  <w:style w:type="paragraph" w:customStyle="1" w:styleId="tekst">
    <w:name w:val="tekst"/>
    <w:basedOn w:val="Normal"/>
    <w:rsid w:val="00B5115E"/>
    <w:pPr>
      <w:ind w:left="375" w:right="375" w:firstLine="240"/>
    </w:pPr>
    <w:rPr>
      <w:rFonts w:ascii="Arial" w:hAnsi="Arial" w:cs="Arial"/>
      <w:sz w:val="20"/>
      <w:szCs w:val="20"/>
      <w:lang w:eastAsia="zh-CN"/>
    </w:rPr>
  </w:style>
  <w:style w:type="character" w:customStyle="1" w:styleId="Bodytext">
    <w:name w:val="Body text_"/>
    <w:link w:val="Bodytext1"/>
    <w:locked/>
    <w:rsid w:val="00B5115E"/>
    <w:rPr>
      <w:rFonts w:cs="Times New Roman"/>
      <w:shd w:val="clear" w:color="auto" w:fill="FFFFFF"/>
    </w:rPr>
  </w:style>
  <w:style w:type="character" w:customStyle="1" w:styleId="Heading10">
    <w:name w:val="Heading #1_"/>
    <w:link w:val="Heading11"/>
    <w:locked/>
    <w:rsid w:val="00B5115E"/>
    <w:rPr>
      <w:rFonts w:cs="Times New Roman"/>
      <w:sz w:val="24"/>
      <w:szCs w:val="24"/>
      <w:shd w:val="clear" w:color="auto" w:fill="FFFFFF"/>
    </w:rPr>
  </w:style>
  <w:style w:type="paragraph" w:customStyle="1" w:styleId="Bodytext1">
    <w:name w:val="Body text1"/>
    <w:basedOn w:val="Normal"/>
    <w:link w:val="Bodytext"/>
    <w:rsid w:val="00B5115E"/>
    <w:pPr>
      <w:shd w:val="clear" w:color="auto" w:fill="FFFFFF"/>
      <w:spacing w:after="300" w:line="240" w:lineRule="atLeast"/>
      <w:jc w:val="left"/>
    </w:pPr>
    <w:rPr>
      <w:rFonts w:asciiTheme="minorHAnsi" w:eastAsiaTheme="minorHAnsi" w:hAnsiTheme="minorHAnsi" w:cs="Times New Roman"/>
    </w:rPr>
  </w:style>
  <w:style w:type="paragraph" w:customStyle="1" w:styleId="Heading11">
    <w:name w:val="Heading #11"/>
    <w:basedOn w:val="Normal"/>
    <w:link w:val="Heading10"/>
    <w:rsid w:val="00B5115E"/>
    <w:pPr>
      <w:shd w:val="clear" w:color="auto" w:fill="FFFFFF"/>
      <w:spacing w:line="240" w:lineRule="atLeast"/>
      <w:jc w:val="left"/>
      <w:outlineLvl w:val="0"/>
    </w:pPr>
    <w:rPr>
      <w:rFonts w:asciiTheme="minorHAnsi" w:eastAsiaTheme="minorHAnsi" w:hAnsiTheme="minorHAnsi" w:cs="Times New Roman"/>
      <w:sz w:val="24"/>
      <w:szCs w:val="24"/>
    </w:rPr>
  </w:style>
  <w:style w:type="paragraph" w:customStyle="1" w:styleId="Char1">
    <w:name w:val="Char1"/>
    <w:basedOn w:val="Normal"/>
    <w:rsid w:val="00B5115E"/>
    <w:pPr>
      <w:tabs>
        <w:tab w:val="left" w:pos="709"/>
      </w:tabs>
      <w:jc w:val="left"/>
    </w:pPr>
    <w:rPr>
      <w:rFonts w:ascii="Arial Narrow" w:hAnsi="Arial Narrow" w:cs="Arial Narrow"/>
      <w:b/>
      <w:bCs/>
      <w:sz w:val="26"/>
      <w:szCs w:val="26"/>
      <w:lang w:val="pl-PL" w:eastAsia="pl-PL"/>
    </w:rPr>
  </w:style>
  <w:style w:type="paragraph" w:customStyle="1" w:styleId="CharCharCharChar">
    <w:name w:val="Char Char Char Char"/>
    <w:basedOn w:val="Normal"/>
    <w:rsid w:val="00B5115E"/>
    <w:pPr>
      <w:tabs>
        <w:tab w:val="left" w:pos="709"/>
      </w:tabs>
      <w:jc w:val="left"/>
    </w:pPr>
    <w:rPr>
      <w:rFonts w:ascii="Arial Narrow" w:hAnsi="Arial Narrow" w:cs="Times New Roman"/>
      <w:b/>
      <w:sz w:val="26"/>
      <w:szCs w:val="24"/>
      <w:lang w:val="pl-PL" w:eastAsia="pl-PL"/>
    </w:rPr>
  </w:style>
  <w:style w:type="paragraph" w:styleId="Footer">
    <w:name w:val="footer"/>
    <w:basedOn w:val="Normal"/>
    <w:link w:val="FooterChar"/>
    <w:uiPriority w:val="99"/>
    <w:rsid w:val="00B5115E"/>
    <w:pPr>
      <w:tabs>
        <w:tab w:val="center" w:pos="4320"/>
        <w:tab w:val="right" w:pos="8640"/>
      </w:tabs>
    </w:pPr>
  </w:style>
  <w:style w:type="character" w:customStyle="1" w:styleId="FooterChar">
    <w:name w:val="Footer Char"/>
    <w:basedOn w:val="DefaultParagraphFont"/>
    <w:link w:val="Footer"/>
    <w:uiPriority w:val="99"/>
    <w:rsid w:val="00B5115E"/>
    <w:rPr>
      <w:rFonts w:ascii="Calibri" w:eastAsia="Times New Roman" w:hAnsi="Calibri" w:cs="Calibri"/>
    </w:rPr>
  </w:style>
  <w:style w:type="character" w:styleId="PageNumber">
    <w:name w:val="page number"/>
    <w:basedOn w:val="DefaultParagraphFont"/>
    <w:rsid w:val="00B5115E"/>
  </w:style>
  <w:style w:type="paragraph" w:styleId="ListParagraph">
    <w:name w:val="List Paragraph"/>
    <w:basedOn w:val="Normal"/>
    <w:uiPriority w:val="34"/>
    <w:qFormat/>
    <w:rsid w:val="00B5115E"/>
    <w:pPr>
      <w:spacing w:after="160" w:line="259" w:lineRule="auto"/>
      <w:ind w:left="720"/>
      <w:contextualSpacing/>
      <w:jc w:val="left"/>
    </w:pPr>
    <w:rPr>
      <w:rFonts w:eastAsia="Calibri" w:cs="Times New Roman"/>
    </w:rPr>
  </w:style>
  <w:style w:type="paragraph" w:customStyle="1" w:styleId="Default">
    <w:name w:val="Default"/>
    <w:rsid w:val="00B5115E"/>
    <w:pPr>
      <w:autoSpaceDE w:val="0"/>
      <w:autoSpaceDN w:val="0"/>
      <w:adjustRightInd w:val="0"/>
      <w:spacing w:after="0" w:line="240" w:lineRule="auto"/>
    </w:pPr>
    <w:rPr>
      <w:rFonts w:ascii="Arial" w:eastAsia="Calibri" w:hAnsi="Arial" w:cs="Arial"/>
      <w:color w:val="000000"/>
      <w:sz w:val="24"/>
      <w:szCs w:val="24"/>
    </w:rPr>
  </w:style>
  <w:style w:type="paragraph" w:customStyle="1" w:styleId="Normal10">
    <w:name w:val="Normal1"/>
    <w:basedOn w:val="Normal"/>
    <w:rsid w:val="00B5115E"/>
    <w:pPr>
      <w:spacing w:before="100" w:beforeAutospacing="1" w:after="100" w:afterAutospacing="1"/>
      <w:jc w:val="left"/>
    </w:pPr>
    <w:rPr>
      <w:rFonts w:ascii="Arial" w:hAnsi="Arial" w:cs="Arial"/>
      <w:lang w:val="sr-Latn-CS"/>
    </w:rPr>
  </w:style>
  <w:style w:type="paragraph" w:customStyle="1" w:styleId="Naslov">
    <w:name w:val="Naslov"/>
    <w:basedOn w:val="Normal"/>
    <w:rsid w:val="00B5115E"/>
    <w:pPr>
      <w:keepNext/>
      <w:tabs>
        <w:tab w:val="left" w:pos="1080"/>
      </w:tabs>
      <w:spacing w:before="120" w:after="120"/>
      <w:ind w:left="144" w:right="144"/>
      <w:jc w:val="center"/>
    </w:pPr>
    <w:rPr>
      <w:rFonts w:ascii="Arial" w:hAnsi="Arial" w:cs="Arial"/>
      <w:b/>
      <w:caps/>
      <w:sz w:val="24"/>
      <w:lang w:val="sr-Cyrl-CS"/>
    </w:rPr>
  </w:style>
  <w:style w:type="paragraph" w:customStyle="1" w:styleId="Normal2">
    <w:name w:val="Normal2"/>
    <w:basedOn w:val="Normal"/>
    <w:rsid w:val="00B5115E"/>
    <w:pPr>
      <w:spacing w:before="100" w:beforeAutospacing="1" w:after="100" w:afterAutospacing="1"/>
      <w:jc w:val="left"/>
    </w:pPr>
    <w:rPr>
      <w:rFonts w:ascii="Times New Roman" w:hAnsi="Times New Roman" w:cs="Times New Roman"/>
      <w:sz w:val="24"/>
      <w:szCs w:val="24"/>
    </w:rPr>
  </w:style>
  <w:style w:type="character" w:styleId="CommentReference">
    <w:name w:val="annotation reference"/>
    <w:uiPriority w:val="99"/>
    <w:unhideWhenUsed/>
    <w:rsid w:val="00B5115E"/>
    <w:rPr>
      <w:sz w:val="16"/>
      <w:szCs w:val="16"/>
    </w:rPr>
  </w:style>
  <w:style w:type="paragraph" w:styleId="CommentText">
    <w:name w:val="annotation text"/>
    <w:basedOn w:val="Normal"/>
    <w:link w:val="CommentTextChar"/>
    <w:uiPriority w:val="99"/>
    <w:unhideWhenUsed/>
    <w:rsid w:val="00B5115E"/>
    <w:pPr>
      <w:spacing w:after="160"/>
      <w:jc w:val="left"/>
    </w:pPr>
    <w:rPr>
      <w:rFonts w:eastAsia="Calibri" w:cs="Times New Roman"/>
      <w:sz w:val="20"/>
      <w:szCs w:val="20"/>
    </w:rPr>
  </w:style>
  <w:style w:type="character" w:customStyle="1" w:styleId="CommentTextChar">
    <w:name w:val="Comment Text Char"/>
    <w:basedOn w:val="DefaultParagraphFont"/>
    <w:link w:val="CommentText"/>
    <w:uiPriority w:val="99"/>
    <w:rsid w:val="00B5115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unhideWhenUsed/>
    <w:rsid w:val="00B5115E"/>
    <w:rPr>
      <w:b/>
      <w:bCs/>
    </w:rPr>
  </w:style>
  <w:style w:type="character" w:customStyle="1" w:styleId="CommentSubjectChar">
    <w:name w:val="Comment Subject Char"/>
    <w:basedOn w:val="CommentTextChar"/>
    <w:link w:val="CommentSubject"/>
    <w:uiPriority w:val="99"/>
    <w:rsid w:val="00B5115E"/>
    <w:rPr>
      <w:rFonts w:ascii="Calibri" w:eastAsia="Calibri" w:hAnsi="Calibri" w:cs="Times New Roman"/>
      <w:b/>
      <w:bCs/>
      <w:sz w:val="20"/>
      <w:szCs w:val="20"/>
    </w:rPr>
  </w:style>
  <w:style w:type="numbering" w:customStyle="1" w:styleId="NoList1">
    <w:name w:val="No List1"/>
    <w:next w:val="NoList"/>
    <w:semiHidden/>
    <w:rsid w:val="00B5115E"/>
  </w:style>
  <w:style w:type="paragraph" w:styleId="Header">
    <w:name w:val="header"/>
    <w:basedOn w:val="Normal"/>
    <w:link w:val="HeaderChar"/>
    <w:rsid w:val="00B5115E"/>
    <w:pPr>
      <w:tabs>
        <w:tab w:val="center" w:pos="4680"/>
        <w:tab w:val="right" w:pos="9360"/>
      </w:tabs>
    </w:pPr>
  </w:style>
  <w:style w:type="character" w:customStyle="1" w:styleId="HeaderChar">
    <w:name w:val="Header Char"/>
    <w:basedOn w:val="DefaultParagraphFont"/>
    <w:link w:val="Header"/>
    <w:rsid w:val="00B5115E"/>
    <w:rPr>
      <w:rFonts w:ascii="Calibri" w:eastAsia="Times New Roman" w:hAnsi="Calibri" w:cs="Calibri"/>
    </w:rPr>
  </w:style>
  <w:style w:type="paragraph" w:customStyle="1" w:styleId="wyq100---naslov-grupe-clanova-kurziv">
    <w:name w:val="wyq100---naslov-grupe-clanova-kurziv"/>
    <w:basedOn w:val="Normal"/>
    <w:rsid w:val="00DB43F0"/>
    <w:pPr>
      <w:spacing w:before="240" w:after="240"/>
      <w:jc w:val="center"/>
    </w:pPr>
    <w:rPr>
      <w:rFonts w:ascii="Arial" w:hAnsi="Arial" w:cs="Arial"/>
      <w:b/>
      <w:bCs/>
      <w:i/>
      <w:iCs/>
      <w:sz w:val="24"/>
      <w:szCs w:val="24"/>
    </w:rPr>
  </w:style>
  <w:style w:type="table" w:styleId="TableGrid">
    <w:name w:val="Table Grid"/>
    <w:basedOn w:val="TableNormal"/>
    <w:uiPriority w:val="59"/>
    <w:rsid w:val="00AA3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C19B7"/>
    <w:pPr>
      <w:spacing w:before="100" w:beforeAutospacing="1" w:after="100" w:afterAutospacing="1"/>
      <w:jc w:val="left"/>
    </w:pPr>
    <w:rPr>
      <w:rFonts w:ascii="Times New Roman" w:hAnsi="Times New Roman" w:cs="Times New Roman"/>
      <w:sz w:val="24"/>
      <w:szCs w:val="24"/>
    </w:rPr>
  </w:style>
  <w:style w:type="paragraph" w:customStyle="1" w:styleId="a">
    <w:name w:val="Булит"/>
    <w:basedOn w:val="ListParagraph"/>
    <w:link w:val="Char0"/>
    <w:autoRedefine/>
    <w:qFormat/>
    <w:rsid w:val="00D52537"/>
    <w:pPr>
      <w:spacing w:before="60" w:after="60" w:line="240" w:lineRule="auto"/>
      <w:ind w:left="0" w:firstLine="709"/>
      <w:jc w:val="both"/>
    </w:pPr>
    <w:rPr>
      <w:rFonts w:ascii="Times New Roman" w:eastAsia="Times New Roman" w:hAnsi="Times New Roman"/>
      <w:b/>
      <w:color w:val="FF0000"/>
      <w:sz w:val="24"/>
      <w:szCs w:val="24"/>
      <w:lang w:val="sr-Cyrl-CS"/>
    </w:rPr>
  </w:style>
  <w:style w:type="character" w:customStyle="1" w:styleId="Char0">
    <w:name w:val="Булит Char"/>
    <w:basedOn w:val="DefaultParagraphFont"/>
    <w:link w:val="a"/>
    <w:rsid w:val="00D52537"/>
    <w:rPr>
      <w:rFonts w:ascii="Times New Roman" w:eastAsia="Times New Roman" w:hAnsi="Times New Roman" w:cs="Times New Roman"/>
      <w:b/>
      <w:color w:val="FF0000"/>
      <w:sz w:val="24"/>
      <w:szCs w:val="24"/>
      <w:lang w:val="sr-Cyrl-CS"/>
    </w:rPr>
  </w:style>
  <w:style w:type="paragraph" w:customStyle="1" w:styleId="a0">
    <w:name w:val="Табела"/>
    <w:basedOn w:val="Caption"/>
    <w:link w:val="Char2"/>
    <w:autoRedefine/>
    <w:qFormat/>
    <w:rsid w:val="00DE2BD6"/>
    <w:pPr>
      <w:keepNext/>
      <w:spacing w:before="120" w:after="0"/>
    </w:pPr>
    <w:rPr>
      <w:rFonts w:ascii="Times New Roman" w:eastAsiaTheme="minorEastAsia" w:hAnsi="Times New Roman" w:cs="Times New Roman"/>
      <w:b/>
      <w:bCs/>
      <w:iCs w:val="0"/>
      <w:color w:val="auto"/>
      <w:spacing w:val="6"/>
      <w:sz w:val="24"/>
      <w:szCs w:val="24"/>
      <w:lang w:val="sr-Cyrl-CS"/>
    </w:rPr>
  </w:style>
  <w:style w:type="character" w:customStyle="1" w:styleId="Char2">
    <w:name w:val="Табела Char"/>
    <w:basedOn w:val="DefaultParagraphFont"/>
    <w:link w:val="a0"/>
    <w:rsid w:val="00DE2BD6"/>
    <w:rPr>
      <w:rFonts w:ascii="Times New Roman" w:eastAsiaTheme="minorEastAsia" w:hAnsi="Times New Roman" w:cs="Times New Roman"/>
      <w:b/>
      <w:bCs/>
      <w:i/>
      <w:spacing w:val="6"/>
      <w:sz w:val="24"/>
      <w:szCs w:val="24"/>
      <w:lang w:val="sr-Cyrl-CS"/>
    </w:rPr>
  </w:style>
  <w:style w:type="paragraph" w:customStyle="1" w:styleId="a1">
    <w:name w:val="Заглавље"/>
    <w:basedOn w:val="Normal"/>
    <w:link w:val="Char3"/>
    <w:qFormat/>
    <w:rsid w:val="00F42953"/>
    <w:pPr>
      <w:spacing w:before="40" w:after="40"/>
    </w:pPr>
    <w:rPr>
      <w:rFonts w:ascii="Times New Roman" w:eastAsiaTheme="minorHAnsi" w:hAnsi="Times New Roman" w:cstheme="minorBidi"/>
      <w:b/>
      <w:sz w:val="20"/>
      <w:szCs w:val="20"/>
    </w:rPr>
  </w:style>
  <w:style w:type="character" w:customStyle="1" w:styleId="Char3">
    <w:name w:val="Заглавље Char"/>
    <w:basedOn w:val="DefaultParagraphFont"/>
    <w:link w:val="a1"/>
    <w:rsid w:val="00F42953"/>
    <w:rPr>
      <w:rFonts w:ascii="Times New Roman" w:hAnsi="Times New Roman"/>
      <w:b/>
      <w:sz w:val="20"/>
      <w:szCs w:val="20"/>
    </w:rPr>
  </w:style>
  <w:style w:type="paragraph" w:customStyle="1" w:styleId="a2">
    <w:name w:val="Дијаграм"/>
    <w:basedOn w:val="Caption"/>
    <w:link w:val="Char4"/>
    <w:autoRedefine/>
    <w:qFormat/>
    <w:rsid w:val="00F42953"/>
    <w:pPr>
      <w:spacing w:after="240"/>
      <w:jc w:val="center"/>
    </w:pPr>
    <w:rPr>
      <w:rFonts w:ascii="Times New Roman" w:eastAsiaTheme="minorEastAsia" w:hAnsi="Times New Roman" w:cs="Times New Roman"/>
      <w:b/>
      <w:bCs/>
      <w:iCs w:val="0"/>
      <w:color w:val="auto"/>
      <w:spacing w:val="6"/>
      <w:sz w:val="24"/>
      <w:szCs w:val="24"/>
    </w:rPr>
  </w:style>
  <w:style w:type="character" w:customStyle="1" w:styleId="Char4">
    <w:name w:val="Дијаграм Char"/>
    <w:basedOn w:val="DefaultParagraphFont"/>
    <w:link w:val="a2"/>
    <w:rsid w:val="00F42953"/>
    <w:rPr>
      <w:rFonts w:ascii="Times New Roman" w:eastAsiaTheme="minorEastAsia" w:hAnsi="Times New Roman" w:cs="Times New Roman"/>
      <w:b/>
      <w:bCs/>
      <w:i/>
      <w:spacing w:val="6"/>
      <w:sz w:val="24"/>
      <w:szCs w:val="24"/>
    </w:rPr>
  </w:style>
  <w:style w:type="paragraph" w:customStyle="1" w:styleId="a3">
    <w:name w:val="ТекстТабеле"/>
    <w:basedOn w:val="Normal"/>
    <w:link w:val="Char5"/>
    <w:qFormat/>
    <w:rsid w:val="00F42953"/>
    <w:pPr>
      <w:spacing w:before="40" w:after="40"/>
    </w:pPr>
    <w:rPr>
      <w:rFonts w:ascii="Times New Roman" w:eastAsiaTheme="minorHAnsi" w:hAnsi="Times New Roman" w:cstheme="minorBidi"/>
      <w:sz w:val="20"/>
      <w:szCs w:val="20"/>
    </w:rPr>
  </w:style>
  <w:style w:type="character" w:customStyle="1" w:styleId="Char5">
    <w:name w:val="ТекстТабеле Char"/>
    <w:basedOn w:val="DefaultParagraphFont"/>
    <w:link w:val="a3"/>
    <w:rsid w:val="00F42953"/>
    <w:rPr>
      <w:rFonts w:ascii="Times New Roman" w:hAnsi="Times New Roman"/>
      <w:sz w:val="20"/>
      <w:szCs w:val="20"/>
    </w:rPr>
  </w:style>
  <w:style w:type="paragraph" w:styleId="Caption">
    <w:name w:val="caption"/>
    <w:basedOn w:val="Normal"/>
    <w:next w:val="Normal"/>
    <w:uiPriority w:val="35"/>
    <w:semiHidden/>
    <w:unhideWhenUsed/>
    <w:qFormat/>
    <w:rsid w:val="00F42953"/>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19957">
      <w:bodyDiv w:val="1"/>
      <w:marLeft w:val="0"/>
      <w:marRight w:val="0"/>
      <w:marTop w:val="0"/>
      <w:marBottom w:val="0"/>
      <w:divBdr>
        <w:top w:val="none" w:sz="0" w:space="0" w:color="auto"/>
        <w:left w:val="none" w:sz="0" w:space="0" w:color="auto"/>
        <w:bottom w:val="none" w:sz="0" w:space="0" w:color="auto"/>
        <w:right w:val="none" w:sz="0" w:space="0" w:color="auto"/>
      </w:divBdr>
    </w:div>
    <w:div w:id="447510959">
      <w:bodyDiv w:val="1"/>
      <w:marLeft w:val="0"/>
      <w:marRight w:val="0"/>
      <w:marTop w:val="0"/>
      <w:marBottom w:val="0"/>
      <w:divBdr>
        <w:top w:val="none" w:sz="0" w:space="0" w:color="auto"/>
        <w:left w:val="none" w:sz="0" w:space="0" w:color="auto"/>
        <w:bottom w:val="none" w:sz="0" w:space="0" w:color="auto"/>
        <w:right w:val="none" w:sz="0" w:space="0" w:color="auto"/>
      </w:divBdr>
    </w:div>
    <w:div w:id="450562638">
      <w:bodyDiv w:val="1"/>
      <w:marLeft w:val="0"/>
      <w:marRight w:val="0"/>
      <w:marTop w:val="0"/>
      <w:marBottom w:val="0"/>
      <w:divBdr>
        <w:top w:val="none" w:sz="0" w:space="0" w:color="auto"/>
        <w:left w:val="none" w:sz="0" w:space="0" w:color="auto"/>
        <w:bottom w:val="none" w:sz="0" w:space="0" w:color="auto"/>
        <w:right w:val="none" w:sz="0" w:space="0" w:color="auto"/>
      </w:divBdr>
    </w:div>
    <w:div w:id="643197961">
      <w:bodyDiv w:val="1"/>
      <w:marLeft w:val="0"/>
      <w:marRight w:val="0"/>
      <w:marTop w:val="0"/>
      <w:marBottom w:val="0"/>
      <w:divBdr>
        <w:top w:val="none" w:sz="0" w:space="0" w:color="auto"/>
        <w:left w:val="none" w:sz="0" w:space="0" w:color="auto"/>
        <w:bottom w:val="none" w:sz="0" w:space="0" w:color="auto"/>
        <w:right w:val="none" w:sz="0" w:space="0" w:color="auto"/>
      </w:divBdr>
    </w:div>
    <w:div w:id="1099449745">
      <w:bodyDiv w:val="1"/>
      <w:marLeft w:val="0"/>
      <w:marRight w:val="0"/>
      <w:marTop w:val="0"/>
      <w:marBottom w:val="0"/>
      <w:divBdr>
        <w:top w:val="none" w:sz="0" w:space="0" w:color="auto"/>
        <w:left w:val="none" w:sz="0" w:space="0" w:color="auto"/>
        <w:bottom w:val="none" w:sz="0" w:space="0" w:color="auto"/>
        <w:right w:val="none" w:sz="0" w:space="0" w:color="auto"/>
      </w:divBdr>
    </w:div>
    <w:div w:id="1214806267">
      <w:bodyDiv w:val="1"/>
      <w:marLeft w:val="0"/>
      <w:marRight w:val="0"/>
      <w:marTop w:val="0"/>
      <w:marBottom w:val="0"/>
      <w:divBdr>
        <w:top w:val="none" w:sz="0" w:space="0" w:color="auto"/>
        <w:left w:val="none" w:sz="0" w:space="0" w:color="auto"/>
        <w:bottom w:val="none" w:sz="0" w:space="0" w:color="auto"/>
        <w:right w:val="none" w:sz="0" w:space="0" w:color="auto"/>
      </w:divBdr>
      <w:divsChild>
        <w:div w:id="216861686">
          <w:marLeft w:val="0"/>
          <w:marRight w:val="0"/>
          <w:marTop w:val="0"/>
          <w:marBottom w:val="0"/>
          <w:divBdr>
            <w:top w:val="none" w:sz="0" w:space="0" w:color="auto"/>
            <w:left w:val="none" w:sz="0" w:space="0" w:color="auto"/>
            <w:bottom w:val="none" w:sz="0" w:space="0" w:color="auto"/>
            <w:right w:val="none" w:sz="0" w:space="0" w:color="auto"/>
          </w:divBdr>
        </w:div>
        <w:div w:id="1574656565">
          <w:marLeft w:val="0"/>
          <w:marRight w:val="0"/>
          <w:marTop w:val="0"/>
          <w:marBottom w:val="0"/>
          <w:divBdr>
            <w:top w:val="none" w:sz="0" w:space="0" w:color="auto"/>
            <w:left w:val="none" w:sz="0" w:space="0" w:color="auto"/>
            <w:bottom w:val="none" w:sz="0" w:space="0" w:color="auto"/>
            <w:right w:val="none" w:sz="0" w:space="0" w:color="auto"/>
          </w:divBdr>
        </w:div>
        <w:div w:id="967853780">
          <w:marLeft w:val="0"/>
          <w:marRight w:val="0"/>
          <w:marTop w:val="0"/>
          <w:marBottom w:val="0"/>
          <w:divBdr>
            <w:top w:val="none" w:sz="0" w:space="0" w:color="auto"/>
            <w:left w:val="none" w:sz="0" w:space="0" w:color="auto"/>
            <w:bottom w:val="none" w:sz="0" w:space="0" w:color="auto"/>
            <w:right w:val="none" w:sz="0" w:space="0" w:color="auto"/>
          </w:divBdr>
        </w:div>
        <w:div w:id="1606843318">
          <w:marLeft w:val="0"/>
          <w:marRight w:val="0"/>
          <w:marTop w:val="0"/>
          <w:marBottom w:val="0"/>
          <w:divBdr>
            <w:top w:val="none" w:sz="0" w:space="0" w:color="auto"/>
            <w:left w:val="none" w:sz="0" w:space="0" w:color="auto"/>
            <w:bottom w:val="none" w:sz="0" w:space="0" w:color="auto"/>
            <w:right w:val="none" w:sz="0" w:space="0" w:color="auto"/>
          </w:divBdr>
        </w:div>
        <w:div w:id="875309345">
          <w:marLeft w:val="0"/>
          <w:marRight w:val="0"/>
          <w:marTop w:val="0"/>
          <w:marBottom w:val="0"/>
          <w:divBdr>
            <w:top w:val="none" w:sz="0" w:space="0" w:color="auto"/>
            <w:left w:val="none" w:sz="0" w:space="0" w:color="auto"/>
            <w:bottom w:val="none" w:sz="0" w:space="0" w:color="auto"/>
            <w:right w:val="none" w:sz="0" w:space="0" w:color="auto"/>
          </w:divBdr>
        </w:div>
        <w:div w:id="1623805194">
          <w:marLeft w:val="0"/>
          <w:marRight w:val="0"/>
          <w:marTop w:val="0"/>
          <w:marBottom w:val="0"/>
          <w:divBdr>
            <w:top w:val="none" w:sz="0" w:space="0" w:color="auto"/>
            <w:left w:val="none" w:sz="0" w:space="0" w:color="auto"/>
            <w:bottom w:val="none" w:sz="0" w:space="0" w:color="auto"/>
            <w:right w:val="none" w:sz="0" w:space="0" w:color="auto"/>
          </w:divBdr>
        </w:div>
        <w:div w:id="597982452">
          <w:marLeft w:val="0"/>
          <w:marRight w:val="0"/>
          <w:marTop w:val="0"/>
          <w:marBottom w:val="0"/>
          <w:divBdr>
            <w:top w:val="none" w:sz="0" w:space="0" w:color="auto"/>
            <w:left w:val="none" w:sz="0" w:space="0" w:color="auto"/>
            <w:bottom w:val="none" w:sz="0" w:space="0" w:color="auto"/>
            <w:right w:val="none" w:sz="0" w:space="0" w:color="auto"/>
          </w:divBdr>
        </w:div>
        <w:div w:id="932784137">
          <w:marLeft w:val="0"/>
          <w:marRight w:val="0"/>
          <w:marTop w:val="0"/>
          <w:marBottom w:val="0"/>
          <w:divBdr>
            <w:top w:val="none" w:sz="0" w:space="0" w:color="auto"/>
            <w:left w:val="none" w:sz="0" w:space="0" w:color="auto"/>
            <w:bottom w:val="none" w:sz="0" w:space="0" w:color="auto"/>
            <w:right w:val="none" w:sz="0" w:space="0" w:color="auto"/>
          </w:divBdr>
        </w:div>
        <w:div w:id="114566321">
          <w:marLeft w:val="0"/>
          <w:marRight w:val="0"/>
          <w:marTop w:val="0"/>
          <w:marBottom w:val="0"/>
          <w:divBdr>
            <w:top w:val="none" w:sz="0" w:space="0" w:color="auto"/>
            <w:left w:val="none" w:sz="0" w:space="0" w:color="auto"/>
            <w:bottom w:val="none" w:sz="0" w:space="0" w:color="auto"/>
            <w:right w:val="none" w:sz="0" w:space="0" w:color="auto"/>
          </w:divBdr>
        </w:div>
        <w:div w:id="439837381">
          <w:marLeft w:val="0"/>
          <w:marRight w:val="0"/>
          <w:marTop w:val="0"/>
          <w:marBottom w:val="0"/>
          <w:divBdr>
            <w:top w:val="none" w:sz="0" w:space="0" w:color="auto"/>
            <w:left w:val="none" w:sz="0" w:space="0" w:color="auto"/>
            <w:bottom w:val="none" w:sz="0" w:space="0" w:color="auto"/>
            <w:right w:val="none" w:sz="0" w:space="0" w:color="auto"/>
          </w:divBdr>
        </w:div>
        <w:div w:id="1246770412">
          <w:marLeft w:val="0"/>
          <w:marRight w:val="0"/>
          <w:marTop w:val="0"/>
          <w:marBottom w:val="0"/>
          <w:divBdr>
            <w:top w:val="none" w:sz="0" w:space="0" w:color="auto"/>
            <w:left w:val="none" w:sz="0" w:space="0" w:color="auto"/>
            <w:bottom w:val="none" w:sz="0" w:space="0" w:color="auto"/>
            <w:right w:val="none" w:sz="0" w:space="0" w:color="auto"/>
          </w:divBdr>
        </w:div>
        <w:div w:id="1584216654">
          <w:marLeft w:val="0"/>
          <w:marRight w:val="0"/>
          <w:marTop w:val="0"/>
          <w:marBottom w:val="0"/>
          <w:divBdr>
            <w:top w:val="none" w:sz="0" w:space="0" w:color="auto"/>
            <w:left w:val="none" w:sz="0" w:space="0" w:color="auto"/>
            <w:bottom w:val="none" w:sz="0" w:space="0" w:color="auto"/>
            <w:right w:val="none" w:sz="0" w:space="0" w:color="auto"/>
          </w:divBdr>
        </w:div>
        <w:div w:id="1544630634">
          <w:marLeft w:val="0"/>
          <w:marRight w:val="0"/>
          <w:marTop w:val="0"/>
          <w:marBottom w:val="0"/>
          <w:divBdr>
            <w:top w:val="none" w:sz="0" w:space="0" w:color="auto"/>
            <w:left w:val="none" w:sz="0" w:space="0" w:color="auto"/>
            <w:bottom w:val="none" w:sz="0" w:space="0" w:color="auto"/>
            <w:right w:val="none" w:sz="0" w:space="0" w:color="auto"/>
          </w:divBdr>
        </w:div>
        <w:div w:id="1422069262">
          <w:marLeft w:val="0"/>
          <w:marRight w:val="0"/>
          <w:marTop w:val="0"/>
          <w:marBottom w:val="0"/>
          <w:divBdr>
            <w:top w:val="none" w:sz="0" w:space="0" w:color="auto"/>
            <w:left w:val="none" w:sz="0" w:space="0" w:color="auto"/>
            <w:bottom w:val="none" w:sz="0" w:space="0" w:color="auto"/>
            <w:right w:val="none" w:sz="0" w:space="0" w:color="auto"/>
          </w:divBdr>
        </w:div>
        <w:div w:id="761951099">
          <w:marLeft w:val="0"/>
          <w:marRight w:val="0"/>
          <w:marTop w:val="0"/>
          <w:marBottom w:val="0"/>
          <w:divBdr>
            <w:top w:val="none" w:sz="0" w:space="0" w:color="auto"/>
            <w:left w:val="none" w:sz="0" w:space="0" w:color="auto"/>
            <w:bottom w:val="none" w:sz="0" w:space="0" w:color="auto"/>
            <w:right w:val="none" w:sz="0" w:space="0" w:color="auto"/>
          </w:divBdr>
        </w:div>
        <w:div w:id="1792166862">
          <w:marLeft w:val="0"/>
          <w:marRight w:val="0"/>
          <w:marTop w:val="0"/>
          <w:marBottom w:val="0"/>
          <w:divBdr>
            <w:top w:val="none" w:sz="0" w:space="0" w:color="auto"/>
            <w:left w:val="none" w:sz="0" w:space="0" w:color="auto"/>
            <w:bottom w:val="none" w:sz="0" w:space="0" w:color="auto"/>
            <w:right w:val="none" w:sz="0" w:space="0" w:color="auto"/>
          </w:divBdr>
        </w:div>
        <w:div w:id="851846197">
          <w:marLeft w:val="0"/>
          <w:marRight w:val="0"/>
          <w:marTop w:val="0"/>
          <w:marBottom w:val="0"/>
          <w:divBdr>
            <w:top w:val="none" w:sz="0" w:space="0" w:color="auto"/>
            <w:left w:val="none" w:sz="0" w:space="0" w:color="auto"/>
            <w:bottom w:val="none" w:sz="0" w:space="0" w:color="auto"/>
            <w:right w:val="none" w:sz="0" w:space="0" w:color="auto"/>
          </w:divBdr>
        </w:div>
        <w:div w:id="536047783">
          <w:marLeft w:val="0"/>
          <w:marRight w:val="0"/>
          <w:marTop w:val="0"/>
          <w:marBottom w:val="0"/>
          <w:divBdr>
            <w:top w:val="none" w:sz="0" w:space="0" w:color="auto"/>
            <w:left w:val="none" w:sz="0" w:space="0" w:color="auto"/>
            <w:bottom w:val="none" w:sz="0" w:space="0" w:color="auto"/>
            <w:right w:val="none" w:sz="0" w:space="0" w:color="auto"/>
          </w:divBdr>
        </w:div>
        <w:div w:id="1444493414">
          <w:marLeft w:val="0"/>
          <w:marRight w:val="0"/>
          <w:marTop w:val="0"/>
          <w:marBottom w:val="0"/>
          <w:divBdr>
            <w:top w:val="none" w:sz="0" w:space="0" w:color="auto"/>
            <w:left w:val="none" w:sz="0" w:space="0" w:color="auto"/>
            <w:bottom w:val="none" w:sz="0" w:space="0" w:color="auto"/>
            <w:right w:val="none" w:sz="0" w:space="0" w:color="auto"/>
          </w:divBdr>
        </w:div>
      </w:divsChild>
    </w:div>
    <w:div w:id="1228691339">
      <w:bodyDiv w:val="1"/>
      <w:marLeft w:val="0"/>
      <w:marRight w:val="0"/>
      <w:marTop w:val="0"/>
      <w:marBottom w:val="0"/>
      <w:divBdr>
        <w:top w:val="none" w:sz="0" w:space="0" w:color="auto"/>
        <w:left w:val="none" w:sz="0" w:space="0" w:color="auto"/>
        <w:bottom w:val="none" w:sz="0" w:space="0" w:color="auto"/>
        <w:right w:val="none" w:sz="0" w:space="0" w:color="auto"/>
      </w:divBdr>
      <w:divsChild>
        <w:div w:id="1145320620">
          <w:marLeft w:val="0"/>
          <w:marRight w:val="0"/>
          <w:marTop w:val="0"/>
          <w:marBottom w:val="0"/>
          <w:divBdr>
            <w:top w:val="none" w:sz="0" w:space="0" w:color="auto"/>
            <w:left w:val="none" w:sz="0" w:space="0" w:color="auto"/>
            <w:bottom w:val="none" w:sz="0" w:space="0" w:color="auto"/>
            <w:right w:val="none" w:sz="0" w:space="0" w:color="auto"/>
          </w:divBdr>
        </w:div>
        <w:div w:id="897321495">
          <w:marLeft w:val="0"/>
          <w:marRight w:val="0"/>
          <w:marTop w:val="0"/>
          <w:marBottom w:val="0"/>
          <w:divBdr>
            <w:top w:val="none" w:sz="0" w:space="0" w:color="auto"/>
            <w:left w:val="none" w:sz="0" w:space="0" w:color="auto"/>
            <w:bottom w:val="none" w:sz="0" w:space="0" w:color="auto"/>
            <w:right w:val="none" w:sz="0" w:space="0" w:color="auto"/>
          </w:divBdr>
        </w:div>
        <w:div w:id="218246879">
          <w:marLeft w:val="0"/>
          <w:marRight w:val="0"/>
          <w:marTop w:val="0"/>
          <w:marBottom w:val="0"/>
          <w:divBdr>
            <w:top w:val="none" w:sz="0" w:space="0" w:color="auto"/>
            <w:left w:val="none" w:sz="0" w:space="0" w:color="auto"/>
            <w:bottom w:val="none" w:sz="0" w:space="0" w:color="auto"/>
            <w:right w:val="none" w:sz="0" w:space="0" w:color="auto"/>
          </w:divBdr>
        </w:div>
      </w:divsChild>
    </w:div>
    <w:div w:id="1581136090">
      <w:bodyDiv w:val="1"/>
      <w:marLeft w:val="0"/>
      <w:marRight w:val="0"/>
      <w:marTop w:val="0"/>
      <w:marBottom w:val="0"/>
      <w:divBdr>
        <w:top w:val="none" w:sz="0" w:space="0" w:color="auto"/>
        <w:left w:val="none" w:sz="0" w:space="0" w:color="auto"/>
        <w:bottom w:val="none" w:sz="0" w:space="0" w:color="auto"/>
        <w:right w:val="none" w:sz="0" w:space="0" w:color="auto"/>
      </w:divBdr>
    </w:div>
    <w:div w:id="185448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oleObject" Target="file:///D:\Bench%202018\JP%20sa%20finansijskim%20izvestajima%202017.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526064947856041"/>
          <c:y val="3.7880822259554026E-2"/>
          <c:w val="0.70801708356605342"/>
          <c:h val="0.8657376438217127"/>
        </c:manualLayout>
      </c:layout>
      <c:lineChart>
        <c:grouping val="standard"/>
        <c:varyColors val="0"/>
        <c:ser>
          <c:idx val="4"/>
          <c:order val="4"/>
          <c:tx>
            <c:v>Биланс</c:v>
          </c:tx>
          <c:spPr>
            <a:ln>
              <a:solidFill>
                <a:srgbClr val="C00000"/>
              </a:solidFill>
              <a:prstDash val="lgDashDot"/>
            </a:ln>
          </c:spPr>
          <c:marker>
            <c:symbol val="none"/>
          </c:marker>
          <c:dLbls>
            <c:dLbl>
              <c:idx val="0"/>
              <c:layout>
                <c:manualLayout>
                  <c:x val="-3.9198606271777021E-2"/>
                  <c:y val="4.93827160493829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2E0-48F2-BF2B-3352F6C196D8}"/>
                </c:ext>
              </c:extLst>
            </c:dLbl>
            <c:dLbl>
              <c:idx val="6"/>
              <c:layout>
                <c:manualLayout>
                  <c:x val="-7.1864111498257915E-2"/>
                  <c:y val="-4.93827160493830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2E0-48F2-BF2B-3352F6C196D8}"/>
                </c:ext>
              </c:extLst>
            </c:dLbl>
            <c:dLbl>
              <c:idx val="8"/>
              <c:layout>
                <c:manualLayout>
                  <c:x val="-5.2264808362369172E-2"/>
                  <c:y val="4.93827160493829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2E0-48F2-BF2B-3352F6C196D8}"/>
                </c:ext>
              </c:extLst>
            </c:dLbl>
            <c:spPr>
              <a:noFill/>
              <a:ln w="25400">
                <a:noFill/>
              </a:ln>
            </c:spPr>
            <c:txPr>
              <a:bodyPr wrap="square" lIns="38100" tIns="19050" rIns="38100" bIns="19050" anchor="ctr">
                <a:spAutoFit/>
              </a:bodyPr>
              <a:lstStyle/>
              <a:p>
                <a:pPr>
                  <a:defRPr sz="1000" b="0" i="0" u="none" strike="noStrike" baseline="0">
                    <a:solidFill>
                      <a:srgbClr val="FF0000"/>
                    </a:solidFill>
                    <a:latin typeface="Calibri"/>
                    <a:ea typeface="Calibri"/>
                    <a:cs typeface="Calibri"/>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('Javna preduzeca'!$EG$1,'Javna preduzeca'!$EF$1,'Javna preduzeca'!$EE$1,'Javna preduzeca'!$ED$1,'Javna preduzeca'!$EC$1,'Javna preduzeca'!$EB$1,'Javna preduzeca'!$EA$1,'Javna preduzeca'!$DZ$1)</c:f>
              <c:numCache>
                <c:formatCode>General</c:formatCode>
                <c:ptCount val="8"/>
                <c:pt idx="0">
                  <c:v>2009</c:v>
                </c:pt>
                <c:pt idx="1">
                  <c:v>2010</c:v>
                </c:pt>
                <c:pt idx="2">
                  <c:v>2011</c:v>
                </c:pt>
                <c:pt idx="3">
                  <c:v>2012</c:v>
                </c:pt>
                <c:pt idx="4">
                  <c:v>2013</c:v>
                </c:pt>
                <c:pt idx="5">
                  <c:v>2014</c:v>
                </c:pt>
                <c:pt idx="6">
                  <c:v>2015</c:v>
                </c:pt>
                <c:pt idx="7">
                  <c:v>2016</c:v>
                </c:pt>
              </c:numCache>
            </c:numRef>
          </c:cat>
          <c:val>
            <c:numRef>
              <c:f>('Javna preduzeca'!$DT$158,'Javna preduzeca'!$DH$158,'Javna preduzeca'!$CV$158,'Javna preduzeca'!$CJ$158,'Javna preduzeca'!$BX$158,'Javna preduzeca'!$BL$158,'Javna preduzeca'!$AZ$158,'Javna preduzeca'!$AN$158,'Javna preduzeca'!$AB$158)</c:f>
              <c:numCache>
                <c:formatCode>#,##0</c:formatCode>
                <c:ptCount val="9"/>
                <c:pt idx="0">
                  <c:v>-2041991</c:v>
                </c:pt>
                <c:pt idx="1">
                  <c:v>-1010535</c:v>
                </c:pt>
                <c:pt idx="2">
                  <c:v>-184127</c:v>
                </c:pt>
                <c:pt idx="3">
                  <c:v>-1363214</c:v>
                </c:pt>
                <c:pt idx="4">
                  <c:v>-735808</c:v>
                </c:pt>
                <c:pt idx="5">
                  <c:v>-484046</c:v>
                </c:pt>
                <c:pt idx="6">
                  <c:v>588069</c:v>
                </c:pt>
                <c:pt idx="7">
                  <c:v>799124</c:v>
                </c:pt>
                <c:pt idx="8">
                  <c:v>461137</c:v>
                </c:pt>
              </c:numCache>
            </c:numRef>
          </c:val>
          <c:smooth val="0"/>
          <c:extLst>
            <c:ext xmlns:c16="http://schemas.microsoft.com/office/drawing/2014/chart" uri="{C3380CC4-5D6E-409C-BE32-E72D297353CC}">
              <c16:uniqueId val="{00000003-82E0-48F2-BF2B-3352F6C196D8}"/>
            </c:ext>
          </c:extLst>
        </c:ser>
        <c:dLbls>
          <c:showLegendKey val="0"/>
          <c:showVal val="0"/>
          <c:showCatName val="0"/>
          <c:showSerName val="0"/>
          <c:showPercent val="0"/>
          <c:showBubbleSize val="0"/>
        </c:dLbls>
        <c:marker val="1"/>
        <c:smooth val="0"/>
        <c:axId val="122664960"/>
        <c:axId val="122308288"/>
      </c:lineChart>
      <c:lineChart>
        <c:grouping val="standard"/>
        <c:varyColors val="0"/>
        <c:ser>
          <c:idx val="0"/>
          <c:order val="0"/>
          <c:tx>
            <c:v>Укупни годишњи приход</c:v>
          </c:tx>
          <c:spPr>
            <a:ln>
              <a:prstDash val="sysDash"/>
            </a:ln>
          </c:spPr>
          <c:marker>
            <c:symbol val="none"/>
          </c:marker>
          <c:dLbls>
            <c:dLbl>
              <c:idx val="3"/>
              <c:layout>
                <c:manualLayout>
                  <c:x val="-1.2244994452458946E-2"/>
                  <c:y val="1.8594525214128899E-2"/>
                </c:manualLayout>
              </c:layout>
              <c:numFmt formatCode="#,##0" sourceLinked="0"/>
              <c:spPr/>
              <c:txPr>
                <a:bodyPr/>
                <a:lstStyle/>
                <a:p>
                  <a:pPr>
                    <a:defRPr sz="1000" b="0" i="0" u="none" strike="noStrike" baseline="0">
                      <a:solidFill>
                        <a:srgbClr val="666699"/>
                      </a:solidFill>
                      <a:latin typeface="Calibri"/>
                      <a:ea typeface="Calibri"/>
                      <a:cs typeface="Calibri"/>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2E0-48F2-BF2B-3352F6C196D8}"/>
                </c:ext>
              </c:extLst>
            </c:dLbl>
            <c:dLbl>
              <c:idx val="4"/>
              <c:layout>
                <c:manualLayout>
                  <c:x val="-1.1117246014979798E-2"/>
                  <c:y val="2.599993519328603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2E0-48F2-BF2B-3352F6C196D8}"/>
                </c:ext>
              </c:extLst>
            </c:dLbl>
            <c:dLbl>
              <c:idx val="6"/>
              <c:layout>
                <c:manualLayout>
                  <c:x val="-2.2005747757140277E-2"/>
                  <c:y val="3.58764784031626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2E0-48F2-BF2B-3352F6C196D8}"/>
                </c:ext>
              </c:extLst>
            </c:dLbl>
            <c:numFmt formatCode="#,##0" sourceLinked="0"/>
            <c:spPr>
              <a:noFill/>
              <a:ln w="25400">
                <a:noFill/>
              </a:ln>
            </c:spPr>
            <c:txPr>
              <a:bodyPr wrap="square" lIns="38100" tIns="19050" rIns="38100" bIns="19050" anchor="ctr">
                <a:spAutoFit/>
              </a:bodyPr>
              <a:lstStyle/>
              <a:p>
                <a:pPr>
                  <a:defRPr sz="1000" b="0" i="0" u="none" strike="noStrike" baseline="0">
                    <a:solidFill>
                      <a:srgbClr val="666699"/>
                    </a:solidFill>
                    <a:latin typeface="Calibri"/>
                    <a:ea typeface="Calibri"/>
                    <a:cs typeface="Calibri"/>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('Javna preduzeca'!$EG$1,'Javna preduzeca'!$EF$1,'Javna preduzeca'!$EE$1,'Javna preduzeca'!$ED$1,'Javna preduzeca'!$EC$1,'Javna preduzeca'!$EB$1,'Javna preduzeca'!$EA$1,'Javna preduzeca'!$DZ$1,'Javna preduzeca'!$DY$1)</c:f>
              <c:numCache>
                <c:formatCode>General</c:formatCode>
                <c:ptCount val="9"/>
                <c:pt idx="0">
                  <c:v>2009</c:v>
                </c:pt>
                <c:pt idx="1">
                  <c:v>2010</c:v>
                </c:pt>
                <c:pt idx="2">
                  <c:v>2011</c:v>
                </c:pt>
                <c:pt idx="3">
                  <c:v>2012</c:v>
                </c:pt>
                <c:pt idx="4">
                  <c:v>2013</c:v>
                </c:pt>
                <c:pt idx="5">
                  <c:v>2014</c:v>
                </c:pt>
                <c:pt idx="6">
                  <c:v>2015</c:v>
                </c:pt>
                <c:pt idx="7">
                  <c:v>2016</c:v>
                </c:pt>
                <c:pt idx="8">
                  <c:v>2017</c:v>
                </c:pt>
              </c:numCache>
            </c:numRef>
          </c:cat>
          <c:val>
            <c:numRef>
              <c:f>('Javna preduzeca'!$FF$162,'Javna preduzeca'!$FD$162,'Javna preduzeca'!$FB$162,'Javna preduzeca'!$EZ$162,'Javna preduzeca'!$EX$162,'Javna preduzeca'!$EV$162,'Javna preduzeca'!$ET$162,'Javna preduzeca'!$ER$162,'Javna preduzeca'!$EP$162)</c:f>
              <c:numCache>
                <c:formatCode>#,##0</c:formatCode>
                <c:ptCount val="9"/>
                <c:pt idx="0">
                  <c:v>202.72567832167832</c:v>
                </c:pt>
                <c:pt idx="1">
                  <c:v>219.33525517241381</c:v>
                </c:pt>
                <c:pt idx="2">
                  <c:v>244.28166896551718</c:v>
                </c:pt>
                <c:pt idx="3">
                  <c:v>258.31513103448265</c:v>
                </c:pt>
                <c:pt idx="4">
                  <c:v>266.18793055555557</c:v>
                </c:pt>
                <c:pt idx="5">
                  <c:v>278.06372262773732</c:v>
                </c:pt>
                <c:pt idx="6">
                  <c:v>293.31433333333439</c:v>
                </c:pt>
                <c:pt idx="7">
                  <c:v>296.47255555555529</c:v>
                </c:pt>
                <c:pt idx="8">
                  <c:v>300.16658333333481</c:v>
                </c:pt>
              </c:numCache>
            </c:numRef>
          </c:val>
          <c:smooth val="0"/>
          <c:extLst>
            <c:ext xmlns:c16="http://schemas.microsoft.com/office/drawing/2014/chart" uri="{C3380CC4-5D6E-409C-BE32-E72D297353CC}">
              <c16:uniqueId val="{00000007-82E0-48F2-BF2B-3352F6C196D8}"/>
            </c:ext>
          </c:extLst>
        </c:ser>
        <c:ser>
          <c:idx val="3"/>
          <c:order val="1"/>
          <c:tx>
            <c:v>Индекс потрошачких цена</c:v>
          </c:tx>
          <c:spPr>
            <a:ln w="44450">
              <a:solidFill>
                <a:srgbClr val="7030A0"/>
              </a:solidFill>
              <a:prstDash val="dash"/>
            </a:ln>
          </c:spPr>
          <c:marker>
            <c:symbol val="none"/>
          </c:marker>
          <c:dLbls>
            <c:dLbl>
              <c:idx val="3"/>
              <c:spPr/>
              <c:txPr>
                <a:bodyPr/>
                <a:lstStyle/>
                <a:p>
                  <a:pPr>
                    <a:defRPr sz="1000" b="1" i="0" u="none" strike="noStrike" baseline="0">
                      <a:solidFill>
                        <a:srgbClr val="666699"/>
                      </a:solidFill>
                      <a:latin typeface="Calibri"/>
                      <a:ea typeface="Calibri"/>
                      <a:cs typeface="Calibri"/>
                    </a:defRPr>
                  </a:pPr>
                  <a:endParaRPr lang="en-US"/>
                </a:p>
              </c:txPr>
              <c:dLblPos val="t"/>
              <c:showLegendKey val="0"/>
              <c:showVal val="1"/>
              <c:showCatName val="0"/>
              <c:showSerName val="0"/>
              <c:showPercent val="0"/>
              <c:showBubbleSize val="0"/>
              <c:extLst>
                <c:ext xmlns:c16="http://schemas.microsoft.com/office/drawing/2014/chart" uri="{C3380CC4-5D6E-409C-BE32-E72D297353CC}">
                  <c16:uniqueId val="{00000008-82E0-48F2-BF2B-3352F6C196D8}"/>
                </c:ext>
              </c:extLst>
            </c:dLbl>
            <c:spPr>
              <a:noFill/>
              <a:ln w="25400">
                <a:noFill/>
              </a:ln>
            </c:spPr>
            <c:txPr>
              <a:bodyPr wrap="square" lIns="38100" tIns="19050" rIns="38100" bIns="19050" anchor="ctr">
                <a:spAutoFit/>
              </a:bodyPr>
              <a:lstStyle/>
              <a:p>
                <a:pPr>
                  <a:defRPr sz="1000" b="1" i="0" u="none" strike="noStrike" baseline="0">
                    <a:solidFill>
                      <a:srgbClr val="666699"/>
                    </a:solidFill>
                    <a:latin typeface="Calibri"/>
                    <a:ea typeface="Calibri"/>
                    <a:cs typeface="Calibri"/>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('Javna preduzeca'!$EG$1,'Javna preduzeca'!$EF$1,'Javna preduzeca'!$EE$1,'Javna preduzeca'!$ED$1,'Javna preduzeca'!$EC$1,'Javna preduzeca'!$EB$1,'Javna preduzeca'!$EA$1,'Javna preduzeca'!$DZ$1,'Javna preduzeca'!$DY$1)</c:f>
              <c:numCache>
                <c:formatCode>General</c:formatCode>
                <c:ptCount val="9"/>
                <c:pt idx="0">
                  <c:v>2009</c:v>
                </c:pt>
                <c:pt idx="1">
                  <c:v>2010</c:v>
                </c:pt>
                <c:pt idx="2">
                  <c:v>2011</c:v>
                </c:pt>
                <c:pt idx="3">
                  <c:v>2012</c:v>
                </c:pt>
                <c:pt idx="4">
                  <c:v>2013</c:v>
                </c:pt>
                <c:pt idx="5">
                  <c:v>2014</c:v>
                </c:pt>
                <c:pt idx="6">
                  <c:v>2015</c:v>
                </c:pt>
                <c:pt idx="7">
                  <c:v>2016</c:v>
                </c:pt>
                <c:pt idx="8">
                  <c:v>2017</c:v>
                </c:pt>
              </c:numCache>
            </c:numRef>
          </c:cat>
          <c:val>
            <c:numRef>
              <c:f>('Javna preduzeca'!$FE$165,'Javna preduzeca'!$FC$165,'Javna preduzeca'!$FA$165,'Javna preduzeca'!$EY$165,'Javna preduzeca'!$EW$165,'Javna preduzeca'!$EU$165,'Javna preduzeca'!$ES$165,'Javna preduzeca'!$EQ$165,'Javna preduzeca'!$EO$165)</c:f>
              <c:numCache>
                <c:formatCode>#,##0</c:formatCode>
                <c:ptCount val="9"/>
                <c:pt idx="0">
                  <c:v>100</c:v>
                </c:pt>
                <c:pt idx="1">
                  <c:v>104.2</c:v>
                </c:pt>
                <c:pt idx="2">
                  <c:v>116.9</c:v>
                </c:pt>
                <c:pt idx="3">
                  <c:v>122.4</c:v>
                </c:pt>
                <c:pt idx="4">
                  <c:v>132.20000000000002</c:v>
                </c:pt>
                <c:pt idx="5">
                  <c:v>133.50000000000003</c:v>
                </c:pt>
                <c:pt idx="6">
                  <c:v>135.40000000000003</c:v>
                </c:pt>
                <c:pt idx="7">
                  <c:v>135.70000000000005</c:v>
                </c:pt>
                <c:pt idx="8">
                  <c:v>139.30000000000004</c:v>
                </c:pt>
              </c:numCache>
            </c:numRef>
          </c:val>
          <c:smooth val="0"/>
          <c:extLst>
            <c:ext xmlns:c16="http://schemas.microsoft.com/office/drawing/2014/chart" uri="{C3380CC4-5D6E-409C-BE32-E72D297353CC}">
              <c16:uniqueId val="{00000009-82E0-48F2-BF2B-3352F6C196D8}"/>
            </c:ext>
          </c:extLst>
        </c:ser>
        <c:ser>
          <c:idx val="1"/>
          <c:order val="2"/>
          <c:tx>
            <c:v>Број предузећа са позитивним билансом</c:v>
          </c:tx>
          <c:spPr>
            <a:ln>
              <a:solidFill>
                <a:srgbClr val="00B050"/>
              </a:solidFill>
              <a:prstDash val="sysDot"/>
            </a:ln>
          </c:spPr>
          <c:marker>
            <c:symbol val="none"/>
          </c:marker>
          <c:dLbls>
            <c:dLbl>
              <c:idx val="0"/>
              <c:layout>
                <c:manualLayout>
                  <c:x val="-3.3906794425087088E-2"/>
                  <c:y val="-2.2707754123327296E-2"/>
                </c:manualLayout>
              </c:layout>
              <c:spPr/>
              <c:txPr>
                <a:bodyPr/>
                <a:lstStyle/>
                <a:p>
                  <a:pPr>
                    <a:defRPr sz="1000" b="0" i="0" u="none" strike="noStrike" baseline="0">
                      <a:solidFill>
                        <a:srgbClr val="99CC00"/>
                      </a:solidFill>
                      <a:latin typeface="Calibri"/>
                      <a:ea typeface="Calibri"/>
                      <a:cs typeface="Calibri"/>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82E0-48F2-BF2B-3352F6C196D8}"/>
                </c:ext>
              </c:extLst>
            </c:dLbl>
            <c:dLbl>
              <c:idx val="1"/>
              <c:layout>
                <c:manualLayout>
                  <c:x val="-3.3906794425087115E-2"/>
                  <c:y val="-3.25842973332037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82E0-48F2-BF2B-3352F6C196D8}"/>
                </c:ext>
              </c:extLst>
            </c:dLbl>
            <c:dLbl>
              <c:idx val="3"/>
              <c:layout>
                <c:manualLayout>
                  <c:x val="-2.9551393728223244E-2"/>
                  <c:y val="2.996714299601432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82E0-48F2-BF2B-3352F6C196D8}"/>
                </c:ext>
              </c:extLst>
            </c:dLbl>
            <c:spPr>
              <a:noFill/>
              <a:ln w="25400">
                <a:noFill/>
              </a:ln>
            </c:spPr>
            <c:txPr>
              <a:bodyPr wrap="square" lIns="38100" tIns="19050" rIns="38100" bIns="19050" anchor="ctr">
                <a:spAutoFit/>
              </a:bodyPr>
              <a:lstStyle/>
              <a:p>
                <a:pPr>
                  <a:defRPr sz="1000" b="0" i="0" u="none" strike="noStrike" baseline="0">
                    <a:solidFill>
                      <a:srgbClr val="99CC00"/>
                    </a:solidFill>
                    <a:latin typeface="Calibri"/>
                    <a:ea typeface="Calibri"/>
                    <a:cs typeface="Calibri"/>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('Javna preduzeca'!$EG$1,'Javna preduzeca'!$EF$1,'Javna preduzeca'!$EE$1,'Javna preduzeca'!$ED$1,'Javna preduzeca'!$EC$1,'Javna preduzeca'!$EB$1,'Javna preduzeca'!$EA$1,'Javna preduzeca'!$DZ$1,'Javna preduzeca'!$DY$1)</c:f>
              <c:numCache>
                <c:formatCode>General</c:formatCode>
                <c:ptCount val="9"/>
                <c:pt idx="0">
                  <c:v>2009</c:v>
                </c:pt>
                <c:pt idx="1">
                  <c:v>2010</c:v>
                </c:pt>
                <c:pt idx="2">
                  <c:v>2011</c:v>
                </c:pt>
                <c:pt idx="3">
                  <c:v>2012</c:v>
                </c:pt>
                <c:pt idx="4">
                  <c:v>2013</c:v>
                </c:pt>
                <c:pt idx="5">
                  <c:v>2014</c:v>
                </c:pt>
                <c:pt idx="6">
                  <c:v>2015</c:v>
                </c:pt>
                <c:pt idx="7">
                  <c:v>2016</c:v>
                </c:pt>
                <c:pt idx="8">
                  <c:v>2017</c:v>
                </c:pt>
              </c:numCache>
            </c:numRef>
          </c:cat>
          <c:val>
            <c:numRef>
              <c:f>('Javna preduzeca'!$FE$162,'Javna preduzeca'!$FC$162,'Javna preduzeca'!$FA$162,'Javna preduzeca'!$EY$162,'Javna preduzeca'!$EW$162,'Javna preduzeca'!$EU$162,'Javna preduzeca'!$ES$162,'Javna preduzeca'!$EQ$162,'Javna preduzeca'!$EO$162)</c:f>
              <c:numCache>
                <c:formatCode>#,##0</c:formatCode>
                <c:ptCount val="9"/>
                <c:pt idx="0">
                  <c:v>79</c:v>
                </c:pt>
                <c:pt idx="1">
                  <c:v>80</c:v>
                </c:pt>
                <c:pt idx="2">
                  <c:v>96</c:v>
                </c:pt>
                <c:pt idx="3">
                  <c:v>86</c:v>
                </c:pt>
                <c:pt idx="4">
                  <c:v>102</c:v>
                </c:pt>
                <c:pt idx="5">
                  <c:v>114</c:v>
                </c:pt>
                <c:pt idx="6">
                  <c:v>119</c:v>
                </c:pt>
                <c:pt idx="7">
                  <c:v>120</c:v>
                </c:pt>
                <c:pt idx="8">
                  <c:v>121</c:v>
                </c:pt>
              </c:numCache>
            </c:numRef>
          </c:val>
          <c:smooth val="0"/>
          <c:extLst>
            <c:ext xmlns:c16="http://schemas.microsoft.com/office/drawing/2014/chart" uri="{C3380CC4-5D6E-409C-BE32-E72D297353CC}">
              <c16:uniqueId val="{0000000D-82E0-48F2-BF2B-3352F6C196D8}"/>
            </c:ext>
          </c:extLst>
        </c:ser>
        <c:ser>
          <c:idx val="2"/>
          <c:order val="3"/>
          <c:tx>
            <c:v>Број предузећа са негативним билансом</c:v>
          </c:tx>
          <c:spPr>
            <a:ln>
              <a:solidFill>
                <a:srgbClr val="FF0000"/>
              </a:solidFill>
            </a:ln>
          </c:spPr>
          <c:marker>
            <c:symbol val="none"/>
          </c:marker>
          <c:dLbls>
            <c:dLbl>
              <c:idx val="0"/>
              <c:layout>
                <c:manualLayout>
                  <c:x val="-4.4651602238744564E-2"/>
                  <c:y val="2.9472278928097059E-2"/>
                </c:manualLayout>
              </c:layout>
              <c:spPr/>
              <c:txPr>
                <a:bodyPr/>
                <a:lstStyle/>
                <a:p>
                  <a:pPr>
                    <a:defRPr sz="1000" b="0" i="0" u="none" strike="noStrike" baseline="0">
                      <a:solidFill>
                        <a:srgbClr val="FF0000"/>
                      </a:solidFill>
                      <a:latin typeface="Calibri"/>
                      <a:ea typeface="Calibri"/>
                      <a:cs typeface="Calibri"/>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82E0-48F2-BF2B-3352F6C196D8}"/>
                </c:ext>
              </c:extLst>
            </c:dLbl>
            <c:spPr>
              <a:noFill/>
              <a:ln w="25400">
                <a:noFill/>
              </a:ln>
            </c:spPr>
            <c:txPr>
              <a:bodyPr wrap="square" lIns="38100" tIns="19050" rIns="38100" bIns="19050" anchor="ctr">
                <a:spAutoFit/>
              </a:bodyPr>
              <a:lstStyle/>
              <a:p>
                <a:pPr>
                  <a:defRPr sz="1000" b="0" i="0" u="none" strike="noStrike" baseline="0">
                    <a:solidFill>
                      <a:srgbClr val="FF0000"/>
                    </a:solidFill>
                    <a:latin typeface="Calibri"/>
                    <a:ea typeface="Calibri"/>
                    <a:cs typeface="Calibri"/>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('Javna preduzeca'!$EG$1,'Javna preduzeca'!$EF$1,'Javna preduzeca'!$EE$1,'Javna preduzeca'!$ED$1,'Javna preduzeca'!$EC$1,'Javna preduzeca'!$EB$1,'Javna preduzeca'!$EA$1,'Javna preduzeca'!$DZ$1,'Javna preduzeca'!$DY$1)</c:f>
              <c:numCache>
                <c:formatCode>General</c:formatCode>
                <c:ptCount val="9"/>
                <c:pt idx="0">
                  <c:v>2009</c:v>
                </c:pt>
                <c:pt idx="1">
                  <c:v>2010</c:v>
                </c:pt>
                <c:pt idx="2">
                  <c:v>2011</c:v>
                </c:pt>
                <c:pt idx="3">
                  <c:v>2012</c:v>
                </c:pt>
                <c:pt idx="4">
                  <c:v>2013</c:v>
                </c:pt>
                <c:pt idx="5">
                  <c:v>2014</c:v>
                </c:pt>
                <c:pt idx="6">
                  <c:v>2015</c:v>
                </c:pt>
                <c:pt idx="7">
                  <c:v>2016</c:v>
                </c:pt>
                <c:pt idx="8">
                  <c:v>2017</c:v>
                </c:pt>
              </c:numCache>
            </c:numRef>
          </c:cat>
          <c:val>
            <c:numRef>
              <c:f>('Javna preduzeca'!$FE$164,'Javna preduzeca'!$FC$164,'Javna preduzeca'!$FA$164,'Javna preduzeca'!$EY$164,'Javna preduzeca'!$EW$164,'Javna preduzeca'!$EU$164,'Javna preduzeca'!$ES$164,'Javna preduzeca'!$EQ$164,'Javna preduzeca'!$EO$164)</c:f>
              <c:numCache>
                <c:formatCode>#,##0</c:formatCode>
                <c:ptCount val="9"/>
                <c:pt idx="0">
                  <c:v>70</c:v>
                </c:pt>
                <c:pt idx="1">
                  <c:v>70</c:v>
                </c:pt>
                <c:pt idx="2">
                  <c:v>54</c:v>
                </c:pt>
                <c:pt idx="3">
                  <c:v>65</c:v>
                </c:pt>
                <c:pt idx="4">
                  <c:v>50</c:v>
                </c:pt>
                <c:pt idx="5">
                  <c:v>38</c:v>
                </c:pt>
                <c:pt idx="6">
                  <c:v>34</c:v>
                </c:pt>
                <c:pt idx="7">
                  <c:v>30</c:v>
                </c:pt>
                <c:pt idx="8">
                  <c:v>32</c:v>
                </c:pt>
              </c:numCache>
            </c:numRef>
          </c:val>
          <c:smooth val="0"/>
          <c:extLst>
            <c:ext xmlns:c16="http://schemas.microsoft.com/office/drawing/2014/chart" uri="{C3380CC4-5D6E-409C-BE32-E72D297353CC}">
              <c16:uniqueId val="{0000000F-82E0-48F2-BF2B-3352F6C196D8}"/>
            </c:ext>
          </c:extLst>
        </c:ser>
        <c:dLbls>
          <c:showLegendKey val="0"/>
          <c:showVal val="0"/>
          <c:showCatName val="0"/>
          <c:showSerName val="0"/>
          <c:showPercent val="0"/>
          <c:showBubbleSize val="0"/>
        </c:dLbls>
        <c:marker val="1"/>
        <c:smooth val="0"/>
        <c:axId val="122665472"/>
        <c:axId val="122308864"/>
      </c:lineChart>
      <c:catAx>
        <c:axId val="122664960"/>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22308288"/>
        <c:crossesAt val="-2500000"/>
        <c:auto val="1"/>
        <c:lblAlgn val="ctr"/>
        <c:lblOffset val="100"/>
        <c:noMultiLvlLbl val="0"/>
      </c:catAx>
      <c:valAx>
        <c:axId val="122308288"/>
        <c:scaling>
          <c:orientation val="minMax"/>
        </c:scaling>
        <c:delete val="0"/>
        <c:axPos val="l"/>
        <c:majorGridlines/>
        <c:title>
          <c:tx>
            <c:rich>
              <a:bodyPr/>
              <a:lstStyle/>
              <a:p>
                <a:pPr>
                  <a:defRPr sz="1000" b="0" i="0" u="none" strike="noStrike" baseline="0">
                    <a:solidFill>
                      <a:srgbClr val="000000"/>
                    </a:solidFill>
                    <a:latin typeface="Arial Narrow" panose="020B0606020202030204" pitchFamily="34" charset="0"/>
                    <a:ea typeface="Calibri"/>
                    <a:cs typeface="Calibri"/>
                  </a:defRPr>
                </a:pPr>
                <a:r>
                  <a:rPr lang="en-US" sz="1000" b="0" i="0" u="none" strike="noStrike" baseline="0">
                    <a:solidFill>
                      <a:sysClr val="windowText" lastClr="000000"/>
                    </a:solidFill>
                    <a:latin typeface="Arial Narrow" panose="020B0606020202030204" pitchFamily="34" charset="0"/>
                  </a:rPr>
                  <a:t>[</a:t>
                </a:r>
                <a:r>
                  <a:rPr lang="en-US" sz="1000" b="0" i="0" u="none" strike="noStrike" baseline="0">
                    <a:solidFill>
                      <a:srgbClr val="C00000"/>
                    </a:solidFill>
                    <a:latin typeface="Arial Narrow" panose="020B0606020202030204" pitchFamily="34" charset="0"/>
                  </a:rPr>
                  <a:t>биланс</a:t>
                </a:r>
                <a:r>
                  <a:rPr lang="en-US" sz="1000" b="0" i="0" u="none" strike="noStrike" baseline="0">
                    <a:solidFill>
                      <a:sysClr val="windowText" lastClr="000000"/>
                    </a:solidFill>
                    <a:latin typeface="Arial Narrow" panose="020B0606020202030204" pitchFamily="34" charset="0"/>
                  </a:rPr>
                  <a:t>]</a:t>
                </a:r>
                <a:r>
                  <a:rPr lang="en-US" sz="1000" b="0" i="0" u="none" strike="noStrike" baseline="0">
                    <a:solidFill>
                      <a:srgbClr val="000000"/>
                    </a:solidFill>
                    <a:latin typeface="Arial Narrow" panose="020B0606020202030204" pitchFamily="34" charset="0"/>
                  </a:rPr>
                  <a:t> x 1.000 RSD</a:t>
                </a:r>
              </a:p>
            </c:rich>
          </c:tx>
          <c:overlay val="0"/>
        </c:title>
        <c:numFmt formatCode="#,##0" sourceLinked="1"/>
        <c:majorTickMark val="out"/>
        <c:minorTickMark val="none"/>
        <c:tickLblPos val="nextTo"/>
        <c:txPr>
          <a:bodyPr rot="0" vert="horz"/>
          <a:lstStyle/>
          <a:p>
            <a:pPr>
              <a:defRPr sz="1000" b="0" i="0" u="none" strike="noStrike" baseline="0">
                <a:solidFill>
                  <a:srgbClr val="000000"/>
                </a:solidFill>
                <a:latin typeface="Arial Narrow" panose="020B0606020202030204" pitchFamily="34" charset="0"/>
                <a:ea typeface="Calibri"/>
                <a:cs typeface="Calibri"/>
              </a:defRPr>
            </a:pPr>
            <a:endParaRPr lang="en-US"/>
          </a:p>
        </c:txPr>
        <c:crossAx val="122664960"/>
        <c:crosses val="autoZero"/>
        <c:crossBetween val="between"/>
      </c:valAx>
      <c:catAx>
        <c:axId val="122665472"/>
        <c:scaling>
          <c:orientation val="minMax"/>
        </c:scaling>
        <c:delete val="1"/>
        <c:axPos val="b"/>
        <c:numFmt formatCode="General" sourceLinked="1"/>
        <c:majorTickMark val="out"/>
        <c:minorTickMark val="none"/>
        <c:tickLblPos val="nextTo"/>
        <c:crossAx val="122308864"/>
        <c:crosses val="autoZero"/>
        <c:auto val="1"/>
        <c:lblAlgn val="ctr"/>
        <c:lblOffset val="100"/>
        <c:noMultiLvlLbl val="0"/>
      </c:catAx>
      <c:valAx>
        <c:axId val="122308864"/>
        <c:scaling>
          <c:orientation val="minMax"/>
        </c:scaling>
        <c:delete val="0"/>
        <c:axPos val="r"/>
        <c:title>
          <c:tx>
            <c:rich>
              <a:bodyPr/>
              <a:lstStyle/>
              <a:p>
                <a:pPr>
                  <a:defRPr sz="1000" b="0" i="0" u="none" strike="noStrike" baseline="0">
                    <a:solidFill>
                      <a:srgbClr val="000000"/>
                    </a:solidFill>
                    <a:latin typeface="Arial Narrow" panose="020B0606020202030204" pitchFamily="34" charset="0"/>
                    <a:ea typeface="Calibri"/>
                    <a:cs typeface="Calibri"/>
                  </a:defRPr>
                </a:pPr>
                <a:r>
                  <a:rPr lang="en-US" sz="1000" b="0" i="0" u="none" strike="noStrike" baseline="0">
                    <a:solidFill>
                      <a:srgbClr val="000000"/>
                    </a:solidFill>
                    <a:latin typeface="Arial Narrow" panose="020B0606020202030204" pitchFamily="34" charset="0"/>
                  </a:rPr>
                  <a:t>[</a:t>
                </a:r>
                <a:r>
                  <a:rPr lang="sr-Cyrl-RS" sz="1000" b="0" i="0" u="none" strike="noStrike" baseline="0">
                    <a:solidFill>
                      <a:schemeClr val="tx2">
                        <a:lumMod val="40000"/>
                        <a:lumOff val="60000"/>
                      </a:schemeClr>
                    </a:solidFill>
                    <a:latin typeface="Arial Narrow" panose="020B0606020202030204" pitchFamily="34" charset="0"/>
                  </a:rPr>
                  <a:t>укупни приход</a:t>
                </a:r>
                <a:r>
                  <a:rPr lang="en-US" sz="1000" b="0" i="0" u="none" strike="noStrike" baseline="0">
                    <a:solidFill>
                      <a:srgbClr val="000000"/>
                    </a:solidFill>
                    <a:latin typeface="Arial Narrow" panose="020B0606020202030204" pitchFamily="34" charset="0"/>
                  </a:rPr>
                  <a:t>]</a:t>
                </a:r>
                <a:r>
                  <a:rPr lang="sr-Cyrl-RS" sz="1000" b="0" i="0" u="none" strike="noStrike" baseline="0">
                    <a:solidFill>
                      <a:srgbClr val="000000"/>
                    </a:solidFill>
                    <a:latin typeface="Arial Narrow" panose="020B0606020202030204" pitchFamily="34" charset="0"/>
                  </a:rPr>
                  <a:t> </a:t>
                </a:r>
                <a:r>
                  <a:rPr lang="sr-Latn-RS" sz="1000" b="0" i="0" u="none" strike="noStrike" baseline="0">
                    <a:solidFill>
                      <a:srgbClr val="000000"/>
                    </a:solidFill>
                    <a:latin typeface="Arial Narrow" panose="020B0606020202030204" pitchFamily="34" charset="0"/>
                  </a:rPr>
                  <a:t>x</a:t>
                </a:r>
                <a:r>
                  <a:rPr lang="sr-Cyrl-RS" sz="1000" b="0" i="0" u="none" strike="noStrike" baseline="0">
                    <a:solidFill>
                      <a:srgbClr val="000000"/>
                    </a:solidFill>
                    <a:latin typeface="Arial Narrow" panose="020B0606020202030204" pitchFamily="34" charset="0"/>
                  </a:rPr>
                  <a:t> </a:t>
                </a:r>
                <a:r>
                  <a:rPr lang="sr-Latn-RS" sz="1000" b="0" i="0" u="none" strike="noStrike" baseline="0">
                    <a:solidFill>
                      <a:srgbClr val="000000"/>
                    </a:solidFill>
                    <a:latin typeface="Arial Narrow" panose="020B0606020202030204" pitchFamily="34" charset="0"/>
                  </a:rPr>
                  <a:t>1</a:t>
                </a:r>
                <a:r>
                  <a:rPr lang="sr-Cyrl-RS" sz="1000" b="0" i="0" u="none" strike="noStrike" baseline="0">
                    <a:solidFill>
                      <a:srgbClr val="000000"/>
                    </a:solidFill>
                    <a:latin typeface="Arial Narrow" panose="020B0606020202030204" pitchFamily="34" charset="0"/>
                  </a:rPr>
                  <a:t>.000</a:t>
                </a:r>
                <a:r>
                  <a:rPr lang="en-US" sz="1000" b="0" i="0" u="none" strike="noStrike" baseline="0">
                    <a:solidFill>
                      <a:srgbClr val="000000"/>
                    </a:solidFill>
                    <a:latin typeface="Arial Narrow" panose="020B0606020202030204" pitchFamily="34" charset="0"/>
                  </a:rPr>
                  <a:t>.000</a:t>
                </a:r>
                <a:r>
                  <a:rPr lang="sr-Cyrl-RS" sz="1000" b="0" i="0" u="none" strike="noStrike" baseline="0">
                    <a:solidFill>
                      <a:srgbClr val="000000"/>
                    </a:solidFill>
                    <a:latin typeface="Arial Narrow" panose="020B0606020202030204" pitchFamily="34" charset="0"/>
                  </a:rPr>
                  <a:t> </a:t>
                </a:r>
                <a:r>
                  <a:rPr lang="sr-Latn-RS" sz="1000" b="0" i="0" u="none" strike="noStrike" baseline="0">
                    <a:solidFill>
                      <a:srgbClr val="000000"/>
                    </a:solidFill>
                    <a:latin typeface="Arial Narrow" panose="020B0606020202030204" pitchFamily="34" charset="0"/>
                  </a:rPr>
                  <a:t>RSD</a:t>
                </a:r>
                <a:r>
                  <a:rPr lang="en-US" sz="1000" b="0" i="0" u="none" strike="noStrike" baseline="0">
                    <a:solidFill>
                      <a:srgbClr val="000000"/>
                    </a:solidFill>
                    <a:latin typeface="Arial Narrow" panose="020B0606020202030204" pitchFamily="34" charset="0"/>
                  </a:rPr>
                  <a:t>,</a:t>
                </a:r>
                <a:endParaRPr lang="sr-Cyrl-RS" sz="1000" b="0" i="0" u="none" strike="noStrike" baseline="0">
                  <a:solidFill>
                    <a:srgbClr val="000000"/>
                  </a:solidFill>
                  <a:latin typeface="Arial Narrow" panose="020B0606020202030204" pitchFamily="34" charset="0"/>
                </a:endParaRPr>
              </a:p>
              <a:p>
                <a:pPr>
                  <a:defRPr sz="1000" b="0" i="0" u="none" strike="noStrike" baseline="0">
                    <a:solidFill>
                      <a:srgbClr val="000000"/>
                    </a:solidFill>
                    <a:latin typeface="Arial Narrow" panose="020B0606020202030204" pitchFamily="34" charset="0"/>
                    <a:ea typeface="Calibri"/>
                    <a:cs typeface="Calibri"/>
                  </a:defRPr>
                </a:pPr>
                <a:r>
                  <a:rPr lang="en-US" sz="1000" b="0" i="0" u="none" strike="noStrike" baseline="0">
                    <a:solidFill>
                      <a:srgbClr val="000000"/>
                    </a:solidFill>
                    <a:latin typeface="Arial Narrow" panose="020B0606020202030204" pitchFamily="34" charset="0"/>
                  </a:rPr>
                  <a:t>[број предузећа] и [</a:t>
                </a:r>
                <a:r>
                  <a:rPr lang="en-US" sz="1000" b="0" i="0" u="none" strike="noStrike" baseline="0">
                    <a:solidFill>
                      <a:srgbClr val="800080"/>
                    </a:solidFill>
                    <a:latin typeface="Arial Narrow" panose="020B0606020202030204" pitchFamily="34" charset="0"/>
                  </a:rPr>
                  <a:t>индекс потрошачких цена]</a:t>
                </a:r>
              </a:p>
            </c:rich>
          </c:tx>
          <c:overlay val="0"/>
        </c:title>
        <c:numFmt formatCode="#,##0" sourceLinked="1"/>
        <c:majorTickMark val="out"/>
        <c:minorTickMark val="none"/>
        <c:tickLblPos val="nextTo"/>
        <c:spPr>
          <a:ln/>
        </c:spPr>
        <c:txPr>
          <a:bodyPr rot="0" vert="horz"/>
          <a:lstStyle/>
          <a:p>
            <a:pPr>
              <a:defRPr sz="1000" b="0" i="0" u="none" strike="noStrike" baseline="0">
                <a:solidFill>
                  <a:srgbClr val="000000"/>
                </a:solidFill>
                <a:latin typeface="Arial Narrow" panose="020B0606020202030204" pitchFamily="34" charset="0"/>
                <a:ea typeface="Calibri"/>
                <a:cs typeface="Calibri"/>
              </a:defRPr>
            </a:pPr>
            <a:endParaRPr lang="en-US"/>
          </a:p>
        </c:txPr>
        <c:crossAx val="122665472"/>
        <c:crosses val="max"/>
        <c:crossBetween val="between"/>
      </c:valAx>
    </c:plotArea>
    <c:legend>
      <c:legendPos val="tr"/>
      <c:legendEntry>
        <c:idx val="1"/>
        <c:txPr>
          <a:bodyPr/>
          <a:lstStyle/>
          <a:p>
            <a:pPr>
              <a:defRPr sz="900" b="0" i="0" u="none" strike="noStrike" kern="500" baseline="0">
                <a:solidFill>
                  <a:srgbClr val="666699"/>
                </a:solidFill>
                <a:latin typeface="Arial Narrow" panose="020B0606020202030204" pitchFamily="34" charset="0"/>
                <a:ea typeface="Calibri"/>
                <a:cs typeface="Calibri"/>
              </a:defRPr>
            </a:pPr>
            <a:endParaRPr lang="en-US"/>
          </a:p>
        </c:txPr>
      </c:legendEntry>
      <c:legendEntry>
        <c:idx val="2"/>
        <c:txPr>
          <a:bodyPr/>
          <a:lstStyle/>
          <a:p>
            <a:pPr>
              <a:defRPr sz="900" b="1" i="0" u="none" strike="noStrike" kern="500" baseline="0">
                <a:solidFill>
                  <a:srgbClr val="666699"/>
                </a:solidFill>
                <a:latin typeface="Arial Narrow" panose="020B0606020202030204" pitchFamily="34" charset="0"/>
                <a:ea typeface="Calibri"/>
                <a:cs typeface="Calibri"/>
              </a:defRPr>
            </a:pPr>
            <a:endParaRPr lang="en-US"/>
          </a:p>
        </c:txPr>
      </c:legendEntry>
      <c:legendEntry>
        <c:idx val="3"/>
        <c:txPr>
          <a:bodyPr/>
          <a:lstStyle/>
          <a:p>
            <a:pPr>
              <a:defRPr sz="900" b="0" i="0" u="none" strike="noStrike" kern="500" baseline="0">
                <a:solidFill>
                  <a:srgbClr val="339966"/>
                </a:solidFill>
                <a:latin typeface="Arial Narrow" panose="020B0606020202030204" pitchFamily="34" charset="0"/>
                <a:ea typeface="Calibri"/>
                <a:cs typeface="Calibri"/>
              </a:defRPr>
            </a:pPr>
            <a:endParaRPr lang="en-US"/>
          </a:p>
        </c:txPr>
      </c:legendEntry>
      <c:legendEntry>
        <c:idx val="4"/>
        <c:txPr>
          <a:bodyPr/>
          <a:lstStyle/>
          <a:p>
            <a:pPr>
              <a:defRPr sz="900" b="0" i="0" u="none" strike="noStrike" kern="500" baseline="0">
                <a:solidFill>
                  <a:srgbClr val="FF0000"/>
                </a:solidFill>
                <a:latin typeface="Arial Narrow" panose="020B0606020202030204" pitchFamily="34" charset="0"/>
                <a:ea typeface="Calibri"/>
                <a:cs typeface="Calibri"/>
              </a:defRPr>
            </a:pPr>
            <a:endParaRPr lang="en-US"/>
          </a:p>
        </c:txPr>
      </c:legendEntry>
      <c:layout>
        <c:manualLayout>
          <c:xMode val="edge"/>
          <c:yMode val="edge"/>
          <c:x val="0"/>
          <c:y val="8.0881128529628756E-4"/>
          <c:w val="0.42714335633316003"/>
          <c:h val="0.25356487538755729"/>
        </c:manualLayout>
      </c:layout>
      <c:overlay val="0"/>
      <c:spPr>
        <a:solidFill>
          <a:schemeClr val="bg1"/>
        </a:solidFill>
        <a:ln w="12700">
          <a:solidFill>
            <a:sysClr val="windowText" lastClr="000000"/>
          </a:solidFill>
        </a:ln>
      </c:spPr>
      <c:txPr>
        <a:bodyPr/>
        <a:lstStyle/>
        <a:p>
          <a:pPr>
            <a:defRPr sz="900" b="0" i="0" u="none" strike="noStrike" kern="500" baseline="0">
              <a:solidFill>
                <a:srgbClr val="000000"/>
              </a:solidFill>
              <a:latin typeface="Arial Narrow" panose="020B0606020202030204" pitchFamily="34" charset="0"/>
              <a:ea typeface="Calibri"/>
              <a:cs typeface="Calibri"/>
            </a:defRPr>
          </a:pPr>
          <a:endParaRPr lang="en-US"/>
        </a:p>
      </c:txPr>
    </c:legend>
    <c:plotVisOnly val="1"/>
    <c:dispBlanksAs val="gap"/>
    <c:showDLblsOverMax val="0"/>
  </c:chart>
  <c:spPr>
    <a:ln w="9525"/>
  </c:spPr>
  <c:txPr>
    <a:bodyPr/>
    <a:lstStyle/>
    <a:p>
      <a:pPr>
        <a:defRPr sz="1000" b="0" i="0" u="none" strike="noStrike" baseline="0">
          <a:solidFill>
            <a:srgbClr val="000000"/>
          </a:solidFill>
          <a:latin typeface="Calibri"/>
          <a:ea typeface="Calibri"/>
          <a:cs typeface="Calibri"/>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41C27-EBE2-4733-AFCF-ACAD29DC3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14</Pages>
  <Words>4828</Words>
  <Characters>27521</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Kacavenda</dc:creator>
  <cp:lastModifiedBy>Snezana Marinovic</cp:lastModifiedBy>
  <cp:revision>7</cp:revision>
  <cp:lastPrinted>2018-11-09T13:09:00Z</cp:lastPrinted>
  <dcterms:created xsi:type="dcterms:W3CDTF">2018-11-14T07:48:00Z</dcterms:created>
  <dcterms:modified xsi:type="dcterms:W3CDTF">2018-11-16T08:25:00Z</dcterms:modified>
</cp:coreProperties>
</file>