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en-US"/>
        </w:rPr>
        <w:br/>
      </w:r>
      <w:r>
        <w:rPr>
          <w:rFonts w:ascii="Times New Roman" w:eastAsia="Calibri" w:hAnsi="Times New Roman"/>
          <w:sz w:val="24"/>
          <w:szCs w:val="24"/>
          <w:lang w:val="en-US"/>
        </w:rPr>
        <w:br/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На основу члана 8. Закона о буџету Републике Србије за 2016. годину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 гласник РС”, 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број 103/15) </w:t>
      </w:r>
      <w:r>
        <w:rPr>
          <w:rFonts w:ascii="Times New Roman" w:eastAsia="Calibri" w:hAnsi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члана 17. став 1. и члана 42. став 1.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 гласник РС”, 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бр.</w:t>
      </w:r>
      <w:r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55/ 05, 71/05</w:t>
      </w:r>
      <w:r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>
        <w:rPr>
          <w:rFonts w:ascii="Cambria Math" w:eastAsia="Calibri" w:hAnsi="Cambria Math" w:cs="Cambria Math"/>
          <w:sz w:val="24"/>
          <w:szCs w:val="24"/>
          <w:lang w:val="sr-Cyrl-CS"/>
        </w:rPr>
        <w:t>‒</w:t>
      </w:r>
      <w:r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исправка, 101/07, 65/08, 16/11,  68/12 – УС, 72/12</w:t>
      </w:r>
      <w:r>
        <w:rPr>
          <w:rFonts w:ascii="Times New Roman" w:eastAsia="Calibri" w:hAnsi="Times New Roman"/>
          <w:sz w:val="24"/>
          <w:szCs w:val="24"/>
        </w:rPr>
        <w:t>, 7/14 –УС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и 44/14),  </w:t>
      </w:r>
    </w:p>
    <w:p w:rsidR="008657D8" w:rsidRDefault="008657D8" w:rsidP="008657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657D8" w:rsidRDefault="008657D8" w:rsidP="008657D8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Влада доноси</w:t>
      </w:r>
    </w:p>
    <w:p w:rsidR="008657D8" w:rsidRDefault="008657D8" w:rsidP="008657D8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>УРЕДБУ</w:t>
      </w:r>
    </w:p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ПОДРШКЕ МАЛИМ ПРЕДУЗЕЋИМА ЗА НАБАВКУ ОПРЕМЕ У 2016. ГОДИНИ </w:t>
      </w:r>
    </w:p>
    <w:p w:rsidR="008657D8" w:rsidRDefault="008657D8" w:rsidP="008657D8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Овом уредбом утврђује се Програм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подршке малим предузећима за набавку опреме у 2016</w:t>
      </w:r>
      <w:r>
        <w:rPr>
          <w:rFonts w:ascii="Times New Roman" w:hAnsi="Times New Roman"/>
          <w:sz w:val="24"/>
          <w:szCs w:val="24"/>
          <w:lang w:val="sr-Cyrl-CS"/>
        </w:rPr>
        <w:t>. години, који је одштампан уз ову уредбу и чини њен саставни део.</w:t>
      </w: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за спровођење ове уредбе обезбеђена су чланом 8. Закона о буџету Републике Србије за 2016. годину („Службени  гласник РС”,   број 103/15).</w:t>
      </w: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</w:t>
      </w:r>
      <w:r>
        <w:rPr>
          <w:rFonts w:ascii="Cambria Math" w:hAnsi="Cambria Math" w:cs="Cambria Math"/>
          <w:sz w:val="24"/>
          <w:szCs w:val="24"/>
          <w:lang w:val="sr-Cyrl-CS"/>
        </w:rPr>
        <w:t>ˮ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</w:t>
      </w:r>
      <w:r>
        <w:rPr>
          <w:rFonts w:ascii="Times New Roman" w:hAnsi="Times New Roman"/>
          <w:sz w:val="24"/>
          <w:szCs w:val="24"/>
          <w:lang w:val="en-US"/>
        </w:rPr>
        <w:t xml:space="preserve"> 110-2456/2016-1</w:t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8657D8" w:rsidRDefault="008657D8" w:rsidP="008657D8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sr-Cyrl-CS"/>
        </w:rPr>
        <w:t>. марта 2016. године</w:t>
      </w:r>
    </w:p>
    <w:p w:rsidR="008657D8" w:rsidRDefault="008657D8" w:rsidP="008657D8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 w:rsidP="008657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8657D8" w:rsidRDefault="008657D8" w:rsidP="008657D8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8657D8" w:rsidRDefault="008657D8" w:rsidP="008657D8">
      <w:pPr>
        <w:tabs>
          <w:tab w:val="left" w:pos="6521"/>
        </w:tabs>
        <w:ind w:left="360" w:firstLine="36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ПРЕДСЕДНИК</w:t>
      </w:r>
    </w:p>
    <w:p w:rsidR="008657D8" w:rsidRDefault="008657D8" w:rsidP="008657D8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8657D8" w:rsidRDefault="008657D8" w:rsidP="008657D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Александар Вучић</w:t>
      </w:r>
    </w:p>
    <w:p w:rsidR="008657D8" w:rsidRDefault="008657D8" w:rsidP="008657D8">
      <w:pPr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8657D8" w:rsidRDefault="008657D8" w:rsidP="008657D8">
      <w:pPr>
        <w:rPr>
          <w:rFonts w:ascii="Times New Roman" w:hAnsi="Times New Roman"/>
          <w:sz w:val="24"/>
          <w:szCs w:val="24"/>
          <w:lang w:val="sr-Cyrl-CS"/>
        </w:rPr>
      </w:pPr>
    </w:p>
    <w:p w:rsidR="008657D8" w:rsidRDefault="008657D8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br w:type="page"/>
      </w:r>
    </w:p>
    <w:p w:rsidR="008657D8" w:rsidRDefault="008657D8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4C5AAB" w:rsidRDefault="002F2592" w:rsidP="004C5AAB">
      <w:pPr>
        <w:spacing w:after="0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4C5AAB">
        <w:rPr>
          <w:rFonts w:ascii="Times New Roman" w:hAnsi="Times New Roman"/>
          <w:sz w:val="24"/>
          <w:szCs w:val="24"/>
          <w:lang w:val="sr-Cyrl-CS" w:eastAsia="sr-Cyrl-CS"/>
        </w:rPr>
        <w:t xml:space="preserve">ПРОГРАМ ПОДРШКЕ МАЛИМ ПРЕДУЗЕЋИМА ЗА НАБАВКУ ОПРЕМЕ </w:t>
      </w:r>
    </w:p>
    <w:p w:rsidR="002F2592" w:rsidRPr="004C5AAB" w:rsidRDefault="002F2592" w:rsidP="004C5AAB">
      <w:pPr>
        <w:spacing w:after="0"/>
        <w:jc w:val="center"/>
        <w:rPr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 w:eastAsia="sr-Cyrl-CS"/>
        </w:rPr>
        <w:t>У 201</w:t>
      </w:r>
      <w:r w:rsidR="002171BF" w:rsidRPr="004C5AAB">
        <w:rPr>
          <w:rFonts w:ascii="Times New Roman" w:hAnsi="Times New Roman"/>
          <w:sz w:val="24"/>
          <w:szCs w:val="24"/>
          <w:lang w:val="sr-Cyrl-CS" w:eastAsia="sr-Cyrl-CS"/>
        </w:rPr>
        <w:t>6</w:t>
      </w:r>
      <w:r w:rsidRPr="004C5AAB">
        <w:rPr>
          <w:rFonts w:ascii="Times New Roman" w:hAnsi="Times New Roman"/>
          <w:sz w:val="24"/>
          <w:szCs w:val="24"/>
          <w:lang w:val="sr-Cyrl-CS" w:eastAsia="sr-Cyrl-CS"/>
        </w:rPr>
        <w:t>. ГОДИНИ</w:t>
      </w:r>
    </w:p>
    <w:p w:rsidR="00237CFC" w:rsidRPr="004C5AAB" w:rsidRDefault="00237CFC" w:rsidP="00237CFC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37CFC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ПРЕДМЕТ</w:t>
      </w:r>
    </w:p>
    <w:p w:rsidR="002F2592" w:rsidRPr="004C5AAB" w:rsidRDefault="002F2592" w:rsidP="002F259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sr-Cyrl-RS"/>
        </w:rPr>
      </w:pPr>
    </w:p>
    <w:p w:rsidR="00EE50CD" w:rsidRPr="004C5AAB" w:rsidRDefault="002F2592" w:rsidP="003D37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Законом о буџету Републике Србије за 201</w:t>
      </w:r>
      <w:r w:rsidR="002171BF" w:rsidRPr="004C5AAB">
        <w:rPr>
          <w:rFonts w:ascii="Times New Roman" w:hAnsi="Times New Roman"/>
          <w:sz w:val="24"/>
          <w:szCs w:val="24"/>
          <w:lang w:val="sr-Cyrl-CS"/>
        </w:rPr>
        <w:t>6</w:t>
      </w:r>
      <w:r w:rsidRPr="004C5AAB">
        <w:rPr>
          <w:rFonts w:ascii="Times New Roman" w:hAnsi="Times New Roman"/>
          <w:sz w:val="24"/>
          <w:szCs w:val="24"/>
          <w:lang w:val="sr-Cyrl-CS"/>
        </w:rPr>
        <w:t>. годину („Службени  гласник РС”,</w:t>
      </w:r>
      <w:r w:rsidRPr="004C5AAB">
        <w:rPr>
          <w:sz w:val="24"/>
          <w:szCs w:val="24"/>
          <w:lang w:val="sr-Cyrl-CS"/>
        </w:rPr>
        <w:t xml:space="preserve"> 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број </w:t>
      </w:r>
      <w:r w:rsidR="00E64AA1" w:rsidRPr="004C5AAB">
        <w:rPr>
          <w:rFonts w:ascii="Times New Roman" w:eastAsia="Calibri" w:hAnsi="Times New Roman"/>
          <w:sz w:val="24"/>
          <w:szCs w:val="24"/>
          <w:lang w:val="sr-Cyrl-CS"/>
        </w:rPr>
        <w:t>103/</w:t>
      </w:r>
      <w:r w:rsidR="002171BF" w:rsidRPr="004C5AAB">
        <w:rPr>
          <w:rFonts w:ascii="Times New Roman" w:eastAsia="Calibri" w:hAnsi="Times New Roman"/>
          <w:sz w:val="24"/>
          <w:szCs w:val="24"/>
          <w:lang w:val="sr-Cyrl-CS"/>
        </w:rPr>
        <w:t>15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), члан </w:t>
      </w:r>
      <w:r w:rsidR="006412F9" w:rsidRPr="004C5AAB">
        <w:rPr>
          <w:rFonts w:ascii="Times New Roman" w:hAnsi="Times New Roman"/>
          <w:sz w:val="24"/>
          <w:szCs w:val="24"/>
          <w:lang w:val="sr-Cyrl-CS"/>
        </w:rPr>
        <w:t>8</w:t>
      </w:r>
      <w:r w:rsidRPr="004C5AAB">
        <w:rPr>
          <w:rFonts w:ascii="Times New Roman" w:hAnsi="Times New Roman"/>
          <w:sz w:val="24"/>
          <w:szCs w:val="24"/>
          <w:lang w:val="sr-Cyrl-CS"/>
        </w:rPr>
        <w:t>, у оквиру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раздела </w:t>
      </w:r>
      <w:r w:rsidRPr="004C5AAB">
        <w:rPr>
          <w:rFonts w:ascii="Times New Roman" w:hAnsi="Times New Roman"/>
          <w:sz w:val="24"/>
          <w:szCs w:val="24"/>
          <w:lang w:val="sr-Cyrl-CS"/>
        </w:rPr>
        <w:t>20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 Министарство привреде,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Главa 20.0, Програм 150</w:t>
      </w:r>
      <w:r w:rsidR="00B948F3" w:rsidRPr="004C5AAB">
        <w:rPr>
          <w:rFonts w:ascii="Times New Roman" w:hAnsi="Times New Roman"/>
          <w:sz w:val="24"/>
          <w:szCs w:val="24"/>
          <w:lang w:val="sr-Cyrl-CS"/>
        </w:rPr>
        <w:t>9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- Подстицаји развоју </w:t>
      </w:r>
      <w:r w:rsidR="00B948F3" w:rsidRPr="004C5AAB">
        <w:rPr>
          <w:rFonts w:ascii="Times New Roman" w:hAnsi="Times New Roman"/>
          <w:sz w:val="24"/>
          <w:szCs w:val="24"/>
          <w:lang w:val="sr-Cyrl-CS"/>
        </w:rPr>
        <w:t>конкуре</w:t>
      </w:r>
      <w:r w:rsidR="004C5AAB" w:rsidRPr="004C5AAB">
        <w:rPr>
          <w:rFonts w:ascii="Times New Roman" w:hAnsi="Times New Roman"/>
          <w:sz w:val="24"/>
          <w:szCs w:val="24"/>
          <w:lang w:val="sr-Cyrl-CS"/>
        </w:rPr>
        <w:t>н</w:t>
      </w:r>
      <w:r w:rsidR="00B948F3" w:rsidRPr="004C5AAB">
        <w:rPr>
          <w:rFonts w:ascii="Times New Roman" w:hAnsi="Times New Roman"/>
          <w:sz w:val="24"/>
          <w:szCs w:val="24"/>
          <w:lang w:val="sr-Cyrl-CS"/>
        </w:rPr>
        <w:t xml:space="preserve">тности </w:t>
      </w:r>
      <w:r w:rsidRPr="004C5AAB">
        <w:rPr>
          <w:rFonts w:ascii="Times New Roman" w:hAnsi="Times New Roman"/>
          <w:sz w:val="24"/>
          <w:szCs w:val="24"/>
          <w:lang w:val="sr-Cyrl-CS"/>
        </w:rPr>
        <w:t>привреде, функција 410 - Општи, економски и комерцијални послови и послови по питању рада, Пројекат 400</w:t>
      </w:r>
      <w:r w:rsidR="00B948F3" w:rsidRPr="004C5AAB">
        <w:rPr>
          <w:rFonts w:ascii="Times New Roman" w:hAnsi="Times New Roman"/>
          <w:sz w:val="24"/>
          <w:szCs w:val="24"/>
          <w:lang w:val="sr-Cyrl-CS"/>
        </w:rPr>
        <w:t>2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- Подршка </w:t>
      </w:r>
      <w:r w:rsidR="00B948F3" w:rsidRPr="004C5AAB">
        <w:rPr>
          <w:rFonts w:ascii="Times New Roman" w:hAnsi="Times New Roman"/>
          <w:sz w:val="24"/>
          <w:szCs w:val="24"/>
          <w:lang w:val="sr-Cyrl-CS"/>
        </w:rPr>
        <w:t>развој</w:t>
      </w:r>
      <w:r w:rsidR="00FA3BD9" w:rsidRPr="004C5AAB">
        <w:rPr>
          <w:rFonts w:ascii="Times New Roman" w:hAnsi="Times New Roman"/>
          <w:sz w:val="24"/>
          <w:szCs w:val="24"/>
          <w:lang w:val="sr-Cyrl-CS"/>
        </w:rPr>
        <w:t>у</w:t>
      </w:r>
      <w:r w:rsidR="00B948F3" w:rsidRPr="004C5AAB">
        <w:rPr>
          <w:rFonts w:ascii="Times New Roman" w:hAnsi="Times New Roman"/>
          <w:sz w:val="24"/>
          <w:szCs w:val="24"/>
          <w:lang w:val="sr-Cyrl-CS"/>
        </w:rPr>
        <w:t xml:space="preserve"> предузетништва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, економска класификација 451 - Субвенције јавним нефинансијским предузећима и организацијама, опредељена су средства у износу од </w:t>
      </w:r>
      <w:r w:rsidR="00EE50CD" w:rsidRPr="004C5AAB">
        <w:rPr>
          <w:rFonts w:ascii="Times New Roman" w:hAnsi="Times New Roman"/>
          <w:sz w:val="24"/>
          <w:szCs w:val="24"/>
          <w:lang w:val="sr-Cyrl-CS"/>
        </w:rPr>
        <w:t>5</w:t>
      </w:r>
      <w:r w:rsidRPr="004C5AAB">
        <w:rPr>
          <w:rFonts w:ascii="Times New Roman" w:hAnsi="Times New Roman"/>
          <w:sz w:val="24"/>
          <w:szCs w:val="24"/>
          <w:lang w:val="sr-Cyrl-CS"/>
        </w:rPr>
        <w:t>00.000.000,00 динара, намењена за реализацију Програма подршке малим предузећима за набавку опреме у 201</w:t>
      </w:r>
      <w:r w:rsidR="00EE50CD" w:rsidRPr="004C5AAB">
        <w:rPr>
          <w:rFonts w:ascii="Times New Roman" w:hAnsi="Times New Roman"/>
          <w:sz w:val="24"/>
          <w:szCs w:val="24"/>
          <w:lang w:val="sr-Cyrl-CS"/>
        </w:rPr>
        <w:t>6</w:t>
      </w:r>
      <w:r w:rsidRPr="004C5AAB">
        <w:rPr>
          <w:rFonts w:ascii="Times New Roman" w:hAnsi="Times New Roman"/>
          <w:sz w:val="24"/>
          <w:szCs w:val="24"/>
          <w:lang w:val="sr-Cyrl-CS"/>
        </w:rPr>
        <w:t>. години (у даљем тексту: Програм).</w:t>
      </w:r>
      <w:r w:rsidRPr="004C5AAB">
        <w:rPr>
          <w:color w:val="FF0000"/>
          <w:sz w:val="24"/>
          <w:szCs w:val="24"/>
          <w:lang w:val="sr-Cyrl-CS"/>
        </w:rPr>
        <w:t xml:space="preserve"> </w:t>
      </w:r>
    </w:p>
    <w:p w:rsidR="00F029AB" w:rsidRPr="004C5AAB" w:rsidRDefault="003D3728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Неутрошена средства у износу од </w:t>
      </w:r>
      <w:r w:rsidR="001177DE" w:rsidRPr="004C5AAB">
        <w:rPr>
          <w:rFonts w:ascii="Times New Roman" w:hAnsi="Times New Roman"/>
          <w:sz w:val="24"/>
          <w:szCs w:val="24"/>
          <w:lang w:val="sr-Cyrl-CS"/>
        </w:rPr>
        <w:t>4</w:t>
      </w:r>
      <w:r w:rsidR="00535E48" w:rsidRPr="004C5AAB">
        <w:rPr>
          <w:rFonts w:ascii="Times New Roman" w:hAnsi="Times New Roman"/>
          <w:sz w:val="24"/>
          <w:szCs w:val="24"/>
          <w:lang w:val="sr-Cyrl-CS"/>
        </w:rPr>
        <w:t>2</w:t>
      </w:r>
      <w:r w:rsidR="001177DE" w:rsidRPr="004C5AAB">
        <w:rPr>
          <w:rFonts w:ascii="Times New Roman" w:hAnsi="Times New Roman"/>
          <w:sz w:val="24"/>
          <w:szCs w:val="24"/>
          <w:lang w:val="sr-Cyrl-CS"/>
        </w:rPr>
        <w:t xml:space="preserve">.000.000,00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динара која су пренета Развојној агенцији Србије у складу са Уредбом о утврђивању програма подршке малим предузећима за набавку опреме у 2015. години </w:t>
      </w:r>
      <w:r w:rsidR="00CC459C" w:rsidRPr="004C5AAB">
        <w:rPr>
          <w:rFonts w:ascii="Times New Roman" w:hAnsi="Times New Roman"/>
          <w:sz w:val="24"/>
          <w:szCs w:val="24"/>
          <w:lang w:val="sr-Cyrl-CS"/>
        </w:rPr>
        <w:t>(„Службени  гласник РС”, бр.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80/15, 113/15)</w:t>
      </w:r>
      <w:r w:rsidR="00CC459C" w:rsidRPr="004C5AAB">
        <w:rPr>
          <w:rFonts w:ascii="Times New Roman" w:hAnsi="Times New Roman"/>
          <w:sz w:val="24"/>
          <w:szCs w:val="24"/>
          <w:lang w:val="sr-Cyrl-CS"/>
        </w:rPr>
        <w:t xml:space="preserve"> користи</w:t>
      </w:r>
      <w:r w:rsidRPr="004C5AAB">
        <w:rPr>
          <w:rFonts w:ascii="Times New Roman" w:hAnsi="Times New Roman"/>
          <w:sz w:val="24"/>
          <w:szCs w:val="24"/>
          <w:lang w:val="sr-Cyrl-CS"/>
        </w:rPr>
        <w:t>ће  се у 2016. години за суб</w:t>
      </w:r>
      <w:r w:rsidR="003D0672" w:rsidRPr="004C5AAB">
        <w:rPr>
          <w:rFonts w:ascii="Times New Roman" w:hAnsi="Times New Roman"/>
          <w:sz w:val="24"/>
          <w:szCs w:val="24"/>
          <w:lang w:val="sr-Cyrl-CS"/>
        </w:rPr>
        <w:t>в</w:t>
      </w:r>
      <w:r w:rsidRPr="004C5AAB">
        <w:rPr>
          <w:rFonts w:ascii="Times New Roman" w:hAnsi="Times New Roman"/>
          <w:sz w:val="24"/>
          <w:szCs w:val="24"/>
          <w:lang w:val="sr-Cyrl-CS"/>
        </w:rPr>
        <w:t>енционисање набавке опреме малим предузећима у складу са овим Програмом.</w:t>
      </w:r>
      <w:r w:rsidR="00F029AB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2592" w:rsidRPr="004C5AAB" w:rsidRDefault="00F029AB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Средства за реализацију овог програма представљају de minimis државну помоћ у складу са чл. 95-97. Уредбе о правилима за доделу државне помоћи („Службени  гласник РС”,</w:t>
      </w:r>
      <w:r w:rsidRPr="004C5AAB">
        <w:rPr>
          <w:sz w:val="24"/>
          <w:szCs w:val="24"/>
          <w:lang w:val="sr-Cyrl-CS"/>
        </w:rPr>
        <w:t xml:space="preserve">  </w:t>
      </w:r>
      <w:r w:rsidRPr="004C5AAB">
        <w:rPr>
          <w:rFonts w:ascii="Times New Roman" w:hAnsi="Times New Roman"/>
          <w:sz w:val="24"/>
          <w:szCs w:val="24"/>
          <w:lang w:val="sr-Cyrl-CS"/>
        </w:rPr>
        <w:t>бр. 13/10, 100/11, 91/12, 37/13, 97/13 и 119/14</w:t>
      </w:r>
      <w:r w:rsidR="00C37BC3" w:rsidRPr="004C5AAB">
        <w:rPr>
          <w:rFonts w:ascii="Times New Roman" w:hAnsi="Times New Roman"/>
          <w:sz w:val="24"/>
          <w:szCs w:val="24"/>
          <w:lang w:val="sr-Cyrl-CS"/>
        </w:rPr>
        <w:t>).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Програмом се утврђују циљеви, намена средстава, начин реализације и праћење реализације Програма.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Програм спроводи Министарство привреде (у даљем тексту: Министарство) у сарадњи са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>Развојном агенцијом Србије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(у даљем тексту: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Развојна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агенција) и одабраним пословним банкама</w:t>
      </w:r>
      <w:r w:rsidR="00100210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компанијама</w:t>
      </w:r>
      <w:r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085F95" w:rsidRPr="004C5AAB" w:rsidRDefault="00085F95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37CFC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ЦИЉЕВИ</w:t>
      </w:r>
    </w:p>
    <w:p w:rsidR="002F2592" w:rsidRPr="004C5AAB" w:rsidRDefault="002F2592" w:rsidP="002F259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Циљ Програма јесте јачање конкурентности привредних субјеката, унапређење њиховог пословања и интернационализације, као и креирање нових радних места кроз инвестиције у опрему.</w:t>
      </w:r>
    </w:p>
    <w:p w:rsidR="002F2592" w:rsidRPr="004C5AAB" w:rsidRDefault="002F2592" w:rsidP="002F259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Специфични циљеви Програма су: </w:t>
      </w:r>
    </w:p>
    <w:p w:rsidR="002F2592" w:rsidRPr="004C5AAB" w:rsidRDefault="002F2592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унапређење технолошких процеса</w:t>
      </w:r>
      <w:r w:rsidR="00A27F8A" w:rsidRPr="004C5AAB">
        <w:rPr>
          <w:rFonts w:ascii="Times New Roman" w:hAnsi="Times New Roman"/>
          <w:sz w:val="24"/>
          <w:szCs w:val="24"/>
          <w:lang w:val="sr-Cyrl-CS"/>
        </w:rPr>
        <w:t xml:space="preserve"> производње</w:t>
      </w:r>
      <w:r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D40193" w:rsidRPr="004C5AAB" w:rsidRDefault="00D40193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 побољшање конкуре</w:t>
      </w:r>
      <w:r w:rsidR="004C5AAB" w:rsidRPr="004C5AAB">
        <w:rPr>
          <w:rFonts w:ascii="Times New Roman" w:hAnsi="Times New Roman"/>
          <w:sz w:val="24"/>
          <w:szCs w:val="24"/>
          <w:lang w:val="sr-Cyrl-CS"/>
        </w:rPr>
        <w:t>н</w:t>
      </w:r>
      <w:r w:rsidRPr="004C5AAB">
        <w:rPr>
          <w:rFonts w:ascii="Times New Roman" w:hAnsi="Times New Roman"/>
          <w:sz w:val="24"/>
          <w:szCs w:val="24"/>
          <w:lang w:val="sr-Cyrl-CS"/>
        </w:rPr>
        <w:t>тности произвођача</w:t>
      </w:r>
      <w:r w:rsidR="00A61386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2F2592" w:rsidRPr="004C5AAB" w:rsidRDefault="002F2592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повећање вредности и обима промета;</w:t>
      </w:r>
    </w:p>
    <w:p w:rsidR="002F2592" w:rsidRPr="004C5AAB" w:rsidRDefault="002F2592" w:rsidP="002F259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смањење ризика </w:t>
      </w:r>
      <w:r w:rsidR="00BE341A" w:rsidRPr="004C5AAB">
        <w:rPr>
          <w:rFonts w:ascii="Times New Roman" w:hAnsi="Times New Roman"/>
          <w:sz w:val="24"/>
          <w:szCs w:val="24"/>
          <w:lang w:val="sr-Cyrl-CS"/>
        </w:rPr>
        <w:t xml:space="preserve">финансирања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набавке </w:t>
      </w:r>
      <w:r w:rsidR="00BE341A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производне </w:t>
      </w:r>
      <w:r w:rsidRPr="004C5AAB">
        <w:rPr>
          <w:rFonts w:ascii="Times New Roman" w:hAnsi="Times New Roman"/>
          <w:sz w:val="24"/>
          <w:szCs w:val="24"/>
          <w:lang w:val="sr-Cyrl-CS"/>
        </w:rPr>
        <w:t>опреме;</w:t>
      </w:r>
    </w:p>
    <w:p w:rsidR="00104F45" w:rsidRPr="004C5AAB" w:rsidRDefault="002F259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смањење трошкова финансирања производне опреме кроз ниже каматне стопе и/или накнаде;</w:t>
      </w:r>
    </w:p>
    <w:p w:rsidR="002F2592" w:rsidRPr="004C5AAB" w:rsidRDefault="000F304D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повећавање понуде</w:t>
      </w:r>
      <w:r w:rsidR="00707C9A" w:rsidRPr="004C5AAB">
        <w:rPr>
          <w:rFonts w:ascii="Times New Roman" w:hAnsi="Times New Roman"/>
          <w:sz w:val="24"/>
          <w:szCs w:val="24"/>
          <w:lang w:val="sr-Cyrl-CS"/>
        </w:rPr>
        <w:t xml:space="preserve"> дугорочних</w:t>
      </w:r>
      <w:r w:rsidR="00104F45" w:rsidRPr="004C5AAB">
        <w:rPr>
          <w:rFonts w:ascii="Times New Roman" w:hAnsi="Times New Roman"/>
          <w:sz w:val="24"/>
          <w:szCs w:val="24"/>
          <w:lang w:val="sr-Cyrl-CS"/>
        </w:rPr>
        <w:t xml:space="preserve"> извора финансирања;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2592" w:rsidRPr="004C5AAB" w:rsidRDefault="002F259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промовисање залоге на опреми, као примарног и довољног средства обезбеђења кредита;</w:t>
      </w:r>
    </w:p>
    <w:p w:rsidR="002F2592" w:rsidRPr="004C5AAB" w:rsidRDefault="002F259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побољшање кредитне понуде банака</w:t>
      </w:r>
      <w:r w:rsidR="00100210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за финансирање набавке </w:t>
      </w:r>
      <w:r w:rsidR="00104F45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производне </w:t>
      </w:r>
      <w:r w:rsidRPr="004C5AAB">
        <w:rPr>
          <w:rFonts w:ascii="Times New Roman" w:hAnsi="Times New Roman"/>
          <w:sz w:val="24"/>
          <w:szCs w:val="24"/>
          <w:lang w:val="sr-Cyrl-CS"/>
        </w:rPr>
        <w:t>опреме;</w:t>
      </w:r>
    </w:p>
    <w:p w:rsidR="002F2592" w:rsidRPr="004C5AAB" w:rsidRDefault="002F2592" w:rsidP="002F2592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јачање партнерства између банака</w:t>
      </w:r>
      <w:r w:rsidR="00100210" w:rsidRPr="004C5AAB">
        <w:rPr>
          <w:rFonts w:ascii="Times New Roman" w:hAnsi="Times New Roman"/>
          <w:sz w:val="24"/>
          <w:szCs w:val="24"/>
          <w:lang w:val="sr-Cyrl-CS"/>
        </w:rPr>
        <w:t>,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јавног сектора </w:t>
      </w:r>
      <w:r w:rsidRPr="004C5AAB">
        <w:rPr>
          <w:rFonts w:ascii="Times New Roman" w:hAnsi="Times New Roman"/>
          <w:sz w:val="24"/>
          <w:szCs w:val="24"/>
          <w:lang w:val="sr-Cyrl-CS"/>
        </w:rPr>
        <w:t>у унапређењу извора финансирања.</w:t>
      </w:r>
    </w:p>
    <w:p w:rsidR="00ED33F7" w:rsidRPr="004C5AAB" w:rsidRDefault="00ED33F7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D33F7" w:rsidRPr="004C5AAB" w:rsidRDefault="00ED33F7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D33F7" w:rsidRPr="004C5AAB" w:rsidRDefault="00ED33F7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581F" w:rsidRPr="004C5AAB" w:rsidRDefault="0091581F" w:rsidP="00ED33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37CFC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НАМЕНА СРЕДСТАВА</w:t>
      </w:r>
    </w:p>
    <w:p w:rsidR="002F2592" w:rsidRPr="004C5AAB" w:rsidRDefault="002F2592" w:rsidP="002F259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Средства опредељена Програмом намењена су за суфинансирање набавке </w:t>
      </w:r>
      <w:r w:rsidR="00104F45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производне </w:t>
      </w:r>
      <w:r w:rsidRPr="004C5AAB">
        <w:rPr>
          <w:rFonts w:ascii="Times New Roman" w:hAnsi="Times New Roman"/>
          <w:sz w:val="24"/>
          <w:szCs w:val="24"/>
          <w:lang w:val="sr-Cyrl-CS"/>
        </w:rPr>
        <w:t>опреме</w:t>
      </w:r>
      <w:r w:rsidR="0049540D" w:rsidRPr="004C5AAB">
        <w:rPr>
          <w:rFonts w:ascii="Times New Roman" w:hAnsi="Times New Roman"/>
          <w:sz w:val="24"/>
          <w:szCs w:val="24"/>
          <w:lang w:val="sr-Cyrl-CS"/>
        </w:rPr>
        <w:t xml:space="preserve"> и опреме директно укључене у процес производње</w:t>
      </w:r>
      <w:r w:rsidR="00FD0A84" w:rsidRPr="004C5AAB">
        <w:rPr>
          <w:rFonts w:ascii="Times New Roman" w:hAnsi="Times New Roman"/>
          <w:sz w:val="24"/>
          <w:szCs w:val="24"/>
          <w:lang w:val="sr-Cyrl-CS"/>
        </w:rPr>
        <w:t xml:space="preserve"> (у </w:t>
      </w:r>
      <w:r w:rsidR="00A61386" w:rsidRPr="004C5AAB">
        <w:rPr>
          <w:rFonts w:ascii="Times New Roman" w:hAnsi="Times New Roman"/>
          <w:sz w:val="24"/>
          <w:szCs w:val="24"/>
          <w:lang w:val="sr-Cyrl-CS"/>
        </w:rPr>
        <w:t xml:space="preserve">даљем </w:t>
      </w:r>
      <w:r w:rsidR="00FD0A84" w:rsidRPr="004C5AAB">
        <w:rPr>
          <w:rFonts w:ascii="Times New Roman" w:hAnsi="Times New Roman"/>
          <w:sz w:val="24"/>
          <w:szCs w:val="24"/>
          <w:lang w:val="sr-Cyrl-CS"/>
        </w:rPr>
        <w:t>тексту: производне опреме)</w:t>
      </w:r>
      <w:r w:rsidRPr="004C5AAB">
        <w:rPr>
          <w:rFonts w:ascii="Times New Roman" w:hAnsi="Times New Roman"/>
          <w:sz w:val="24"/>
          <w:szCs w:val="24"/>
          <w:lang w:val="sr-Cyrl-CS"/>
        </w:rPr>
        <w:t>, и то:</w:t>
      </w:r>
    </w:p>
    <w:p w:rsidR="002F2592" w:rsidRPr="004C5AAB" w:rsidRDefault="002F2592" w:rsidP="002F2592">
      <w:pPr>
        <w:pStyle w:val="ListParagraph"/>
        <w:tabs>
          <w:tab w:val="center" w:pos="0"/>
        </w:tabs>
        <w:spacing w:after="0" w:line="240" w:lineRule="auto"/>
        <w:ind w:left="7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1) нове производне опреме и/или машина;</w:t>
      </w:r>
    </w:p>
    <w:p w:rsidR="002F2592" w:rsidRPr="004C5AAB" w:rsidRDefault="002F2592" w:rsidP="002F2592">
      <w:pPr>
        <w:pStyle w:val="ListParagraph"/>
        <w:tabs>
          <w:tab w:val="center" w:pos="0"/>
        </w:tabs>
        <w:spacing w:after="0" w:line="240" w:lineRule="auto"/>
        <w:ind w:left="7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2) половне производне опреме и/или машина, не старије од пет година</w:t>
      </w:r>
      <w:r w:rsidR="00ED795C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DC0E2E" w:rsidRPr="004C5AAB" w:rsidRDefault="002F2592" w:rsidP="00ED33F7">
      <w:pPr>
        <w:tabs>
          <w:tab w:val="left" w:pos="709"/>
          <w:tab w:val="left" w:pos="993"/>
        </w:tabs>
        <w:spacing w:after="0" w:line="240" w:lineRule="auto"/>
        <w:ind w:left="71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3) нових делова, специјализованих алата за машине или других капиталних</w:t>
      </w:r>
      <w:r w:rsidR="00233E88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добара која ће се користити </w:t>
      </w:r>
      <w:r w:rsidR="00F029AB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за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производ</w:t>
      </w:r>
      <w:r w:rsidR="00F029AB" w:rsidRPr="004C5AAB">
        <w:rPr>
          <w:rFonts w:ascii="Times New Roman" w:hAnsi="Times New Roman"/>
          <w:color w:val="000000"/>
          <w:sz w:val="24"/>
          <w:szCs w:val="24"/>
          <w:lang w:val="sr-Cyrl-CS"/>
        </w:rPr>
        <w:t>њу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размењив</w:t>
      </w:r>
      <w:r w:rsidR="00F029AB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их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доб</w:t>
      </w:r>
      <w:r w:rsidR="00F029AB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ра.</w:t>
      </w:r>
    </w:p>
    <w:p w:rsidR="00DC0E2E" w:rsidRPr="004C5AAB" w:rsidRDefault="00DC0E2E" w:rsidP="002F259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Опрема која је предмет Програма, односно за чију се набавку додељују бесповратна средства, не може бит</w:t>
      </w:r>
      <w:r w:rsidR="00934D4E" w:rsidRPr="004C5AAB">
        <w:rPr>
          <w:rFonts w:ascii="Times New Roman" w:hAnsi="Times New Roman"/>
          <w:sz w:val="24"/>
          <w:szCs w:val="24"/>
          <w:lang w:val="sr-Cyrl-CS"/>
        </w:rPr>
        <w:t xml:space="preserve">и купљена од физичког лица, осим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ако је предузетник. </w:t>
      </w:r>
    </w:p>
    <w:p w:rsidR="002F2592" w:rsidRPr="004C5AAB" w:rsidRDefault="002F2592" w:rsidP="00EB3682">
      <w:pPr>
        <w:pStyle w:val="ListParagraph"/>
        <w:tabs>
          <w:tab w:val="left" w:pos="720"/>
          <w:tab w:val="left" w:pos="1134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Средства за реализацију Програма се не могу користити за:</w:t>
      </w:r>
    </w:p>
    <w:p w:rsidR="006412F9" w:rsidRPr="004C5AAB" w:rsidRDefault="00A3526E" w:rsidP="006412F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>орез на додату вредност (у даљем тексту: ПДВ)</w:t>
      </w:r>
      <w:r w:rsidR="006412F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2F2592" w:rsidRPr="004C5AAB" w:rsidRDefault="002F2592" w:rsidP="002F259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набавку путничких, теретних и комерцијалних возилa; </w:t>
      </w:r>
    </w:p>
    <w:p w:rsidR="002F2592" w:rsidRPr="004C5AAB" w:rsidRDefault="002F259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покривање трошкова који су у вези са набавком опреме као што су: царински и административни трошкови, трошкови </w:t>
      </w:r>
      <w:r w:rsidR="00F029AB" w:rsidRPr="004C5AAB">
        <w:rPr>
          <w:rFonts w:ascii="Times New Roman" w:hAnsi="Times New Roman"/>
          <w:sz w:val="24"/>
          <w:szCs w:val="24"/>
          <w:lang w:val="sr-Cyrl-CS"/>
        </w:rPr>
        <w:t xml:space="preserve">транспорта, </w:t>
      </w:r>
      <w:r w:rsidRPr="004C5AAB">
        <w:rPr>
          <w:rFonts w:ascii="Times New Roman" w:hAnsi="Times New Roman"/>
          <w:sz w:val="24"/>
          <w:szCs w:val="24"/>
          <w:lang w:val="sr-Cyrl-CS"/>
        </w:rPr>
        <w:t>шпедиције, складиштења и манипулације, монтаже и инсталирања опреме, обуке и др;</w:t>
      </w:r>
    </w:p>
    <w:p w:rsidR="002F2592" w:rsidRPr="004C5AAB" w:rsidRDefault="002F259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покривање трошкова који су у вези са одобравањем и спровођењем банкарског кредита</w:t>
      </w:r>
      <w:r w:rsidR="008E2EEA" w:rsidRPr="004C5AAB">
        <w:rPr>
          <w:rFonts w:ascii="Times New Roman" w:hAnsi="Times New Roman"/>
          <w:sz w:val="24"/>
          <w:szCs w:val="24"/>
          <w:lang w:val="sr-Cyrl-CS"/>
        </w:rPr>
        <w:t>, односно финансијског лизинга,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као што су трошкови: обраде </w:t>
      </w:r>
      <w:r w:rsidR="008E2EEA" w:rsidRPr="004C5AAB">
        <w:rPr>
          <w:rFonts w:ascii="Times New Roman" w:hAnsi="Times New Roman"/>
          <w:sz w:val="24"/>
          <w:szCs w:val="24"/>
          <w:lang w:val="sr-Cyrl-CS"/>
        </w:rPr>
        <w:t>захтева</w:t>
      </w:r>
      <w:r w:rsidRPr="004C5AAB">
        <w:rPr>
          <w:rFonts w:ascii="Times New Roman" w:hAnsi="Times New Roman"/>
          <w:sz w:val="24"/>
          <w:szCs w:val="24"/>
          <w:lang w:val="sr-Cyrl-CS"/>
        </w:rPr>
        <w:t>,  камате, трошак кредитног бироа за корисника, уписа залоге у Агенцији за привредне регистре (у даљем тексту: АПР), осигурања по</w:t>
      </w:r>
      <w:r w:rsidR="0045354A" w:rsidRPr="004C5AAB">
        <w:rPr>
          <w:rFonts w:ascii="Times New Roman" w:hAnsi="Times New Roman"/>
          <w:sz w:val="24"/>
          <w:szCs w:val="24"/>
          <w:lang w:val="sr-Cyrl-CS"/>
        </w:rPr>
        <w:t>кретности, курсних разликa и сл</w:t>
      </w:r>
      <w:r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2F2592" w:rsidRPr="004C5AAB" w:rsidRDefault="002F259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рефундацију средстава за већ набављену опрему;</w:t>
      </w:r>
    </w:p>
    <w:p w:rsidR="002F2592" w:rsidRPr="004C5AAB" w:rsidRDefault="002F259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зајмове и рате за отплату кредита, као и за репрограм кредитa;</w:t>
      </w:r>
    </w:p>
    <w:p w:rsidR="002F2592" w:rsidRPr="004C5AAB" w:rsidRDefault="002F2592" w:rsidP="002F2592">
      <w:pPr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остале трошкове који нису у складу са наменом Програма.</w:t>
      </w:r>
    </w:p>
    <w:p w:rsidR="002F2592" w:rsidRPr="004C5AAB" w:rsidRDefault="002F2592" w:rsidP="002F2592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A5D92" w:rsidRPr="004C5AAB" w:rsidRDefault="002F2592" w:rsidP="00EF5372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ФИНАНСИЈСКИ ОКВИР</w:t>
      </w:r>
    </w:p>
    <w:p w:rsidR="000D52CF" w:rsidRPr="004C5AAB" w:rsidRDefault="000D52CF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Привредни субјекти који </w:t>
      </w:r>
      <w:r w:rsidR="009570B7" w:rsidRPr="004C5AAB">
        <w:rPr>
          <w:rFonts w:ascii="Times New Roman" w:hAnsi="Times New Roman"/>
          <w:sz w:val="24"/>
          <w:szCs w:val="24"/>
          <w:lang w:val="sr-Cyrl-CS"/>
        </w:rPr>
        <w:t>испуне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услове Програма и којима банке,  </w:t>
      </w:r>
      <w:r w:rsidR="00F36270" w:rsidRPr="004C5AAB">
        <w:rPr>
          <w:rFonts w:ascii="Times New Roman" w:hAnsi="Times New Roman"/>
          <w:sz w:val="24"/>
          <w:szCs w:val="24"/>
          <w:lang w:val="sr-Cyrl-CS"/>
        </w:rPr>
        <w:t>односно</w:t>
      </w:r>
      <w:r w:rsidR="0021485E" w:rsidRPr="004C5AAB">
        <w:rPr>
          <w:rFonts w:ascii="Times New Roman" w:hAnsi="Times New Roman"/>
          <w:sz w:val="24"/>
          <w:szCs w:val="24"/>
          <w:lang w:val="sr-Cyrl-CS"/>
        </w:rPr>
        <w:t xml:space="preserve"> лизинг компаније укључене у реализацију Програма, условно одобре кредит односно финансирање </w:t>
      </w:r>
      <w:r w:rsidRPr="004C5AAB">
        <w:rPr>
          <w:rFonts w:ascii="Times New Roman" w:hAnsi="Times New Roman"/>
          <w:sz w:val="24"/>
          <w:szCs w:val="24"/>
          <w:lang w:val="sr-Cyrl-CS"/>
        </w:rPr>
        <w:t>могу остварити право на суфинансирање до 25%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 нето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>вредности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набавке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производне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опреме. </w:t>
      </w:r>
    </w:p>
    <w:p w:rsidR="002F2592" w:rsidRPr="004C5AAB" w:rsidRDefault="009570B7" w:rsidP="002F25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Привредни субјек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т је у обавези да обезбеди </w:t>
      </w:r>
      <w:r w:rsidR="004B3AFA" w:rsidRPr="004C5AAB">
        <w:rPr>
          <w:rFonts w:ascii="Times New Roman" w:hAnsi="Times New Roman"/>
          <w:sz w:val="24"/>
          <w:szCs w:val="24"/>
          <w:lang w:val="sr-Cyrl-CS"/>
        </w:rPr>
        <w:t>учешће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 у висини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5%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>нето вредности производне опреме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, док ће се преосталих 70%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нето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вредности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производне опреме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 обезбедити из кредита пословних банака </w:t>
      </w:r>
      <w:r w:rsidR="00F36270" w:rsidRPr="004C5AAB">
        <w:rPr>
          <w:rFonts w:ascii="Times New Roman" w:hAnsi="Times New Roman"/>
          <w:sz w:val="24"/>
          <w:szCs w:val="24"/>
          <w:lang w:val="sr-Cyrl-CS"/>
        </w:rPr>
        <w:t xml:space="preserve">или финансијског лизинга лизинг компанија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укључених у спровођ</w:t>
      </w:r>
      <w:r w:rsidR="004B3AFA" w:rsidRPr="004C5AAB">
        <w:rPr>
          <w:rFonts w:ascii="Times New Roman" w:hAnsi="Times New Roman"/>
          <w:sz w:val="24"/>
          <w:szCs w:val="24"/>
          <w:lang w:val="sr-Cyrl-CS"/>
        </w:rPr>
        <w:t>ењ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е овог програма. </w:t>
      </w:r>
    </w:p>
    <w:p w:rsidR="00F36270" w:rsidRPr="004C5AAB" w:rsidRDefault="002F2592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Износ одобрене бесповратне помоћи у висини до 25% од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 нето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вредности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производне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опреме не може бити мањи од 250.000,00 динара, нити већи од 2.500.000,00 динара.  </w:t>
      </w:r>
    </w:p>
    <w:p w:rsidR="004B3AFA" w:rsidRPr="004C5AAB" w:rsidRDefault="004B3AFA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Нето вредност је набавна цена опреме исказана у профактури/предрачуну/предуговору, која не укључује ПДВ, 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 xml:space="preserve">трошкове </w:t>
      </w:r>
      <w:r w:rsidRPr="004C5AAB">
        <w:rPr>
          <w:rFonts w:ascii="Times New Roman" w:hAnsi="Times New Roman"/>
          <w:sz w:val="24"/>
          <w:szCs w:val="24"/>
          <w:lang w:val="sr-Cyrl-CS"/>
        </w:rPr>
        <w:t>транспорта</w:t>
      </w:r>
      <w:r w:rsidR="001B0E27" w:rsidRPr="004C5AAB">
        <w:rPr>
          <w:rFonts w:ascii="Times New Roman" w:hAnsi="Times New Roman"/>
          <w:sz w:val="24"/>
          <w:szCs w:val="24"/>
          <w:lang w:val="sr-Cyrl-CS"/>
        </w:rPr>
        <w:t>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као ни било које друге трошкове који су у вези са набавком и пуштањем опреме у рад.</w:t>
      </w:r>
    </w:p>
    <w:p w:rsidR="0021485E" w:rsidRPr="004C5AAB" w:rsidRDefault="00353DF0" w:rsidP="00F156D8">
      <w:pPr>
        <w:pStyle w:val="ListParagraph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Набавна цена опреме на профактури/предрачуну/предуговору</w:t>
      </w:r>
      <w:r w:rsidR="002327DF" w:rsidRPr="004C5AAB">
        <w:rPr>
          <w:rFonts w:ascii="Times New Roman" w:hAnsi="Times New Roman"/>
          <w:sz w:val="24"/>
          <w:szCs w:val="24"/>
          <w:lang w:val="sr-Cyrl-CS"/>
        </w:rPr>
        <w:t xml:space="preserve"> домаћих добављача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мора бити исказана у динарима.  </w:t>
      </w:r>
      <w:r w:rsidR="00FD0A84" w:rsidRPr="004C5AAB">
        <w:rPr>
          <w:rFonts w:ascii="Times New Roman" w:hAnsi="Times New Roman"/>
          <w:sz w:val="24"/>
          <w:szCs w:val="24"/>
          <w:lang w:val="sr-Cyrl-CS"/>
        </w:rPr>
        <w:t xml:space="preserve"> У случају набавке производне опреме из иностранства, нето вредност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исказана у страној валути на </w:t>
      </w:r>
      <w:r w:rsidRPr="004C5AAB">
        <w:rPr>
          <w:rFonts w:ascii="Times New Roman" w:hAnsi="Times New Roman"/>
          <w:sz w:val="24"/>
          <w:szCs w:val="24"/>
          <w:lang w:val="sr-Cyrl-CS"/>
        </w:rPr>
        <w:lastRenderedPageBreak/>
        <w:t>профактури/предрачуну/предуговору,  прерачунава се према средњем курсу Народне банке Србије на дан подношења захтева за доделу бесповратних средстава.</w:t>
      </w:r>
      <w:r w:rsidR="00E13030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D0A84" w:rsidRPr="004C5AAB" w:rsidRDefault="00FD0A84" w:rsidP="00F156D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Све евентуалне</w:t>
      </w:r>
      <w:r w:rsidR="00353DF0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касније настале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курсн</w:t>
      </w:r>
      <w:r w:rsidR="00353DF0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разлик</w:t>
      </w:r>
      <w:r w:rsidR="00353DF0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случају набавке опреме из иностранства сноси подносилац захтева.</w:t>
      </w:r>
    </w:p>
    <w:p w:rsidR="00FD0A84" w:rsidRPr="004C5AAB" w:rsidRDefault="00FD0A84" w:rsidP="00F156D8">
      <w:pPr>
        <w:pStyle w:val="ListParagraph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D52CF" w:rsidRPr="004C5AAB" w:rsidRDefault="004C5AAB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Банке</w:t>
      </w:r>
    </w:p>
    <w:p w:rsidR="0021485E" w:rsidRPr="004C5AAB" w:rsidRDefault="0021485E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У случају да </w:t>
      </w:r>
      <w:r w:rsidR="00E13030" w:rsidRPr="004C5AAB">
        <w:rPr>
          <w:rFonts w:ascii="Times New Roman" w:hAnsi="Times New Roman"/>
          <w:sz w:val="24"/>
          <w:szCs w:val="24"/>
          <w:lang w:val="sr-Cyrl-CS"/>
        </w:rPr>
        <w:t>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укупн</w:t>
      </w:r>
      <w:r w:rsidR="00E13030" w:rsidRPr="004C5AAB">
        <w:rPr>
          <w:rFonts w:ascii="Times New Roman" w:hAnsi="Times New Roman"/>
          <w:sz w:val="24"/>
          <w:szCs w:val="24"/>
          <w:lang w:val="sr-Cyrl-CS"/>
        </w:rPr>
        <w:t>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нето </w:t>
      </w:r>
      <w:r w:rsidR="00E13030" w:rsidRPr="004C5AAB">
        <w:rPr>
          <w:rFonts w:ascii="Times New Roman" w:hAnsi="Times New Roman"/>
          <w:sz w:val="24"/>
          <w:szCs w:val="24"/>
          <w:lang w:val="sr-Cyrl-CS"/>
        </w:rPr>
        <w:t>вредност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13030" w:rsidRPr="004C5AAB">
        <w:rPr>
          <w:rFonts w:ascii="Times New Roman" w:hAnsi="Times New Roman"/>
          <w:sz w:val="24"/>
          <w:szCs w:val="24"/>
          <w:lang w:val="sr-Cyrl-CS"/>
        </w:rPr>
        <w:t>производне опреме виша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од 10.000.000,00 динара, корисник може да финансира разлику већим сопственим учешћем или да за овај износ увећа кредитни захтев код банке</w:t>
      </w:r>
      <w:r w:rsidR="000072BC"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E13030" w:rsidRPr="004C5AAB" w:rsidRDefault="00F36270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Привредни субјекти морају и да обезбеде средства у висини ПДВ-а исказаног по </w:t>
      </w:r>
      <w:r w:rsidR="00A65B8C" w:rsidRPr="004C5AAB">
        <w:rPr>
          <w:rFonts w:ascii="Times New Roman" w:hAnsi="Times New Roman"/>
          <w:sz w:val="24"/>
          <w:szCs w:val="24"/>
          <w:lang w:val="sr-Cyrl-CS"/>
        </w:rPr>
        <w:t>про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фактури. </w:t>
      </w:r>
    </w:p>
    <w:p w:rsidR="00F36270" w:rsidRPr="004C5AAB" w:rsidRDefault="00F36270" w:rsidP="00F36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Банке могу </w:t>
      </w:r>
      <w:r w:rsidR="002327DF" w:rsidRPr="004C5AAB">
        <w:rPr>
          <w:rFonts w:ascii="Times New Roman" w:hAnsi="Times New Roman"/>
          <w:sz w:val="24"/>
          <w:szCs w:val="24"/>
          <w:lang w:val="sr-Cyrl-CS"/>
        </w:rPr>
        <w:t>у</w:t>
      </w:r>
      <w:r w:rsidRPr="004C5AAB">
        <w:rPr>
          <w:rFonts w:ascii="Times New Roman" w:hAnsi="Times New Roman"/>
          <w:sz w:val="24"/>
          <w:szCs w:val="24"/>
          <w:lang w:val="sr-Cyrl-CS"/>
        </w:rPr>
        <w:t>већати износ кредита у висини  ПДВ-а</w:t>
      </w:r>
      <w:r w:rsidR="002327DF" w:rsidRPr="004C5AAB">
        <w:rPr>
          <w:rFonts w:ascii="Times New Roman" w:hAnsi="Times New Roman"/>
          <w:sz w:val="24"/>
          <w:szCs w:val="24"/>
          <w:lang w:val="sr-Cyrl-CS"/>
        </w:rPr>
        <w:t xml:space="preserve"> на захтев привредног субјекта.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Корисник средстава  има забрану </w:t>
      </w:r>
      <w:r w:rsidR="00044E7B" w:rsidRPr="004C5AAB">
        <w:rPr>
          <w:rFonts w:ascii="Times New Roman" w:hAnsi="Times New Roman"/>
          <w:sz w:val="24"/>
          <w:szCs w:val="24"/>
          <w:lang w:val="sr-Cyrl-CS"/>
        </w:rPr>
        <w:t>отуђења опреме две године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од дана </w:t>
      </w:r>
      <w:r w:rsidR="00035AC6" w:rsidRPr="004C5AAB">
        <w:rPr>
          <w:rFonts w:ascii="Times New Roman" w:hAnsi="Times New Roman"/>
          <w:sz w:val="24"/>
          <w:szCs w:val="24"/>
          <w:lang w:val="sr-Cyrl-CS"/>
        </w:rPr>
        <w:t>закључења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уговора са </w:t>
      </w:r>
      <w:r w:rsidR="000665A0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Развојном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агенцијом, што контролишу банке и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Развојна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агенција и извештавају Министарство.</w:t>
      </w:r>
    </w:p>
    <w:p w:rsidR="00126F51" w:rsidRPr="004C5AAB" w:rsidRDefault="00126F51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6F51" w:rsidRPr="004C5AAB" w:rsidRDefault="004C5AAB" w:rsidP="004C5AA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126F51" w:rsidRPr="004C5AAB">
        <w:rPr>
          <w:rFonts w:ascii="Times New Roman" w:hAnsi="Times New Roman"/>
          <w:sz w:val="24"/>
          <w:szCs w:val="24"/>
          <w:lang w:val="sr-Cyrl-CS"/>
        </w:rPr>
        <w:t>4</w:t>
      </w:r>
      <w:r w:rsidR="0091581F" w:rsidRPr="004C5AAB">
        <w:rPr>
          <w:rFonts w:ascii="Times New Roman" w:hAnsi="Times New Roman"/>
          <w:sz w:val="24"/>
          <w:szCs w:val="24"/>
          <w:lang w:val="sr-Cyrl-CS"/>
        </w:rPr>
        <w:t>.</w:t>
      </w:r>
      <w:r w:rsidR="00FB7D36" w:rsidRPr="004C5AAB">
        <w:rPr>
          <w:rFonts w:ascii="Times New Roman" w:hAnsi="Times New Roman"/>
          <w:sz w:val="24"/>
          <w:szCs w:val="24"/>
          <w:lang w:val="sr-Cyrl-CS"/>
        </w:rPr>
        <w:t>2</w:t>
      </w:r>
      <w:r w:rsidR="00126F51" w:rsidRPr="004C5AAB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4C5AAB">
        <w:rPr>
          <w:rFonts w:ascii="Times New Roman" w:hAnsi="Times New Roman"/>
          <w:sz w:val="24"/>
          <w:szCs w:val="24"/>
          <w:lang w:val="sr-Cyrl-CS"/>
        </w:rPr>
        <w:t>Лизинг компаније</w:t>
      </w:r>
    </w:p>
    <w:p w:rsidR="00126F51" w:rsidRPr="004C5AAB" w:rsidRDefault="00126F51" w:rsidP="00126F51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2327DF" w:rsidRPr="004C5AAB" w:rsidRDefault="002327DF" w:rsidP="00F156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У случају да је укупна нето вредност производне опреме виша од 10.000.000,00</w:t>
      </w:r>
      <w:r w:rsidRPr="004C5AAB">
        <w:rPr>
          <w:rStyle w:val="CommentReference"/>
          <w:sz w:val="24"/>
          <w:szCs w:val="24"/>
          <w:lang w:val="sr-Cyrl-CS"/>
        </w:rPr>
        <w:t> 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динара, корисник може</w:t>
      </w:r>
      <w:r w:rsidR="00795E65" w:rsidRPr="004C5AAB">
        <w:rPr>
          <w:rFonts w:ascii="Times New Roman" w:hAnsi="Times New Roman"/>
          <w:sz w:val="24"/>
          <w:szCs w:val="24"/>
          <w:lang w:val="sr-Cyrl-CS"/>
        </w:rPr>
        <w:t>, поред могућности из тачке 4.1 став 1. овог програма,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да финансира разлику већим сопственим учешћем или да за овај износ увећа захтев</w:t>
      </w:r>
      <w:r w:rsidR="00A61386" w:rsidRPr="004C5AAB">
        <w:rPr>
          <w:rFonts w:ascii="Times New Roman" w:hAnsi="Times New Roman"/>
          <w:sz w:val="24"/>
          <w:szCs w:val="24"/>
          <w:lang w:val="sr-Cyrl-CS"/>
        </w:rPr>
        <w:t xml:space="preserve"> за финансијски лизинг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код лизинг компаније.</w:t>
      </w:r>
    </w:p>
    <w:p w:rsidR="002327DF" w:rsidRPr="004C5AAB" w:rsidRDefault="002327DF" w:rsidP="00F156D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Привредни субјекти морају и да обезбеде средства у висини ПДВ-а исказаног по </w:t>
      </w:r>
      <w:r w:rsidR="00A65B8C" w:rsidRPr="004C5AAB">
        <w:rPr>
          <w:rFonts w:ascii="Times New Roman" w:hAnsi="Times New Roman"/>
          <w:sz w:val="24"/>
          <w:szCs w:val="24"/>
          <w:lang w:val="sr-Cyrl-CS"/>
        </w:rPr>
        <w:t>про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фактури. </w:t>
      </w:r>
    </w:p>
    <w:p w:rsidR="002327DF" w:rsidRPr="004C5AAB" w:rsidRDefault="002327DF" w:rsidP="00F156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Лизинг компаније могу укључити финансирање ПДВ-а, на захтев привредног субјекта.</w:t>
      </w:r>
    </w:p>
    <w:p w:rsidR="004220B6" w:rsidRPr="004C5AAB" w:rsidRDefault="001B0B35" w:rsidP="00F156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У складу са Законом о финансијском лизингу</w:t>
      </w:r>
      <w:r w:rsidR="009E0B51" w:rsidRPr="004C5AAB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РСˮ, бр. 55/03, 61/05, 31/11, 99/11 – др. закон и 99/11 – др. закон)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7731B" w:rsidRPr="004C5AAB">
        <w:rPr>
          <w:rFonts w:ascii="Times New Roman" w:hAnsi="Times New Roman"/>
          <w:sz w:val="24"/>
          <w:szCs w:val="24"/>
          <w:lang w:val="sr-Cyrl-CS"/>
        </w:rPr>
        <w:t>до измирења укупних обавеза по уговору о финансијском лизингу</w:t>
      </w:r>
      <w:r w:rsidR="00E86035" w:rsidRPr="004C5AAB">
        <w:rPr>
          <w:rFonts w:ascii="Times New Roman" w:hAnsi="Times New Roman"/>
          <w:sz w:val="24"/>
          <w:szCs w:val="24"/>
          <w:lang w:val="sr-Cyrl-CS"/>
        </w:rPr>
        <w:t>,</w:t>
      </w:r>
      <w:r w:rsidR="0047731B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власник предмета лизинга је лизинг компанија. По измирењу наведених обавеза, корисник средстава постаје власник предмета лизинга.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>Корисник средстава  има забрану да отуђи производну опрему</w:t>
      </w:r>
      <w:r w:rsidR="00E13030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 најмање  две године од дана </w:t>
      </w:r>
      <w:r w:rsidR="00035AC6" w:rsidRPr="004C5AAB">
        <w:rPr>
          <w:rFonts w:ascii="Times New Roman" w:hAnsi="Times New Roman"/>
          <w:sz w:val="24"/>
          <w:szCs w:val="24"/>
          <w:lang w:val="sr-Cyrl-CS"/>
        </w:rPr>
        <w:t>закључења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 уговора о додели бесповратних средстава са Развојном агенцијом,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без обзира на могућност превремене отплате лизинг уговора,</w:t>
      </w:r>
      <w:r w:rsidR="004220B6" w:rsidRPr="004C5AAB">
        <w:rPr>
          <w:rFonts w:ascii="Times New Roman" w:hAnsi="Times New Roman"/>
          <w:sz w:val="24"/>
          <w:szCs w:val="24"/>
          <w:lang w:val="sr-Cyrl-CS"/>
        </w:rPr>
        <w:t xml:space="preserve"> што контролишу лизинг компаније и Развојна агенција и извештавају Министарство. </w:t>
      </w:r>
    </w:p>
    <w:p w:rsidR="004220B6" w:rsidRPr="004C5AAB" w:rsidRDefault="004220B6" w:rsidP="00F156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F156D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A67F18">
      <w:pPr>
        <w:pStyle w:val="Text1"/>
        <w:numPr>
          <w:ilvl w:val="0"/>
          <w:numId w:val="16"/>
        </w:numPr>
        <w:spacing w:after="0"/>
        <w:jc w:val="center"/>
        <w:rPr>
          <w:szCs w:val="24"/>
          <w:lang w:val="sr-Cyrl-CS"/>
        </w:rPr>
      </w:pPr>
      <w:r w:rsidRPr="004C5AAB">
        <w:rPr>
          <w:szCs w:val="24"/>
          <w:lang w:val="sr-Cyrl-CS"/>
        </w:rPr>
        <w:t xml:space="preserve">ПРАВИЛА </w:t>
      </w:r>
      <w:r w:rsidR="00FE2CDE" w:rsidRPr="004C5AAB">
        <w:rPr>
          <w:szCs w:val="24"/>
          <w:lang w:val="sr-Cyrl-CS"/>
        </w:rPr>
        <w:t>И ПОСТУПАК ДОДЕЛЕ БЕСП</w:t>
      </w:r>
      <w:r w:rsidR="004C5AAB" w:rsidRPr="004C5AAB">
        <w:rPr>
          <w:szCs w:val="24"/>
          <w:lang w:val="sr-Cyrl-CS"/>
        </w:rPr>
        <w:t>О</w:t>
      </w:r>
      <w:r w:rsidR="00FE2CDE" w:rsidRPr="004C5AAB">
        <w:rPr>
          <w:szCs w:val="24"/>
          <w:lang w:val="sr-Cyrl-CS"/>
        </w:rPr>
        <w:t>ВРАТНИХ СРЕДСТАВА</w:t>
      </w:r>
      <w:r w:rsidRPr="004C5AAB">
        <w:rPr>
          <w:szCs w:val="24"/>
          <w:lang w:val="sr-Cyrl-CS"/>
        </w:rPr>
        <w:t xml:space="preserve"> </w:t>
      </w:r>
      <w:r w:rsidR="00FE2CDE" w:rsidRPr="004C5AAB">
        <w:rPr>
          <w:szCs w:val="24"/>
          <w:lang w:val="sr-Cyrl-CS"/>
        </w:rPr>
        <w:t>ПО ПРОГРАМУ</w:t>
      </w:r>
    </w:p>
    <w:p w:rsidR="002F2592" w:rsidRPr="004C5AAB" w:rsidRDefault="002F2592" w:rsidP="002F259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76363F" w:rsidP="00A67F18">
      <w:pPr>
        <w:numPr>
          <w:ilvl w:val="1"/>
          <w:numId w:val="16"/>
        </w:num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Корисници бесповратних средстава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Право да се пријаве на конкурс за доделу бесповратних средстава имају: 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1) правна лица, регистрована у АПР као привредна друштва или  задруге, која су разврстана на микро или мала правна лица у складу са</w:t>
      </w:r>
      <w:r w:rsidRPr="004C5AAB">
        <w:rPr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Законом о рачуноводству („Службени гласник РС”, број 62/13)  према финансијским извештајима за 2014. годину,  као и 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2)  предузетници који воде двојно књ</w:t>
      </w:r>
      <w:r w:rsidR="00FE2CDE" w:rsidRPr="004C5AAB">
        <w:rPr>
          <w:rFonts w:ascii="Times New Roman" w:hAnsi="Times New Roman"/>
          <w:sz w:val="24"/>
          <w:szCs w:val="24"/>
          <w:lang w:val="sr-Cyrl-CS"/>
        </w:rPr>
        <w:t>иговодство, регистровани у АПР</w:t>
      </w:r>
      <w:r w:rsidR="0076363F"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2F2592" w:rsidRDefault="002F2592" w:rsidP="002F2592">
      <w:pPr>
        <w:pStyle w:val="ListParagraph"/>
        <w:spacing w:after="12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</w:p>
    <w:p w:rsidR="00EB3682" w:rsidRPr="004C5AAB" w:rsidRDefault="00EB3682" w:rsidP="002F2592">
      <w:pPr>
        <w:pStyle w:val="ListParagraph"/>
        <w:spacing w:after="12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pStyle w:val="ListParagraph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      5.2 Услови које морају да испуне подносиоци пријаве за доделу бесповратних средстава:</w:t>
      </w:r>
    </w:p>
    <w:p w:rsidR="002F2592" w:rsidRPr="004C5AAB" w:rsidRDefault="002F2592" w:rsidP="002F2592">
      <w:pPr>
        <w:pStyle w:val="ListParagraph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pStyle w:val="ListParagraph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су поднели попуњен пријавни формулар са потребном документацијом једној од банака</w:t>
      </w:r>
      <w:r w:rsidR="00DE4DB7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укључених у реализацију овог програма; 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су уписани у регистар АПР најкасније 31. децембра 201</w:t>
      </w:r>
      <w:r w:rsidR="006D6107" w:rsidRPr="004C5AAB">
        <w:rPr>
          <w:rFonts w:ascii="Times New Roman" w:hAnsi="Times New Roman"/>
          <w:sz w:val="24"/>
          <w:szCs w:val="24"/>
          <w:lang w:val="sr-Cyrl-CS"/>
        </w:rPr>
        <w:t>3</w:t>
      </w:r>
      <w:r w:rsidRPr="004C5AAB">
        <w:rPr>
          <w:rFonts w:ascii="Times New Roman" w:hAnsi="Times New Roman"/>
          <w:sz w:val="24"/>
          <w:szCs w:val="24"/>
          <w:lang w:val="sr-Cyrl-CS"/>
        </w:rPr>
        <w:t>. године;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над њима није покренут стечајни поступак или поступак ликвидације;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су измирили доспеле обавезе јавних прихода;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да им у року од две године пре подношења пријаве није изречена правоснажна мера забране обављања делатности; 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власници и</w:t>
      </w:r>
      <w:r w:rsidR="00F156D8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>одговорна лица нису осуђивани;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да су у већинском приватном власништву и да нису у групи повезаних лица у којој су неки од чланова велика правна лица; 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сврха и намена инвестирања у </w:t>
      </w:r>
      <w:r w:rsidR="006D6107" w:rsidRPr="004C5AAB">
        <w:rPr>
          <w:rFonts w:ascii="Times New Roman" w:hAnsi="Times New Roman"/>
          <w:sz w:val="24"/>
          <w:szCs w:val="24"/>
          <w:lang w:val="sr-Cyrl-CS"/>
        </w:rPr>
        <w:t xml:space="preserve">производну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опрему су у складу са природом делатности субјекта; 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привредна друштва, задруге и предузетници, према</w:t>
      </w:r>
      <w:r w:rsidRPr="004C5AAB">
        <w:rPr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>финансијским извештајима из 2014. године, имају најмање једно запослено лице;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да не обављају делатности у следећим секторима:</w:t>
      </w:r>
    </w:p>
    <w:p w:rsidR="002F2592" w:rsidRPr="004C5AAB" w:rsidRDefault="002F2592" w:rsidP="00D7762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примарна пољопривредна производња;</w:t>
      </w:r>
    </w:p>
    <w:p w:rsidR="00D97A34" w:rsidRPr="004C5AAB" w:rsidRDefault="002F259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трговина (малопродаја и велепродаја);</w:t>
      </w:r>
      <w:r w:rsidR="007460C5" w:rsidRPr="004C5AAB" w:rsidDel="007460C5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597CF0" w:rsidRPr="004C5AAB" w:rsidRDefault="00597CF0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угоститељство;</w:t>
      </w:r>
    </w:p>
    <w:p w:rsidR="002F2592" w:rsidRPr="004C5AAB" w:rsidRDefault="002F259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производња и продаја оружја и војне опреме;</w:t>
      </w:r>
    </w:p>
    <w:p w:rsidR="002F2592" w:rsidRPr="004C5AAB" w:rsidRDefault="002F259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организовање игара на срећу и сличних делатности;</w:t>
      </w:r>
    </w:p>
    <w:p w:rsidR="002F2592" w:rsidRPr="004C5AAB" w:rsidRDefault="002F259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производња челика и синтетичких влакана и вађење угља;</w:t>
      </w:r>
    </w:p>
    <w:p w:rsidR="002F2592" w:rsidRPr="004C5AAB" w:rsidRDefault="002F2592" w:rsidP="002F25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производња и промет било којих производа или активности које се према          домаћим прописима или међународним конвенцијама сматрају забрањеним;</w:t>
      </w:r>
    </w:p>
    <w:p w:rsidR="002F2592" w:rsidRPr="004C5AAB" w:rsidRDefault="002F2592" w:rsidP="002F2592">
      <w:pPr>
        <w:pStyle w:val="ListParagraph"/>
        <w:numPr>
          <w:ilvl w:val="1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да нису у тешкоћама, а према следећој дефиницији: 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Привредни субјект у тешкоћама је привредни субјект који није способан да сопственим средствима, средствима својих власника/акционара или поверилаца или средствима из других извора на тржишту спречи губитке и који би, без интервенције државе, краткорочно или средњорочно, угрозили његов опстанак;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Привредни субјект је у тешкоћама: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-  ако је одговорност за његове дугове ограничена а изгубио је више од половине основног капитала, од чега је у последњих 12 месеци изгубио више од четвртине основног капитала;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-  ако  најмање једно лице неограничено одговора за његове дугове, а у финансијским извештајима приказано је да је његов капитал смањен за више од половине, од чега је у последњих 12 месеци изгубљено више од четвртине  капитала;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-  ако испуњава услове за отварање стечајног поступка.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Привредни субјект је у тешкоћама и ако није испуњен ниједан услов из става 1. ове тачке, ако постоје очигледни показатељи који указују на то да је у тешкоћама, као што су: раст губитака, смањење укупног прихода, раст залиха, вишак капацитета, смањење новчаних токова, раст дуга, пораст трошкова камата и пад или нулта нето вредност имовине. У највећим тешкоћама је привредни субјект који је неспособан за плаћање (инсолвентан) или над којим је отворен стечајни поступак. 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Привредни субјект који је основан пре мање од три године не сматра се привредним субјектом у тешкоћама, изузев ако је реч о малом или средњем привредном субјекту који испуњава услове</w:t>
      </w:r>
      <w:r w:rsidR="002A0660" w:rsidRPr="004C5AAB">
        <w:rPr>
          <w:rFonts w:ascii="Times New Roman" w:hAnsi="Times New Roman"/>
          <w:sz w:val="24"/>
          <w:szCs w:val="24"/>
          <w:lang w:val="sr-Cyrl-CS"/>
        </w:rPr>
        <w:t xml:space="preserve"> за отварање стечајног поступка;</w:t>
      </w:r>
    </w:p>
    <w:p w:rsidR="00597CF0" w:rsidRPr="004C5AAB" w:rsidRDefault="002F2592" w:rsidP="00597CF0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lastRenderedPageBreak/>
        <w:t>да у текућој фискалној години и у претходне две године (</w:t>
      </w:r>
      <w:r w:rsidR="003B1F10" w:rsidRPr="004C5AAB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4C5AAB">
        <w:rPr>
          <w:rFonts w:ascii="Times New Roman" w:hAnsi="Times New Roman"/>
          <w:sz w:val="24"/>
          <w:szCs w:val="24"/>
          <w:lang w:val="sr-Cyrl-CS"/>
        </w:rPr>
        <w:t>201</w:t>
      </w:r>
      <w:r w:rsidR="006C21F0" w:rsidRPr="004C5AAB">
        <w:rPr>
          <w:rFonts w:ascii="Times New Roman" w:hAnsi="Times New Roman"/>
          <w:sz w:val="24"/>
          <w:szCs w:val="24"/>
          <w:lang w:val="sr-Cyrl-CS"/>
        </w:rPr>
        <w:t>4</w:t>
      </w:r>
      <w:r w:rsidRPr="004C5AAB">
        <w:rPr>
          <w:rFonts w:ascii="Times New Roman" w:hAnsi="Times New Roman"/>
          <w:sz w:val="24"/>
          <w:szCs w:val="24"/>
          <w:lang w:val="sr-Cyrl-CS"/>
        </w:rPr>
        <w:t>, 201</w:t>
      </w:r>
      <w:r w:rsidR="006C21F0" w:rsidRPr="004C5AAB">
        <w:rPr>
          <w:rFonts w:ascii="Times New Roman" w:hAnsi="Times New Roman"/>
          <w:sz w:val="24"/>
          <w:szCs w:val="24"/>
          <w:lang w:val="sr-Cyrl-CS"/>
        </w:rPr>
        <w:t>5</w:t>
      </w:r>
      <w:r w:rsidR="003B1F10" w:rsidRPr="004C5AAB">
        <w:rPr>
          <w:rFonts w:ascii="Times New Roman" w:hAnsi="Times New Roman"/>
          <w:sz w:val="24"/>
          <w:szCs w:val="24"/>
          <w:lang w:val="sr-Cyrl-CS"/>
        </w:rPr>
        <w:t xml:space="preserve">. и </w:t>
      </w:r>
      <w:r w:rsidRPr="004C5AAB">
        <w:rPr>
          <w:rFonts w:ascii="Times New Roman" w:hAnsi="Times New Roman"/>
          <w:sz w:val="24"/>
          <w:szCs w:val="24"/>
          <w:lang w:val="sr-Cyrl-CS"/>
        </w:rPr>
        <w:t>201</w:t>
      </w:r>
      <w:r w:rsidR="006C21F0" w:rsidRPr="004C5AAB">
        <w:rPr>
          <w:rFonts w:ascii="Times New Roman" w:hAnsi="Times New Roman"/>
          <w:sz w:val="24"/>
          <w:szCs w:val="24"/>
          <w:lang w:val="sr-Cyrl-CS"/>
        </w:rPr>
        <w:t>6</w:t>
      </w:r>
      <w:r w:rsidRPr="004C5AAB">
        <w:rPr>
          <w:rFonts w:ascii="Times New Roman" w:hAnsi="Times New Roman"/>
          <w:sz w:val="24"/>
          <w:szCs w:val="24"/>
          <w:lang w:val="sr-Cyrl-CS"/>
        </w:rPr>
        <w:t>. години) нису примили државну помоћ чија би висина заједно са траженим средствима прекорачила износ од 200.000 евра у динарској противвредности.</w:t>
      </w:r>
    </w:p>
    <w:p w:rsidR="00597CF0" w:rsidRPr="004C5AAB" w:rsidRDefault="003B1F10" w:rsidP="00597CF0">
      <w:pPr>
        <w:pStyle w:val="ListParagraph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д</w:t>
      </w:r>
      <w:r w:rsidR="00597CF0" w:rsidRPr="004C5AAB">
        <w:rPr>
          <w:rFonts w:ascii="Times New Roman" w:hAnsi="Times New Roman"/>
          <w:sz w:val="24"/>
          <w:szCs w:val="24"/>
          <w:lang w:val="sr-Cyrl-CS"/>
        </w:rPr>
        <w:t>а нису примили бесповратна средства из јавних средстава за исте намене у</w:t>
      </w:r>
      <w:r w:rsidR="004F5693">
        <w:rPr>
          <w:rFonts w:ascii="Times New Roman" w:hAnsi="Times New Roman"/>
          <w:sz w:val="24"/>
          <w:szCs w:val="24"/>
          <w:lang w:val="sr-Cyrl-CS"/>
        </w:rPr>
        <w:t xml:space="preserve"> претходној или текућој  години</w:t>
      </w:r>
      <w:r w:rsidR="004F5693">
        <w:rPr>
          <w:rFonts w:ascii="Times New Roman" w:hAnsi="Times New Roman"/>
          <w:sz w:val="24"/>
          <w:szCs w:val="24"/>
          <w:lang w:val="en-US"/>
        </w:rPr>
        <w:t>.</w:t>
      </w:r>
    </w:p>
    <w:p w:rsidR="002F2592" w:rsidRPr="004C5AAB" w:rsidRDefault="002F2592" w:rsidP="00597CF0">
      <w:pPr>
        <w:pStyle w:val="ListParagraph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</w:p>
    <w:p w:rsidR="002F2592" w:rsidRPr="004C5AAB" w:rsidRDefault="002F2592" w:rsidP="002F2592">
      <w:pPr>
        <w:numPr>
          <w:ilvl w:val="1"/>
          <w:numId w:val="9"/>
        </w:numPr>
        <w:tabs>
          <w:tab w:val="left" w:pos="1134"/>
        </w:tabs>
        <w:spacing w:after="0" w:line="240" w:lineRule="auto"/>
        <w:ind w:firstLine="349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Подношење захтева за доделу бесповратних средстава</w:t>
      </w:r>
    </w:p>
    <w:p w:rsidR="002F2592" w:rsidRPr="004C5AAB" w:rsidRDefault="002F2592" w:rsidP="002F2592">
      <w:pPr>
        <w:spacing w:after="0" w:line="240" w:lineRule="auto"/>
        <w:ind w:left="2771"/>
        <w:rPr>
          <w:rFonts w:ascii="Times New Roman" w:hAnsi="Times New Roman"/>
          <w:b/>
          <w:sz w:val="24"/>
          <w:szCs w:val="24"/>
          <w:lang w:val="sr-Cyrl-CS"/>
        </w:rPr>
      </w:pPr>
      <w:r w:rsidRPr="004C5AA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Министарство ће, након избора пословних банака</w:t>
      </w:r>
      <w:r w:rsidR="004D63C2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за учешће у Програму, објавити јавни позив привредним субјектима за доделу бесповратних средстава у најмање једном листу који се дистрибуира на целој територији Републике Србије.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Јавни позив, информација о начину спровођења Програма, конкурсна документација као и информација о условима изабраних банака</w:t>
      </w:r>
      <w:r w:rsidR="004D63C2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15595E" w:rsidRPr="004C5AAB">
        <w:rPr>
          <w:rFonts w:ascii="Times New Roman" w:hAnsi="Times New Roman"/>
          <w:sz w:val="24"/>
          <w:szCs w:val="24"/>
          <w:lang w:val="sr-Cyrl-CS"/>
        </w:rPr>
        <w:t>биће објављени на интернет страници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Министарства:</w:t>
      </w:r>
      <w:r w:rsidRPr="004C5AAB">
        <w:rPr>
          <w:rFonts w:ascii="Times New Roman" w:hAnsi="Times New Roman"/>
          <w:color w:val="1F497D"/>
          <w:sz w:val="24"/>
          <w:szCs w:val="24"/>
          <w:lang w:val="sr-Cyrl-CS"/>
        </w:rPr>
        <w:t xml:space="preserve"> </w:t>
      </w:r>
      <w:hyperlink r:id="rId8" w:history="1">
        <w:r w:rsidR="00B643BF" w:rsidRPr="004C5AAB">
          <w:rPr>
            <w:rStyle w:val="Hyperlink"/>
            <w:rFonts w:ascii="Times New Roman" w:hAnsi="Times New Roman"/>
            <w:sz w:val="24"/>
            <w:szCs w:val="24"/>
            <w:lang w:val="sr-Cyrl-CS"/>
          </w:rPr>
          <w:t>www.privreda.gov.rs</w:t>
        </w:r>
      </w:hyperlink>
      <w:r w:rsidRPr="004C5AAB">
        <w:rPr>
          <w:rFonts w:ascii="Times New Roman" w:hAnsi="Times New Roman"/>
          <w:color w:val="1F497D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A8295C" w:rsidRPr="004C5AAB">
        <w:rPr>
          <w:rFonts w:ascii="Times New Roman" w:hAnsi="Times New Roman"/>
          <w:sz w:val="24"/>
          <w:szCs w:val="24"/>
          <w:lang w:val="sr-Cyrl-CS"/>
        </w:rPr>
        <w:t>и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Развојне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агенције: </w:t>
      </w:r>
      <w:hyperlink r:id="rId9" w:history="1">
        <w:r w:rsidR="007460C5" w:rsidRPr="004C5AAB">
          <w:rPr>
            <w:rStyle w:val="Hyperlink"/>
            <w:rFonts w:ascii="Times New Roman" w:hAnsi="Times New Roman"/>
            <w:sz w:val="24"/>
            <w:szCs w:val="24"/>
            <w:lang w:val="sr-Cyrl-CS"/>
          </w:rPr>
          <w:t>www.ras.gov.rs</w:t>
        </w:r>
      </w:hyperlink>
      <w:r w:rsidR="00A8295C" w:rsidRPr="004C5AAB">
        <w:rPr>
          <w:sz w:val="24"/>
          <w:szCs w:val="24"/>
          <w:lang w:val="sr-Cyrl-CS"/>
        </w:rPr>
        <w:t>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Јавни позив је отворен док се средства из Програма не утроше.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Захтев за доделу бесповратних средстава се подноси истовремено са захтевом за кредит</w:t>
      </w:r>
      <w:r w:rsidR="004D63C2" w:rsidRPr="004C5AAB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r w:rsidR="006D6107" w:rsidRPr="004C5AAB">
        <w:rPr>
          <w:rFonts w:ascii="Times New Roman" w:hAnsi="Times New Roman"/>
          <w:sz w:val="24"/>
          <w:szCs w:val="24"/>
          <w:lang w:val="sr-Cyrl-CS"/>
        </w:rPr>
        <w:t xml:space="preserve">финансијски </w:t>
      </w:r>
      <w:r w:rsidR="004D63C2" w:rsidRPr="004C5AAB">
        <w:rPr>
          <w:rFonts w:ascii="Times New Roman" w:hAnsi="Times New Roman"/>
          <w:sz w:val="24"/>
          <w:szCs w:val="24"/>
          <w:lang w:val="sr-Cyrl-CS"/>
        </w:rPr>
        <w:t>лизинг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 експозитури/филијали једне од пословних банака</w:t>
      </w:r>
      <w:r w:rsidR="004D63C2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које учествују у реализацији Програма и то достављањем попуњеног обрасца за пријаву, као и пратеће документације којом се доказује испуњеност услова из тач</w:t>
      </w:r>
      <w:r w:rsidR="0015595E" w:rsidRPr="004C5AAB">
        <w:rPr>
          <w:rFonts w:ascii="Times New Roman" w:hAnsi="Times New Roman"/>
          <w:sz w:val="24"/>
          <w:szCs w:val="24"/>
          <w:lang w:val="sr-Cyrl-CS"/>
        </w:rPr>
        <w:t>.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5.1 и 5.2</w:t>
      </w:r>
      <w:r w:rsidR="0015595E" w:rsidRPr="004C5AAB">
        <w:rPr>
          <w:rFonts w:ascii="Times New Roman" w:hAnsi="Times New Roman"/>
          <w:sz w:val="24"/>
          <w:szCs w:val="24"/>
          <w:lang w:val="sr-Cyrl-CS"/>
        </w:rPr>
        <w:t xml:space="preserve"> овог програма.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Банке</w:t>
      </w:r>
      <w:r w:rsidR="0087025C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ће примати искључиво захтеве привредних субјеката који задовољавају све услове Програма и који су предали неопходну конкурсну документацију. 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Привредни субјекти могу поднети само један захтев за доделу бесповратних средстава за набавку опреме код једне банке</w:t>
      </w:r>
      <w:r w:rsidR="0087025C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компаније</w:t>
      </w:r>
      <w:r w:rsidRPr="004C5AAB">
        <w:rPr>
          <w:rFonts w:ascii="Times New Roman" w:hAnsi="Times New Roman"/>
          <w:sz w:val="24"/>
          <w:szCs w:val="24"/>
          <w:lang w:val="sr-Cyrl-CS"/>
        </w:rPr>
        <w:t>.  Други захтев за доделу бесповратних средстава и захтев за кредит код друге банке</w:t>
      </w:r>
      <w:r w:rsidR="0087025C" w:rsidRPr="004C5AAB">
        <w:rPr>
          <w:rFonts w:ascii="Times New Roman" w:hAnsi="Times New Roman"/>
          <w:sz w:val="24"/>
          <w:szCs w:val="24"/>
          <w:lang w:val="sr-Cyrl-CS"/>
        </w:rPr>
        <w:t xml:space="preserve"> или захтев за финансирање код друге лизинг компаније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60C5" w:rsidRPr="004C5AAB">
        <w:rPr>
          <w:rFonts w:ascii="Times New Roman" w:hAnsi="Times New Roman"/>
          <w:sz w:val="24"/>
          <w:szCs w:val="24"/>
          <w:lang w:val="sr-Cyrl-CS"/>
        </w:rPr>
        <w:t>биће узет у разматрање само ако је поднет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након пријема обавештења да је привредном субјекту одбијен првобитан захтев.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numPr>
          <w:ilvl w:val="1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Поступак доделе бесповратних средстава</w:t>
      </w:r>
    </w:p>
    <w:p w:rsidR="002F2592" w:rsidRPr="004C5AAB" w:rsidRDefault="002F2592" w:rsidP="002F259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Након пријема захтева за доделу бесповратних средстава и захтева за кредит</w:t>
      </w:r>
      <w:r w:rsidR="004D42C8" w:rsidRPr="004C5AAB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r w:rsidR="000118F8" w:rsidRPr="004C5AAB">
        <w:rPr>
          <w:rFonts w:ascii="Times New Roman" w:hAnsi="Times New Roman"/>
          <w:sz w:val="24"/>
          <w:szCs w:val="24"/>
          <w:lang w:val="sr-Cyrl-CS"/>
        </w:rPr>
        <w:t xml:space="preserve">финансијски </w:t>
      </w:r>
      <w:r w:rsidR="004D42C8" w:rsidRPr="004C5AAB">
        <w:rPr>
          <w:rFonts w:ascii="Times New Roman" w:hAnsi="Times New Roman"/>
          <w:sz w:val="24"/>
          <w:szCs w:val="24"/>
          <w:lang w:val="sr-Cyrl-CS"/>
        </w:rPr>
        <w:t>лизинг</w:t>
      </w:r>
      <w:r w:rsidRPr="004C5AAB">
        <w:rPr>
          <w:rFonts w:ascii="Times New Roman" w:hAnsi="Times New Roman"/>
          <w:sz w:val="24"/>
          <w:szCs w:val="24"/>
          <w:lang w:val="sr-Cyrl-CS"/>
        </w:rPr>
        <w:t>, банка</w:t>
      </w:r>
      <w:r w:rsidR="004D42C8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97CF0" w:rsidRPr="004C5AAB">
        <w:rPr>
          <w:rFonts w:ascii="Times New Roman" w:hAnsi="Times New Roman"/>
          <w:sz w:val="24"/>
          <w:szCs w:val="24"/>
          <w:lang w:val="sr-Cyrl-CS"/>
        </w:rPr>
        <w:t>односно</w:t>
      </w:r>
      <w:r w:rsidR="004D42C8" w:rsidRPr="004C5AAB">
        <w:rPr>
          <w:rFonts w:ascii="Times New Roman" w:hAnsi="Times New Roman"/>
          <w:sz w:val="24"/>
          <w:szCs w:val="24"/>
          <w:lang w:val="sr-Cyrl-CS"/>
        </w:rPr>
        <w:t xml:space="preserve">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оцењује </w:t>
      </w:r>
      <w:r w:rsidR="004D42C8" w:rsidRPr="004C5AAB">
        <w:rPr>
          <w:rFonts w:ascii="Times New Roman" w:hAnsi="Times New Roman"/>
          <w:sz w:val="24"/>
          <w:szCs w:val="24"/>
          <w:lang w:val="sr-Cyrl-CS"/>
        </w:rPr>
        <w:t xml:space="preserve">поднети </w:t>
      </w:r>
      <w:r w:rsidR="00597CF0" w:rsidRPr="004C5AAB">
        <w:rPr>
          <w:rFonts w:ascii="Times New Roman" w:hAnsi="Times New Roman"/>
          <w:sz w:val="24"/>
          <w:szCs w:val="24"/>
          <w:lang w:val="sr-Cyrl-CS"/>
        </w:rPr>
        <w:t>захтев за кредит односно финансијски лизинг привредног субјекта и доносе прелиминарну одлуку о прихватању или одбијању.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Информације о свим примљеним захтевима за доделом бесповратних средстава, са предлогом за одобрењем или одбијањем кредитног захтева</w:t>
      </w:r>
      <w:r w:rsidR="007460C5" w:rsidRPr="004C5AAB">
        <w:rPr>
          <w:rFonts w:ascii="Times New Roman" w:hAnsi="Times New Roman"/>
          <w:sz w:val="24"/>
          <w:szCs w:val="24"/>
          <w:lang w:val="sr-Cyrl-CS"/>
        </w:rPr>
        <w:t xml:space="preserve"> односно захтева за финансирањем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уз образложење разлога одбијања и уз сву потребну документацију, пословна банка</w:t>
      </w:r>
      <w:r w:rsidR="001968FD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на недељном нивоу доставља Комисији за доделу бесповратних средстава, коју решењем, образује министар привреде. </w:t>
      </w:r>
    </w:p>
    <w:p w:rsidR="007460C5" w:rsidRPr="004C5AAB" w:rsidRDefault="002F2592" w:rsidP="007460C5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Комисија за доделу бесповратних средстава врши прегледање, контролу формалне исправности и доноси одлуке о прихватању захтева и додели бесповратних средства према редоследу при</w:t>
      </w:r>
      <w:r w:rsidR="00A8295C" w:rsidRPr="004C5AAB">
        <w:rPr>
          <w:rFonts w:ascii="Times New Roman" w:hAnsi="Times New Roman"/>
          <w:sz w:val="24"/>
          <w:szCs w:val="24"/>
          <w:lang w:val="sr-Cyrl-CS"/>
        </w:rPr>
        <w:t xml:space="preserve">јема формално исправних захтева. </w:t>
      </w:r>
      <w:r w:rsidR="007460C5" w:rsidRPr="004C5AAB">
        <w:rPr>
          <w:rFonts w:ascii="Times New Roman" w:hAnsi="Times New Roman"/>
          <w:sz w:val="24"/>
          <w:szCs w:val="24"/>
          <w:lang w:val="sr-Cyrl-CS"/>
        </w:rPr>
        <w:t>Комисија  одлучује о свим накнадним захтевима корисника за изменама услед  наступања непланираних околности.</w:t>
      </w:r>
    </w:p>
    <w:p w:rsidR="007460C5" w:rsidRPr="004C5AAB" w:rsidRDefault="007460C5" w:rsidP="007460C5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Критеријуми на основу којих Комис</w:t>
      </w:r>
      <w:r w:rsidR="00E46D1A" w:rsidRPr="004C5AAB">
        <w:rPr>
          <w:rFonts w:ascii="Times New Roman" w:hAnsi="Times New Roman"/>
          <w:sz w:val="24"/>
          <w:szCs w:val="24"/>
          <w:lang w:val="sr-Cyrl-CS"/>
        </w:rPr>
        <w:t xml:space="preserve">ија врши контролу исправности </w:t>
      </w:r>
      <w:r w:rsidR="0015595E" w:rsidRPr="004C5AAB">
        <w:rPr>
          <w:rFonts w:ascii="Times New Roman" w:hAnsi="Times New Roman"/>
          <w:sz w:val="24"/>
          <w:szCs w:val="24"/>
          <w:lang w:val="sr-Cyrl-CS"/>
        </w:rPr>
        <w:t>захтева дефинисани су у тач.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5.1 и 5.2</w:t>
      </w:r>
      <w:r w:rsidR="0015595E" w:rsidRPr="004C5AAB">
        <w:rPr>
          <w:rFonts w:ascii="Times New Roman" w:hAnsi="Times New Roman"/>
          <w:sz w:val="24"/>
          <w:szCs w:val="24"/>
          <w:lang w:val="sr-Cyrl-CS"/>
        </w:rPr>
        <w:t xml:space="preserve"> овог програма.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  <w:r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lastRenderedPageBreak/>
        <w:t xml:space="preserve">Ради потпунијег сагледавања </w:t>
      </w:r>
      <w:r w:rsidR="00E46D1A"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>испуњености критеријума</w:t>
      </w:r>
      <w:r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, Комисија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за доделу бесповратних средстава може да затражи додатну документацију, </w:t>
      </w:r>
      <w:r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појашњења предлога, </w:t>
      </w:r>
      <w:r w:rsidRPr="004C5AAB">
        <w:rPr>
          <w:rFonts w:ascii="Times New Roman" w:hAnsi="Times New Roman"/>
          <w:sz w:val="24"/>
          <w:szCs w:val="24"/>
          <w:lang w:val="sr-Cyrl-CS"/>
        </w:rPr>
        <w:t>и изврши накнадну верификацију поднете документације</w:t>
      </w:r>
      <w:r w:rsidR="007460C5" w:rsidRPr="004C5AAB">
        <w:rPr>
          <w:rFonts w:ascii="Times New Roman" w:hAnsi="Times New Roman"/>
          <w:sz w:val="24"/>
          <w:szCs w:val="24"/>
          <w:lang w:val="sr-Cyrl-CS"/>
        </w:rPr>
        <w:t>.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85350" w:rsidRPr="004C5AAB">
        <w:rPr>
          <w:sz w:val="24"/>
          <w:szCs w:val="24"/>
          <w:lang w:val="sr-Cyrl-CS"/>
        </w:rPr>
        <w:t xml:space="preserve">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Одлука о прихватању или одбијању захтева за доделом  бесповратних средства се доставља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Развојној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агенцији и пословној банци </w:t>
      </w:r>
      <w:r w:rsidR="0071777F" w:rsidRPr="004C5AAB">
        <w:rPr>
          <w:rFonts w:ascii="Times New Roman" w:hAnsi="Times New Roman"/>
          <w:sz w:val="24"/>
          <w:szCs w:val="24"/>
          <w:lang w:val="sr-Cyrl-CS"/>
        </w:rPr>
        <w:t xml:space="preserve">или лизинг компанији </w:t>
      </w:r>
      <w:r w:rsidRPr="004C5AAB">
        <w:rPr>
          <w:rFonts w:ascii="Times New Roman" w:hAnsi="Times New Roman"/>
          <w:sz w:val="24"/>
          <w:szCs w:val="24"/>
          <w:lang w:val="sr-Cyrl-CS"/>
        </w:rPr>
        <w:t>код које је захтев поднет.</w:t>
      </w:r>
      <w:r w:rsidRPr="004C5AAB">
        <w:rPr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Одлука о прихватању захтева и додели бесповратних средстава </w:t>
      </w:r>
      <w:r w:rsidR="007460C5" w:rsidRPr="004C5AAB">
        <w:rPr>
          <w:rFonts w:ascii="Times New Roman" w:hAnsi="Times New Roman"/>
          <w:sz w:val="24"/>
          <w:szCs w:val="24"/>
          <w:lang w:val="sr-Cyrl-CS"/>
        </w:rPr>
        <w:t>обавезно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садржи обавештење корисника да му се додељује de minimis држaвна помоћ.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 У року од осам дана од дана доношења одлуке,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Развојна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агенција и пословна банка</w:t>
      </w:r>
      <w:r w:rsidR="000A5832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обавештавају </w:t>
      </w:r>
      <w:r w:rsidR="00CB1FF6" w:rsidRPr="004C5AAB">
        <w:rPr>
          <w:rFonts w:ascii="Times New Roman" w:hAnsi="Times New Roman"/>
          <w:sz w:val="24"/>
          <w:szCs w:val="24"/>
          <w:lang w:val="sr-Cyrl-CS"/>
        </w:rPr>
        <w:t>привредни субјек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т и у року од 15 дана од дана достављања одлуке </w:t>
      </w:r>
      <w:r w:rsidR="00035AC6" w:rsidRPr="004C5AAB">
        <w:rPr>
          <w:rFonts w:ascii="Times New Roman" w:hAnsi="Times New Roman"/>
          <w:sz w:val="24"/>
          <w:szCs w:val="24"/>
          <w:lang w:val="sr-Cyrl-CS"/>
        </w:rPr>
        <w:t>закључују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уговор о додели бесповратних средстава, односно уговор о кредиту </w:t>
      </w:r>
      <w:r w:rsidR="0082583C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или </w:t>
      </w:r>
      <w:r w:rsidR="000118F8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финансијском </w:t>
      </w:r>
      <w:r w:rsidR="0082583C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лизингу</w:t>
      </w:r>
      <w:r w:rsidR="00AD1D24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за набавку опреме са привредним субјектом.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Кандидати ће уз одлуку о додели бесповратних средстава  добити шест примерака уговора о додели бесповратних средстава које ће, након потписивања, вратити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Развојној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агенцији. Датумом закључења уговора се сматра онај датум када је уговор потписан од стране директора агенције и заведен у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Развојној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агенцији. Привредни субјекти који нису потписали уговор о додели бесповратних средстава, у предвиђеном року</w:t>
      </w:r>
      <w:r w:rsidR="00CB1FF6" w:rsidRPr="004C5AAB">
        <w:rPr>
          <w:rFonts w:ascii="Times New Roman" w:hAnsi="Times New Roman"/>
          <w:sz w:val="24"/>
          <w:szCs w:val="24"/>
          <w:lang w:val="sr-Cyrl-CS"/>
        </w:rPr>
        <w:t>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сматраће се да су одустали од додељених средстава. Уколико привредни субјект не потпише уговор о кредиту са банком,</w:t>
      </w:r>
      <w:r w:rsidR="0092327D" w:rsidRPr="004C5AAB">
        <w:rPr>
          <w:rFonts w:ascii="Times New Roman" w:hAnsi="Times New Roman"/>
          <w:sz w:val="24"/>
          <w:szCs w:val="24"/>
          <w:lang w:val="sr-Cyrl-CS"/>
        </w:rPr>
        <w:t xml:space="preserve"> или уговор о </w:t>
      </w:r>
      <w:r w:rsidR="000118F8" w:rsidRPr="004C5AAB">
        <w:rPr>
          <w:rFonts w:ascii="Times New Roman" w:hAnsi="Times New Roman"/>
          <w:sz w:val="24"/>
          <w:szCs w:val="24"/>
          <w:lang w:val="sr-Cyrl-CS"/>
        </w:rPr>
        <w:t xml:space="preserve">финансијском </w:t>
      </w:r>
      <w:r w:rsidR="0092327D" w:rsidRPr="004C5AAB">
        <w:rPr>
          <w:rFonts w:ascii="Times New Roman" w:hAnsi="Times New Roman"/>
          <w:sz w:val="24"/>
          <w:szCs w:val="24"/>
          <w:lang w:val="sr-Cyrl-CS"/>
        </w:rPr>
        <w:t>лизингу са лизинг компанијом</w:t>
      </w:r>
      <w:r w:rsidR="000118F8" w:rsidRPr="004C5AAB">
        <w:rPr>
          <w:rFonts w:ascii="Times New Roman" w:hAnsi="Times New Roman"/>
          <w:sz w:val="24"/>
          <w:szCs w:val="24"/>
          <w:lang w:val="sr-Cyrl-CS"/>
        </w:rPr>
        <w:t>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уговор склопљен са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Развојном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агенцијом сматра се ништавим.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Уговор</w:t>
      </w:r>
      <w:r w:rsidR="000C7DA5" w:rsidRPr="004C5AAB">
        <w:rPr>
          <w:rFonts w:ascii="Times New Roman" w:hAnsi="Times New Roman"/>
          <w:sz w:val="24"/>
          <w:szCs w:val="24"/>
          <w:lang w:val="sr-Cyrl-CS"/>
        </w:rPr>
        <w:t xml:space="preserve"> о додели бесповратних средстава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нарочито садржи новчани износ који се додељује кориснику средстава, намене за које се средства додељују,  начин преноса бесповратних средстава, обавезу корисника да уколико средства буџета не искористи наменски, </w:t>
      </w:r>
      <w:r w:rsidR="00EA0B33" w:rsidRPr="004C5AAB">
        <w:rPr>
          <w:rFonts w:ascii="Times New Roman" w:hAnsi="Times New Roman"/>
          <w:sz w:val="24"/>
          <w:szCs w:val="24"/>
          <w:lang w:val="sr-Cyrl-CS"/>
        </w:rPr>
        <w:t>мора да иста врати у складу са у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говором, обавезу корисника да набавку опреме оконча најкасније у року од шест </w:t>
      </w:r>
      <w:r w:rsidR="00833EB8" w:rsidRPr="004C5AAB">
        <w:rPr>
          <w:rFonts w:ascii="Times New Roman" w:hAnsi="Times New Roman"/>
          <w:sz w:val="24"/>
          <w:szCs w:val="24"/>
          <w:lang w:val="sr-Cyrl-CS"/>
        </w:rPr>
        <w:t>месеци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="00035AC6" w:rsidRPr="004C5AAB">
        <w:rPr>
          <w:rFonts w:ascii="Times New Roman" w:hAnsi="Times New Roman"/>
          <w:sz w:val="24"/>
          <w:szCs w:val="24"/>
          <w:lang w:val="sr-Cyrl-CS"/>
        </w:rPr>
        <w:t>закључења</w:t>
      </w:r>
      <w:r w:rsidR="00EA0B33" w:rsidRPr="004C5AAB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говора о додели бесповратних средстава, као и  временски оквир у ком привредни субјект опрему купљену уз подршку бесповратних средстава додељених из овог програма не сме да отуђи.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Уз уговор се прилаже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року од пет дана од дана </w:t>
      </w:r>
      <w:r w:rsidR="00035AC6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закључења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уговора са </w:t>
      </w:r>
      <w:r w:rsidRPr="004C5AAB">
        <w:rPr>
          <w:rFonts w:ascii="Times New Roman" w:hAnsi="Times New Roman"/>
          <w:sz w:val="24"/>
          <w:szCs w:val="24"/>
          <w:lang w:val="sr-Cyrl-CS"/>
        </w:rPr>
        <w:t>банком</w:t>
      </w:r>
      <w:r w:rsidR="0057423F" w:rsidRPr="004C5AAB">
        <w:rPr>
          <w:rFonts w:ascii="Times New Roman" w:hAnsi="Times New Roman"/>
          <w:sz w:val="24"/>
          <w:szCs w:val="24"/>
          <w:lang w:val="sr-Cyrl-CS"/>
        </w:rPr>
        <w:t xml:space="preserve">, односно </w:t>
      </w:r>
      <w:r w:rsidR="00EE6E2C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лизинг компанијом</w:t>
      </w:r>
      <w:r w:rsidR="00EA0B33" w:rsidRPr="004C5AAB">
        <w:rPr>
          <w:rFonts w:ascii="Times New Roman" w:hAnsi="Times New Roman"/>
          <w:color w:val="000000"/>
          <w:sz w:val="24"/>
          <w:szCs w:val="24"/>
          <w:lang w:val="sr-Cyrl-CS"/>
        </w:rPr>
        <w:t>, привредни субјек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 дужан је да уплати </w:t>
      </w:r>
      <w:r w:rsidR="0057423F" w:rsidRPr="004C5AAB">
        <w:rPr>
          <w:rFonts w:ascii="Times New Roman" w:hAnsi="Times New Roman"/>
          <w:color w:val="000000"/>
          <w:sz w:val="24"/>
          <w:szCs w:val="24"/>
          <w:lang w:val="sr-Cyrl-CS"/>
        </w:rPr>
        <w:t>уговорено</w:t>
      </w:r>
      <w:r w:rsidR="00EA0B33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учешће</w:t>
      </w:r>
      <w:r w:rsidR="0057423F" w:rsidRPr="004C5AAB">
        <w:rPr>
          <w:rFonts w:ascii="Times New Roman" w:hAnsi="Times New Roman"/>
          <w:color w:val="000000"/>
          <w:sz w:val="24"/>
          <w:szCs w:val="24"/>
          <w:lang w:val="sr-Cyrl-CS"/>
        </w:rPr>
        <w:t>, односно у</w:t>
      </w:r>
      <w:r w:rsidR="00085F95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чешће одређено у складу са </w:t>
      </w:r>
      <w:r w:rsidR="00022F83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главом </w:t>
      </w:r>
      <w:r w:rsidR="00085F95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4</w:t>
      </w:r>
      <w:r w:rsidR="00022F83" w:rsidRPr="004C5AAB">
        <w:rPr>
          <w:rFonts w:ascii="Times New Roman" w:hAnsi="Times New Roman"/>
          <w:color w:val="000000"/>
          <w:sz w:val="24"/>
          <w:szCs w:val="24"/>
          <w:lang w:val="sr-Cyrl-CS"/>
        </w:rPr>
        <w:t>. Финансијски оквир.</w:t>
      </w:r>
    </w:p>
    <w:p w:rsidR="0082583C" w:rsidRPr="004C5AAB" w:rsidRDefault="002F2592" w:rsidP="002F25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ab/>
        <w:t xml:space="preserve">По </w:t>
      </w:r>
      <w:r w:rsidR="00035AC6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закључењу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уговора о додели бесповратних средстава, </w:t>
      </w:r>
      <w:r w:rsidR="00460AFC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Развојна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агенција ће, у року од 15 дана од дана уплате учешћа од стране привредних субјеката, пренети одобрена бесповратна средства на посебан, наменски рачун привредног субјекта</w:t>
      </w:r>
      <w:r w:rsidR="00A8295C" w:rsidRPr="004C5AAB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452A7F" w:rsidRPr="004C5AAB" w:rsidRDefault="00452A7F" w:rsidP="002F259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У случају кредита банке, к</w:t>
      </w:r>
      <w:r w:rsidR="002F2592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орисник средстава дужан је да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банци</w:t>
      </w:r>
      <w:r w:rsidR="0082583C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2592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достави копију фактуре/уговора по којој је извршена набавка опреме, а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банке</w:t>
      </w:r>
      <w:r w:rsidR="001E6D5D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2592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су у обавези да копију исте проследе Министарству и </w:t>
      </w:r>
      <w:r w:rsidR="00460AFC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Развојној </w:t>
      </w:r>
      <w:r w:rsidR="002F2592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агенцији.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:rsidR="00082B1F" w:rsidRPr="004C5AAB" w:rsidRDefault="00452A7F" w:rsidP="002F259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случају финансијског лизинга, </w:t>
      </w:r>
      <w:r w:rsidR="003B1EA1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лизинг компаниј</w:t>
      </w:r>
      <w:r w:rsidR="00082B1F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а је у обавези да копију фактуре и уговора</w:t>
      </w:r>
      <w:r w:rsidR="009202C0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са корисником</w:t>
      </w:r>
      <w:r w:rsidR="00082B1F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проследи Министарству и Развојној агеницији. </w:t>
      </w:r>
      <w:r w:rsidR="003B1EA1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:rsidR="004C5AAB" w:rsidRDefault="004C5AAB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Default="002F2592" w:rsidP="004C5A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5.5 Поступак по приговору</w:t>
      </w:r>
    </w:p>
    <w:p w:rsidR="00EB3682" w:rsidRPr="004C5AAB" w:rsidRDefault="00EB3682" w:rsidP="004C5A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Кандидати чије је захтеве Комисија одбила имају право на приговор у  року од осам дана од дана пријема одлуке.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Приговор се подноси министру привреде, непосредно или препорученом поштом, на адресу Министарство привреде, Кнеза Милоша 20, 11000 Београд.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lastRenderedPageBreak/>
        <w:t>О приговору одлучује министар у року од 30 дана од дана пријема приговора.</w:t>
      </w:r>
    </w:p>
    <w:p w:rsidR="00F156D8" w:rsidRDefault="00F156D8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4C5AAB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НАЧИН РЕАЛИЗАЦИЈЕ ПРОГРАМА</w:t>
      </w:r>
    </w:p>
    <w:p w:rsidR="00EB3682" w:rsidRPr="004C5AAB" w:rsidRDefault="00EB3682" w:rsidP="002F2592">
      <w:pPr>
        <w:spacing w:after="0" w:line="240" w:lineRule="auto"/>
        <w:ind w:left="1800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37CF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Одабир банака </w:t>
      </w:r>
      <w:r w:rsidR="0092327D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компанија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за учешће у реализацији Програма </w:t>
      </w:r>
    </w:p>
    <w:p w:rsidR="002F2592" w:rsidRPr="004C5AAB" w:rsidRDefault="002F2592" w:rsidP="002F2592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Министарство ће по усвајању Програма расписати јавни позив за учешће пословних банака </w:t>
      </w:r>
      <w:r w:rsidR="0092327D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компанија </w:t>
      </w:r>
      <w:r w:rsidRPr="004C5AAB">
        <w:rPr>
          <w:rFonts w:ascii="Times New Roman" w:hAnsi="Times New Roman"/>
          <w:sz w:val="24"/>
          <w:szCs w:val="24"/>
          <w:lang w:val="sr-Cyrl-CS"/>
        </w:rPr>
        <w:t>у реализацији овог програма.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Пријаве ће се примати у року од 15 дана од дана објављивања јавног позива.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Министарство ће објавити јавни позив у најмање једном листу који се дистрибуира на целој територији Републике Србије.</w:t>
      </w:r>
      <w:r w:rsidRPr="004C5AAB">
        <w:rPr>
          <w:rFonts w:ascii="Times New Roman" w:hAnsi="Times New Roman"/>
          <w:sz w:val="24"/>
          <w:szCs w:val="24"/>
          <w:lang w:val="sr-Cyrl-CS"/>
        </w:rPr>
        <w:tab/>
        <w:t>Јавни позив и конкурсна документација биће објављени на интерн</w:t>
      </w:r>
      <w:r w:rsidR="00831A97" w:rsidRPr="004C5AAB">
        <w:rPr>
          <w:rFonts w:ascii="Times New Roman" w:hAnsi="Times New Roman"/>
          <w:sz w:val="24"/>
          <w:szCs w:val="24"/>
          <w:lang w:val="sr-Cyrl-CS"/>
        </w:rPr>
        <w:t>ет страници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Министарства:</w:t>
      </w:r>
      <w:r w:rsidRPr="004C5AAB">
        <w:rPr>
          <w:rFonts w:ascii="Times New Roman" w:hAnsi="Times New Roman"/>
          <w:color w:val="1F497D"/>
          <w:sz w:val="24"/>
          <w:szCs w:val="24"/>
          <w:lang w:val="sr-Cyrl-CS"/>
        </w:rPr>
        <w:t xml:space="preserve"> </w:t>
      </w:r>
      <w:hyperlink r:id="rId10" w:history="1">
        <w:r w:rsidR="00B643BF" w:rsidRPr="004C5AAB">
          <w:rPr>
            <w:rStyle w:val="Hyperlink"/>
            <w:rFonts w:ascii="Times New Roman" w:hAnsi="Times New Roman"/>
            <w:sz w:val="24"/>
            <w:szCs w:val="24"/>
            <w:lang w:val="sr-Cyrl-CS"/>
          </w:rPr>
          <w:t>www.privreda.gov.rs</w:t>
        </w:r>
      </w:hyperlink>
      <w:r w:rsidRPr="004C5AAB">
        <w:rPr>
          <w:rFonts w:ascii="Times New Roman" w:hAnsi="Times New Roman"/>
          <w:color w:val="1F497D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Развојне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агенције: </w:t>
      </w:r>
      <w:hyperlink r:id="rId11" w:history="1">
        <w:r w:rsidR="00460AFC" w:rsidRPr="004C5AAB">
          <w:rPr>
            <w:rStyle w:val="Hyperlink"/>
            <w:rFonts w:ascii="Times New Roman" w:hAnsi="Times New Roman"/>
            <w:sz w:val="24"/>
            <w:szCs w:val="24"/>
            <w:lang w:val="sr-Cyrl-CS"/>
          </w:rPr>
          <w:t>www.ras.gov.rs</w:t>
        </w:r>
      </w:hyperlink>
      <w:r w:rsidRPr="004C5AAB">
        <w:rPr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и упућени електронском поштом свим банкама </w:t>
      </w:r>
      <w:r w:rsidR="009879A4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компанијама </w:t>
      </w:r>
      <w:r w:rsidRPr="004C5AAB">
        <w:rPr>
          <w:rFonts w:ascii="Times New Roman" w:hAnsi="Times New Roman"/>
          <w:sz w:val="24"/>
          <w:szCs w:val="24"/>
          <w:lang w:val="sr-Cyrl-CS"/>
        </w:rPr>
        <w:t>које послују у Републици Србији и које тренутно имају дозволу за рад Народне банке Србије.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Јавним позивом ближе ће бити прописана документација коју банке </w:t>
      </w:r>
      <w:r w:rsidR="003A3D96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компаније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достављају приликом подношења пријаве. </w:t>
      </w:r>
    </w:p>
    <w:p w:rsidR="002F2592" w:rsidRPr="004C5AAB" w:rsidRDefault="002F2592" w:rsidP="002F2592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Прегледање, контролу формалне исправности, оцењивање,  рангирање захтева, као и доношење одлуке о избору пословних банака </w:t>
      </w:r>
      <w:r w:rsidR="00FE3FCB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компанија </w:t>
      </w:r>
      <w:r w:rsidRPr="004C5AAB">
        <w:rPr>
          <w:rFonts w:ascii="Times New Roman" w:hAnsi="Times New Roman"/>
          <w:sz w:val="24"/>
          <w:szCs w:val="24"/>
          <w:lang w:val="sr-Cyrl-CS"/>
        </w:rPr>
        <w:t>које ће учествовати у спровођењу Програма обавља Комисија за оцењивање и селекцију пријава банака</w:t>
      </w:r>
      <w:r w:rsidR="000118F8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>, коју решењем, образује министар привреде.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 w:eastAsia="en-US"/>
        </w:rPr>
      </w:pPr>
      <w:r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ab/>
        <w:t xml:space="preserve">Ради потпунијег сагледавања квалитета предложене активности, Комисија </w:t>
      </w:r>
      <w:r w:rsidRPr="004C5AAB">
        <w:rPr>
          <w:rFonts w:ascii="Times New Roman" w:hAnsi="Times New Roman"/>
          <w:sz w:val="24"/>
          <w:szCs w:val="24"/>
          <w:lang w:val="sr-Cyrl-CS"/>
        </w:rPr>
        <w:t>за оцењивање и селекцију пријава банака</w:t>
      </w:r>
      <w:r w:rsidR="0071561A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може тражити додатна појашњења предлога и</w:t>
      </w:r>
      <w:r w:rsidR="00831A97"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>/или обавити интервју са банком</w:t>
      </w:r>
      <w:r w:rsidR="0071561A"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или лизинг компанијом</w:t>
      </w:r>
      <w:r w:rsidRPr="004C5AAB">
        <w:rPr>
          <w:rFonts w:ascii="Times New Roman" w:eastAsia="Calibri" w:hAnsi="Times New Roman"/>
          <w:sz w:val="24"/>
          <w:szCs w:val="24"/>
          <w:lang w:val="sr-Cyrl-CS" w:eastAsia="en-US"/>
        </w:rPr>
        <w:t xml:space="preserve"> подносиоцем пријаве.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Право учешћа на овом конкурсу имају све заинтересоване банке </w:t>
      </w:r>
      <w:r w:rsidR="00BB0A83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компаније </w:t>
      </w:r>
      <w:r w:rsidRPr="004C5AAB">
        <w:rPr>
          <w:rFonts w:ascii="Times New Roman" w:hAnsi="Times New Roman"/>
          <w:sz w:val="24"/>
          <w:szCs w:val="24"/>
          <w:lang w:val="sr-Cyrl-CS"/>
        </w:rPr>
        <w:t>које испуњавају законом утврђене услове за обављање делатности на територији Републике Србије.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Обавезујући услови за све банке које су заинтересоване за учешће у реализацији Програма су да се кредити одобравају под следећим условима:</w:t>
      </w:r>
    </w:p>
    <w:p w:rsidR="002F2592" w:rsidRPr="004C5AAB" w:rsidRDefault="002F2592" w:rsidP="002F25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период почека - шест месеци; </w:t>
      </w:r>
    </w:p>
    <w:p w:rsidR="002F2592" w:rsidRPr="004C5AAB" w:rsidRDefault="002F2592" w:rsidP="002F259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примарно средство обезбеђења кредита је залога над купљеном опремом или на  покретној имовини која није предмет куповине;</w:t>
      </w:r>
    </w:p>
    <w:p w:rsidR="002F2592" w:rsidRPr="004C5AAB" w:rsidRDefault="002F2592" w:rsidP="002F25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искључује се хипотека као могуће средство обезбеђења;</w:t>
      </w:r>
    </w:p>
    <w:p w:rsidR="002F2592" w:rsidRPr="004C5AAB" w:rsidRDefault="002F2592" w:rsidP="002F2592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потенцијални  трошкови и накнаде у укупном износу до 1%;</w:t>
      </w:r>
    </w:p>
    <w:p w:rsidR="009757FF" w:rsidRPr="004C5AAB" w:rsidRDefault="002F2592" w:rsidP="006E4C1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привредни субјекти могу отплатити кредит превремено у односу на рок који је дефинисан у уговору са банком</w:t>
      </w:r>
      <w:r w:rsidR="00BE3DC8" w:rsidRPr="004C5AAB">
        <w:rPr>
          <w:rFonts w:ascii="Times New Roman" w:hAnsi="Times New Roman"/>
          <w:sz w:val="24"/>
          <w:szCs w:val="24"/>
          <w:lang w:val="sr-Cyrl-CS"/>
        </w:rPr>
        <w:t>,</w:t>
      </w:r>
      <w:r w:rsidR="00831A97" w:rsidRPr="004C5AAB">
        <w:rPr>
          <w:rFonts w:ascii="Times New Roman" w:hAnsi="Times New Roman"/>
          <w:sz w:val="24"/>
          <w:szCs w:val="24"/>
          <w:lang w:val="sr-Cyrl-CS"/>
        </w:rPr>
        <w:t xml:space="preserve"> с</w:t>
      </w:r>
      <w:r w:rsidR="00BE3DC8" w:rsidRPr="004C5AAB">
        <w:rPr>
          <w:rFonts w:ascii="Times New Roman" w:hAnsi="Times New Roman"/>
          <w:sz w:val="24"/>
          <w:szCs w:val="24"/>
          <w:lang w:val="sr-Cyrl-CS"/>
        </w:rPr>
        <w:t xml:space="preserve"> тим </w:t>
      </w:r>
      <w:r w:rsidR="00831A97" w:rsidRPr="004C5AAB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="00BE3DC8" w:rsidRPr="004C5AAB">
        <w:rPr>
          <w:rFonts w:ascii="Times New Roman" w:hAnsi="Times New Roman"/>
          <w:sz w:val="24"/>
          <w:szCs w:val="24"/>
          <w:lang w:val="sr-Cyrl-CS"/>
        </w:rPr>
        <w:t>уколико превремену отплату изврше у току прве трећине тр</w:t>
      </w:r>
      <w:r w:rsidR="005D58AE" w:rsidRPr="004C5AAB">
        <w:rPr>
          <w:rFonts w:ascii="Times New Roman" w:hAnsi="Times New Roman"/>
          <w:sz w:val="24"/>
          <w:szCs w:val="24"/>
          <w:lang w:val="sr-Cyrl-CS"/>
        </w:rPr>
        <w:t>а</w:t>
      </w:r>
      <w:r w:rsidR="00BE3DC8" w:rsidRPr="004C5AAB">
        <w:rPr>
          <w:rFonts w:ascii="Times New Roman" w:hAnsi="Times New Roman"/>
          <w:sz w:val="24"/>
          <w:szCs w:val="24"/>
          <w:lang w:val="sr-Cyrl-CS"/>
        </w:rPr>
        <w:t>јања периода отплате, дужни су да врате целокупан износ одобрених бесповратних средстава</w:t>
      </w:r>
      <w:r w:rsidR="008E054A"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0D52CF" w:rsidRPr="004C5AAB" w:rsidRDefault="000D52CF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641E9" w:rsidRPr="004C5AAB" w:rsidRDefault="009202C0" w:rsidP="0041407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Неопходно је да следећи </w:t>
      </w:r>
      <w:r w:rsidR="00D641E9" w:rsidRPr="004C5AAB">
        <w:rPr>
          <w:rFonts w:ascii="Times New Roman" w:hAnsi="Times New Roman"/>
          <w:sz w:val="24"/>
          <w:szCs w:val="24"/>
          <w:lang w:val="sr-Cyrl-CS"/>
        </w:rPr>
        <w:t>потенцијални трошкови и накнаде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буду засебно исказани</w:t>
      </w:r>
      <w:r w:rsidR="00082B1F" w:rsidRPr="004C5AAB">
        <w:rPr>
          <w:rFonts w:ascii="Times New Roman" w:hAnsi="Times New Roman"/>
          <w:sz w:val="24"/>
          <w:szCs w:val="24"/>
          <w:lang w:val="sr-Cyrl-CS"/>
        </w:rPr>
        <w:t>:</w:t>
      </w:r>
    </w:p>
    <w:p w:rsidR="00C10C5D" w:rsidRPr="004C5AAB" w:rsidRDefault="009202C0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обраде кредита</w:t>
      </w:r>
      <w:r w:rsidR="00D74E6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D641E9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отварања и</w:t>
      </w:r>
      <w:r w:rsidR="009202C0" w:rsidRPr="004C5AAB">
        <w:rPr>
          <w:rFonts w:ascii="Times New Roman" w:hAnsi="Times New Roman"/>
          <w:sz w:val="24"/>
          <w:szCs w:val="24"/>
          <w:lang w:val="sr-Cyrl-CS"/>
        </w:rPr>
        <w:t xml:space="preserve"> вођења наменског рачуна</w:t>
      </w:r>
      <w:r w:rsidR="00D74E6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D641E9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прибављања из</w:t>
      </w:r>
      <w:r w:rsidR="009202C0" w:rsidRPr="004C5AAB">
        <w:rPr>
          <w:rFonts w:ascii="Times New Roman" w:hAnsi="Times New Roman"/>
          <w:sz w:val="24"/>
          <w:szCs w:val="24"/>
          <w:lang w:val="sr-Cyrl-CS"/>
        </w:rPr>
        <w:t>вештаја кредитног бироа</w:t>
      </w:r>
      <w:r w:rsidR="00D74E6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D641E9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трошкови </w:t>
      </w:r>
      <w:r w:rsidR="009202C0" w:rsidRPr="004C5AAB">
        <w:rPr>
          <w:rFonts w:ascii="Times New Roman" w:hAnsi="Times New Roman"/>
          <w:sz w:val="24"/>
          <w:szCs w:val="24"/>
          <w:lang w:val="sr-Cyrl-CS"/>
        </w:rPr>
        <w:t>меница</w:t>
      </w:r>
      <w:r w:rsidR="00D74E6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D641E9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</w:t>
      </w:r>
      <w:r w:rsidR="009202C0" w:rsidRPr="004C5AAB">
        <w:rPr>
          <w:rFonts w:ascii="Times New Roman" w:hAnsi="Times New Roman"/>
          <w:sz w:val="24"/>
          <w:szCs w:val="24"/>
          <w:lang w:val="sr-Cyrl-CS"/>
        </w:rPr>
        <w:t xml:space="preserve"> овере заложне изјаве</w:t>
      </w:r>
      <w:r w:rsidR="00D74E6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D641E9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упис</w:t>
      </w:r>
      <w:r w:rsidR="009202C0" w:rsidRPr="004C5AAB">
        <w:rPr>
          <w:rFonts w:ascii="Times New Roman" w:hAnsi="Times New Roman"/>
          <w:sz w:val="24"/>
          <w:szCs w:val="24"/>
          <w:lang w:val="sr-Cyrl-CS"/>
        </w:rPr>
        <w:t>а покретне залоге  у АПР</w:t>
      </w:r>
      <w:r w:rsidR="00D74E69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D641E9" w:rsidP="00C10C5D">
      <w:pPr>
        <w:pStyle w:val="ListParagraph"/>
        <w:numPr>
          <w:ilvl w:val="1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остали, уколико су предвиђени</w:t>
      </w:r>
      <w:r w:rsidR="00D74E69" w:rsidRPr="004C5AAB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9F515B" w:rsidRPr="004C5AAB" w:rsidRDefault="009F515B" w:rsidP="004C5A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lastRenderedPageBreak/>
        <w:t xml:space="preserve">Обавезујући услови за све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лизинг компаније  које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су заинтересоване за учешће у реализацији Програма су да се </w:t>
      </w:r>
      <w:r w:rsidR="00C913B6" w:rsidRPr="004C5AAB">
        <w:rPr>
          <w:rFonts w:ascii="Times New Roman" w:hAnsi="Times New Roman"/>
          <w:sz w:val="24"/>
          <w:szCs w:val="24"/>
          <w:lang w:val="sr-Cyrl-CS"/>
        </w:rPr>
        <w:t>финансијски лизинг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одобрава под следећим условима:</w:t>
      </w:r>
    </w:p>
    <w:p w:rsidR="009F515B" w:rsidRPr="004C5AAB" w:rsidRDefault="009F515B" w:rsidP="00F156D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период почека - шест месеци; </w:t>
      </w:r>
    </w:p>
    <w:p w:rsidR="009F515B" w:rsidRPr="004C5AAB" w:rsidRDefault="00774B11" w:rsidP="0082583C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примарна средства</w:t>
      </w:r>
      <w:r w:rsidR="009F515B" w:rsidRPr="004C5AAB">
        <w:rPr>
          <w:rFonts w:ascii="Times New Roman" w:hAnsi="Times New Roman"/>
          <w:sz w:val="24"/>
          <w:szCs w:val="24"/>
          <w:lang w:val="sr-Cyrl-CS"/>
        </w:rPr>
        <w:t xml:space="preserve"> обезбеђења</w:t>
      </w:r>
      <w:r w:rsidR="0082583C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су</w:t>
      </w:r>
      <w:r w:rsidR="0082583C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47731B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менице </w:t>
      </w:r>
      <w:r w:rsidR="0082583C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привредног суб</w:t>
      </w:r>
      <w:r w:rsidR="00D6437D" w:rsidRPr="004C5AAB">
        <w:rPr>
          <w:rFonts w:ascii="Times New Roman" w:hAnsi="Times New Roman"/>
          <w:color w:val="000000"/>
          <w:sz w:val="24"/>
          <w:szCs w:val="24"/>
          <w:lang w:val="sr-Cyrl-CS"/>
        </w:rPr>
        <w:t>јекта и пуно имовинско осигурањ</w:t>
      </w:r>
      <w:r w:rsidR="0082583C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 опреме-предмета лизинга, који остаје у власништву лизинг компаније до исплате </w:t>
      </w:r>
      <w:r w:rsidR="0047731B" w:rsidRPr="004C5AA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укупног износа </w:t>
      </w:r>
      <w:r w:rsidR="0082583C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лизинг накнад</w:t>
      </w:r>
      <w:r w:rsidR="00545E0C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а дефинисаних у</w:t>
      </w:r>
      <w:r w:rsidR="0047731B" w:rsidRPr="004C5AAB">
        <w:rPr>
          <w:rFonts w:ascii="Times New Roman" w:hAnsi="Times New Roman"/>
          <w:color w:val="000000"/>
          <w:sz w:val="24"/>
          <w:szCs w:val="24"/>
          <w:lang w:val="sr-Cyrl-CS"/>
        </w:rPr>
        <w:t>говором о финансијском лизингу</w:t>
      </w:r>
      <w:r w:rsidR="009F515B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774B11" w:rsidRPr="004C5AAB" w:rsidRDefault="00774B11" w:rsidP="0086484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(</w:t>
      </w:r>
      <w:r w:rsidR="00BB38C1" w:rsidRPr="004C5AAB">
        <w:rPr>
          <w:rFonts w:ascii="Times New Roman" w:hAnsi="Times New Roman"/>
          <w:sz w:val="24"/>
          <w:szCs w:val="24"/>
          <w:lang w:val="sr-Cyrl-CS"/>
        </w:rPr>
        <w:t>укупно уговорени износ лизинг накнада мора обухватати комплетну вредност предмета лизинга)</w:t>
      </w:r>
      <w:r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9F515B" w:rsidRPr="004C5AAB" w:rsidRDefault="009F515B" w:rsidP="009F515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искључује се хипотека као могуће средство обезбеђења;</w:t>
      </w:r>
    </w:p>
    <w:p w:rsidR="009F515B" w:rsidRPr="004C5AAB" w:rsidRDefault="009F515B" w:rsidP="009F515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sr-Cyrl-CS"/>
        </w:rPr>
      </w:pPr>
      <w:r w:rsidRPr="004C5AAB">
        <w:rPr>
          <w:rFonts w:ascii="Times New Roman" w:hAnsi="Times New Roman"/>
          <w:color w:val="000000"/>
          <w:sz w:val="24"/>
          <w:szCs w:val="24"/>
          <w:lang w:val="sr-Cyrl-CS"/>
        </w:rPr>
        <w:t>потенцијални  трошкови и накнаде у укупном износу до 1%;</w:t>
      </w:r>
    </w:p>
    <w:p w:rsidR="00540B00" w:rsidRPr="004C5AAB" w:rsidRDefault="009F515B" w:rsidP="00DB72E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привредни субјекти могу отплатити </w:t>
      </w:r>
      <w:r w:rsidR="00C913B6" w:rsidRPr="004C5AAB">
        <w:rPr>
          <w:rFonts w:ascii="Times New Roman" w:hAnsi="Times New Roman"/>
          <w:sz w:val="24"/>
          <w:szCs w:val="24"/>
          <w:lang w:val="sr-Cyrl-CS"/>
        </w:rPr>
        <w:t xml:space="preserve">средства финансијског лизинга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превремено у односу на рок који је дефинисан у уговору са </w:t>
      </w:r>
      <w:r w:rsidR="009757FF" w:rsidRPr="004C5AAB">
        <w:rPr>
          <w:rFonts w:ascii="Times New Roman" w:hAnsi="Times New Roman"/>
          <w:sz w:val="24"/>
          <w:szCs w:val="24"/>
          <w:lang w:val="sr-Cyrl-CS"/>
        </w:rPr>
        <w:t>лизинг компанијом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, с тим да </w:t>
      </w:r>
      <w:r w:rsidR="00540B00" w:rsidRPr="004C5AAB">
        <w:rPr>
          <w:rFonts w:ascii="Times New Roman" w:hAnsi="Times New Roman"/>
          <w:sz w:val="24"/>
          <w:szCs w:val="24"/>
          <w:lang w:val="sr-Cyrl-CS"/>
        </w:rPr>
        <w:t xml:space="preserve">уколико превремену отплату изврше у току прве трећине трајања </w:t>
      </w:r>
      <w:r w:rsidR="00044D28" w:rsidRPr="004C5AAB">
        <w:rPr>
          <w:rFonts w:ascii="Times New Roman" w:hAnsi="Times New Roman"/>
          <w:sz w:val="24"/>
          <w:szCs w:val="24"/>
          <w:lang w:val="sr-Cyrl-CS"/>
        </w:rPr>
        <w:t>уговора</w:t>
      </w:r>
      <w:r w:rsidR="003E7C0B" w:rsidRPr="004C5AAB">
        <w:rPr>
          <w:rFonts w:ascii="Times New Roman" w:hAnsi="Times New Roman"/>
          <w:sz w:val="24"/>
          <w:szCs w:val="24"/>
          <w:lang w:val="sr-Cyrl-CS"/>
        </w:rPr>
        <w:t xml:space="preserve"> финансијском</w:t>
      </w:r>
      <w:r w:rsidR="00044D28" w:rsidRPr="004C5AAB">
        <w:rPr>
          <w:rFonts w:ascii="Times New Roman" w:hAnsi="Times New Roman"/>
          <w:sz w:val="24"/>
          <w:szCs w:val="24"/>
          <w:lang w:val="sr-Cyrl-CS"/>
        </w:rPr>
        <w:t xml:space="preserve"> о лизингу</w:t>
      </w:r>
      <w:r w:rsidR="00540B00" w:rsidRPr="004C5AAB">
        <w:rPr>
          <w:rFonts w:ascii="Times New Roman" w:hAnsi="Times New Roman"/>
          <w:sz w:val="24"/>
          <w:szCs w:val="24"/>
          <w:lang w:val="sr-Cyrl-CS"/>
        </w:rPr>
        <w:t>, дужни су да врате целокупан износ одобрених бесповратних средстава.</w:t>
      </w:r>
    </w:p>
    <w:p w:rsidR="009F515B" w:rsidRPr="004C5AAB" w:rsidRDefault="009F515B" w:rsidP="00540B00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94119" w:rsidRPr="004C5AAB" w:rsidRDefault="00B94119" w:rsidP="004C5A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Неопходно је да следећи потенцијални трошкови и накнаде буду засебно исказани:</w:t>
      </w:r>
    </w:p>
    <w:p w:rsidR="00C10C5D" w:rsidRPr="004C5AAB" w:rsidRDefault="00B94119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обраде захтева</w:t>
      </w:r>
      <w:r w:rsidR="00065120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B94119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прибављања извештаја кредитног бироа</w:t>
      </w:r>
      <w:r w:rsidR="00065120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B94119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меница</w:t>
      </w:r>
      <w:r w:rsidR="00065120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B94119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трошкови уписа уговора у регистар финанси</w:t>
      </w:r>
      <w:r w:rsidR="004C5AAB" w:rsidRPr="004C5AAB">
        <w:rPr>
          <w:rFonts w:ascii="Times New Roman" w:hAnsi="Times New Roman"/>
          <w:sz w:val="24"/>
          <w:szCs w:val="24"/>
          <w:lang w:val="sr-Cyrl-CS"/>
        </w:rPr>
        <w:t>ј</w:t>
      </w:r>
      <w:r w:rsidRPr="004C5AAB">
        <w:rPr>
          <w:rFonts w:ascii="Times New Roman" w:hAnsi="Times New Roman"/>
          <w:sz w:val="24"/>
          <w:szCs w:val="24"/>
          <w:lang w:val="sr-Cyrl-CS"/>
        </w:rPr>
        <w:t>ског лизинга у АПР</w:t>
      </w:r>
      <w:r w:rsidR="00065120" w:rsidRPr="004C5AAB">
        <w:rPr>
          <w:rFonts w:ascii="Times New Roman" w:hAnsi="Times New Roman"/>
          <w:sz w:val="24"/>
          <w:szCs w:val="24"/>
          <w:lang w:val="sr-Cyrl-CS"/>
        </w:rPr>
        <w:t>;</w:t>
      </w:r>
    </w:p>
    <w:p w:rsidR="00C10C5D" w:rsidRPr="004C5AAB" w:rsidRDefault="00B94119" w:rsidP="00C10C5D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остали, уколико су предвиђени</w:t>
      </w:r>
      <w:r w:rsidR="00065120" w:rsidRPr="004C5AAB">
        <w:rPr>
          <w:rFonts w:ascii="Times New Roman" w:hAnsi="Times New Roman"/>
          <w:sz w:val="24"/>
          <w:szCs w:val="24"/>
          <w:lang w:val="sr-Cyrl-CS"/>
        </w:rPr>
        <w:t>.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94119" w:rsidRPr="004C5AAB" w:rsidRDefault="00B94119" w:rsidP="00540B00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864840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Критеријум за избор банке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биће предложена висина каматне стопе за дефинисане рoчности наведене у Табели 1. 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48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8"/>
        <w:gridCol w:w="1680"/>
        <w:gridCol w:w="1709"/>
        <w:gridCol w:w="2707"/>
      </w:tblGrid>
      <w:tr w:rsidR="002F2592" w:rsidRPr="004C5AAB" w:rsidTr="009757FF">
        <w:trPr>
          <w:gridAfter w:val="3"/>
          <w:wAfter w:w="3396" w:type="pct"/>
          <w:trHeight w:val="276"/>
        </w:trPr>
        <w:tc>
          <w:tcPr>
            <w:tcW w:w="1604" w:type="pct"/>
            <w:vMerge w:val="restart"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Рочност</w:t>
            </w:r>
          </w:p>
        </w:tc>
      </w:tr>
      <w:tr w:rsidR="002F2592" w:rsidRPr="004C5AAB" w:rsidTr="009757FF">
        <w:tc>
          <w:tcPr>
            <w:tcW w:w="1604" w:type="pct"/>
            <w:vMerge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396" w:type="pct"/>
            <w:gridSpan w:val="3"/>
            <w:shd w:val="clear" w:color="auto" w:fill="D9D9D9"/>
            <w:vAlign w:val="center"/>
          </w:tcPr>
          <w:p w:rsidR="002F2592" w:rsidRPr="004C5AAB" w:rsidRDefault="002F2592" w:rsidP="00FD6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Ефективна каматна стопа (ЕКС)</w:t>
            </w:r>
          </w:p>
        </w:tc>
      </w:tr>
      <w:tr w:rsidR="002F2592" w:rsidRPr="004C5AAB" w:rsidTr="009757FF">
        <w:tc>
          <w:tcPr>
            <w:tcW w:w="1604" w:type="pct"/>
            <w:vMerge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88" w:type="pct"/>
            <w:gridSpan w:val="2"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Динарски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Валутна клаузула (ЕУР)</w:t>
            </w:r>
          </w:p>
        </w:tc>
      </w:tr>
      <w:tr w:rsidR="002F2592" w:rsidRPr="004C5AAB" w:rsidTr="009757FF">
        <w:tc>
          <w:tcPr>
            <w:tcW w:w="1604" w:type="pct"/>
            <w:vMerge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36" w:type="pct"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фиксна</w:t>
            </w:r>
          </w:p>
        </w:tc>
        <w:tc>
          <w:tcPr>
            <w:tcW w:w="952" w:type="pct"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варијабилна 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фиксна</w:t>
            </w:r>
          </w:p>
        </w:tc>
      </w:tr>
      <w:tr w:rsidR="002F2592" w:rsidRPr="004C5AAB" w:rsidTr="009757FF">
        <w:tc>
          <w:tcPr>
            <w:tcW w:w="1604" w:type="pct"/>
          </w:tcPr>
          <w:p w:rsidR="002F2592" w:rsidRPr="004C5AAB" w:rsidRDefault="002F2592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18</w:t>
            </w:r>
            <w:r w:rsidR="00153B2B"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месеци</w:t>
            </w:r>
          </w:p>
        </w:tc>
        <w:tc>
          <w:tcPr>
            <w:tcW w:w="936" w:type="pct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ED33F7" w:rsidRPr="004C5AAB" w:rsidTr="009757FF">
        <w:tc>
          <w:tcPr>
            <w:tcW w:w="1604" w:type="pct"/>
          </w:tcPr>
          <w:p w:rsidR="00ED33F7" w:rsidRPr="004C5AAB" w:rsidRDefault="00ED33F7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24 месеца</w:t>
            </w:r>
          </w:p>
        </w:tc>
        <w:tc>
          <w:tcPr>
            <w:tcW w:w="936" w:type="pct"/>
          </w:tcPr>
          <w:p w:rsidR="00ED33F7" w:rsidRPr="004C5AAB" w:rsidRDefault="00ED33F7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9757FF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2F2592" w:rsidRPr="004C5AAB" w:rsidTr="009757FF">
        <w:tc>
          <w:tcPr>
            <w:tcW w:w="1604" w:type="pct"/>
          </w:tcPr>
          <w:p w:rsidR="002F2592" w:rsidRPr="004C5AAB" w:rsidRDefault="00153B2B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36 </w:t>
            </w:r>
            <w:r w:rsidR="002F2592"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месеци</w:t>
            </w:r>
          </w:p>
        </w:tc>
        <w:tc>
          <w:tcPr>
            <w:tcW w:w="936" w:type="pct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2F2592" w:rsidRPr="004C5AAB" w:rsidRDefault="002F2592" w:rsidP="009757FF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2F2592" w:rsidRPr="004C5AAB" w:rsidRDefault="002F2592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ED33F7" w:rsidRPr="004C5AAB" w:rsidTr="009757FF">
        <w:tc>
          <w:tcPr>
            <w:tcW w:w="1604" w:type="pct"/>
          </w:tcPr>
          <w:p w:rsidR="00ED33F7" w:rsidRPr="004C5AAB" w:rsidRDefault="00ED33F7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48 месеци</w:t>
            </w:r>
          </w:p>
        </w:tc>
        <w:tc>
          <w:tcPr>
            <w:tcW w:w="936" w:type="pct"/>
          </w:tcPr>
          <w:p w:rsidR="00ED33F7" w:rsidRPr="004C5AAB" w:rsidRDefault="00ED33F7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9757FF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6914B4" w:rsidRPr="004C5AAB" w:rsidTr="009757FF">
        <w:tc>
          <w:tcPr>
            <w:tcW w:w="1604" w:type="pct"/>
          </w:tcPr>
          <w:p w:rsidR="006914B4" w:rsidRPr="004C5AAB" w:rsidRDefault="00153B2B" w:rsidP="002F259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60 </w:t>
            </w:r>
            <w:r w:rsidR="006914B4"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месеци</w:t>
            </w:r>
          </w:p>
        </w:tc>
        <w:tc>
          <w:tcPr>
            <w:tcW w:w="936" w:type="pct"/>
          </w:tcPr>
          <w:p w:rsidR="006914B4" w:rsidRPr="004C5AAB" w:rsidRDefault="006914B4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6914B4" w:rsidRPr="004C5AAB" w:rsidRDefault="006914B4" w:rsidP="009757FF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6914B4" w:rsidRPr="004C5AAB" w:rsidRDefault="006914B4" w:rsidP="009757FF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</w:tbl>
    <w:p w:rsidR="000C09DC" w:rsidRPr="004C5AAB" w:rsidRDefault="000C09DC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914B4" w:rsidRPr="004C5AAB" w:rsidRDefault="006914B4" w:rsidP="00F450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Напомена: Банке које не буду доставиле понуду по свим наведеним критеријумима Табеле 1, биће дисквалификоване.</w:t>
      </w:r>
      <w:r w:rsidR="00FD610B" w:rsidRPr="004C5AAB">
        <w:rPr>
          <w:sz w:val="24"/>
          <w:szCs w:val="24"/>
          <w:lang w:val="sr-Cyrl-CS"/>
        </w:rPr>
        <w:t xml:space="preserve"> 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 xml:space="preserve">Уколико банка даје распон каматне стопе, за бодовање </w:t>
      </w:r>
      <w:r w:rsidR="00A6497C" w:rsidRPr="004C5AAB">
        <w:rPr>
          <w:rFonts w:ascii="Times New Roman" w:hAnsi="Times New Roman"/>
          <w:sz w:val="24"/>
          <w:szCs w:val="24"/>
          <w:lang w:val="sr-Cyrl-CS"/>
        </w:rPr>
        <w:t>се узима највиша. За обрачун ефективне каматне стопе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 xml:space="preserve"> користити 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>Одлуку о условима и начину обрачуна ефективне каматне стопе и изгледу и садржини образаца који се уручују кориснику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>(</w:t>
      </w:r>
      <w:r w:rsidR="00A6497C" w:rsidRPr="004C5AAB">
        <w:rPr>
          <w:rFonts w:ascii="Times New Roman" w:hAnsi="Times New Roman"/>
          <w:sz w:val="24"/>
          <w:szCs w:val="24"/>
          <w:lang w:val="sr-Cyrl-CS"/>
        </w:rPr>
        <w:t>„Службени гласник РСˮ, број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6497C" w:rsidRPr="004C5AAB">
        <w:rPr>
          <w:rFonts w:ascii="Times New Roman" w:hAnsi="Times New Roman"/>
          <w:sz w:val="24"/>
          <w:szCs w:val="24"/>
          <w:lang w:val="sr-Cyrl-CS"/>
        </w:rPr>
        <w:t>65/11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>).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 xml:space="preserve"> Трошкови пуног имовинског осигурања на предмету залоге у случају банкарско</w:t>
      </w:r>
      <w:r w:rsidR="00D81C9E" w:rsidRPr="004C5AAB">
        <w:rPr>
          <w:rFonts w:ascii="Times New Roman" w:hAnsi="Times New Roman"/>
          <w:sz w:val="24"/>
          <w:szCs w:val="24"/>
          <w:lang w:val="sr-Cyrl-CS"/>
        </w:rPr>
        <w:t>г кредита не улазе у обрачун ефективне каматне стопе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24224B" w:rsidRDefault="0024224B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3682" w:rsidRPr="004C5AAB" w:rsidRDefault="00EB368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4224B" w:rsidRPr="004C5AAB" w:rsidRDefault="0024224B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914B4" w:rsidRPr="004C5AAB" w:rsidRDefault="006914B4" w:rsidP="009510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Критеријум за избор лизинг компаније биће предложена висина каматне стопе за дефинисане рочности у </w:t>
      </w:r>
      <w:r w:rsidR="00672C5C" w:rsidRPr="004C5AAB">
        <w:rPr>
          <w:rFonts w:ascii="Times New Roman" w:hAnsi="Times New Roman"/>
          <w:sz w:val="24"/>
          <w:szCs w:val="24"/>
          <w:lang w:val="sr-Cyrl-CS"/>
        </w:rPr>
        <w:t>Т</w:t>
      </w:r>
      <w:r w:rsidRPr="004C5AAB">
        <w:rPr>
          <w:rFonts w:ascii="Times New Roman" w:hAnsi="Times New Roman"/>
          <w:sz w:val="24"/>
          <w:szCs w:val="24"/>
          <w:lang w:val="sr-Cyrl-CS"/>
        </w:rPr>
        <w:t>абели 2.</w:t>
      </w:r>
    </w:p>
    <w:p w:rsidR="00A83736" w:rsidRPr="004C5AAB" w:rsidRDefault="00A83736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D33F7" w:rsidRPr="004C5AAB" w:rsidRDefault="00ED33F7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48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8"/>
        <w:gridCol w:w="1680"/>
        <w:gridCol w:w="1709"/>
        <w:gridCol w:w="2707"/>
      </w:tblGrid>
      <w:tr w:rsidR="00ED33F7" w:rsidRPr="004C5AAB" w:rsidTr="006F6009">
        <w:trPr>
          <w:gridAfter w:val="3"/>
          <w:wAfter w:w="3396" w:type="pct"/>
          <w:trHeight w:val="276"/>
        </w:trPr>
        <w:tc>
          <w:tcPr>
            <w:tcW w:w="1604" w:type="pct"/>
            <w:vMerge w:val="restart"/>
            <w:shd w:val="clear" w:color="auto" w:fill="D9D9D9"/>
            <w:vAlign w:val="center"/>
          </w:tcPr>
          <w:p w:rsidR="00ED33F7" w:rsidRPr="004C5AAB" w:rsidRDefault="00E10605" w:rsidP="006F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ED33F7"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очност</w:t>
            </w:r>
          </w:p>
        </w:tc>
      </w:tr>
      <w:tr w:rsidR="00ED33F7" w:rsidRPr="004C5AAB" w:rsidTr="006F6009">
        <w:tc>
          <w:tcPr>
            <w:tcW w:w="1604" w:type="pct"/>
            <w:vMerge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396" w:type="pct"/>
            <w:gridSpan w:val="3"/>
            <w:shd w:val="clear" w:color="auto" w:fill="D9D9D9"/>
            <w:vAlign w:val="center"/>
          </w:tcPr>
          <w:p w:rsidR="00ED33F7" w:rsidRPr="004C5AAB" w:rsidRDefault="00ED33F7" w:rsidP="00FD6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Ефективна каматна стопа (ЕКС)</w:t>
            </w:r>
          </w:p>
        </w:tc>
      </w:tr>
      <w:tr w:rsidR="00ED33F7" w:rsidRPr="004C5AAB" w:rsidTr="006F6009">
        <w:tc>
          <w:tcPr>
            <w:tcW w:w="1604" w:type="pct"/>
            <w:vMerge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88" w:type="pct"/>
            <w:gridSpan w:val="2"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Динарски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Валутна клаузула (ЕУР)</w:t>
            </w:r>
          </w:p>
        </w:tc>
      </w:tr>
      <w:tr w:rsidR="00ED33F7" w:rsidRPr="004C5AAB" w:rsidTr="006F6009">
        <w:tc>
          <w:tcPr>
            <w:tcW w:w="1604" w:type="pct"/>
            <w:vMerge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36" w:type="pct"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фиксна</w:t>
            </w:r>
          </w:p>
        </w:tc>
        <w:tc>
          <w:tcPr>
            <w:tcW w:w="952" w:type="pct"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варијабилна </w:t>
            </w:r>
          </w:p>
        </w:tc>
        <w:tc>
          <w:tcPr>
            <w:tcW w:w="1508" w:type="pct"/>
            <w:shd w:val="clear" w:color="auto" w:fill="D9D9D9"/>
            <w:vAlign w:val="center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фиксна</w:t>
            </w:r>
          </w:p>
        </w:tc>
      </w:tr>
      <w:tr w:rsidR="00ED33F7" w:rsidRPr="004C5AAB" w:rsidTr="006F6009">
        <w:tc>
          <w:tcPr>
            <w:tcW w:w="1604" w:type="pct"/>
          </w:tcPr>
          <w:p w:rsidR="00ED33F7" w:rsidRPr="004C5AAB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18  месеци</w:t>
            </w:r>
          </w:p>
        </w:tc>
        <w:tc>
          <w:tcPr>
            <w:tcW w:w="936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ED33F7" w:rsidRPr="004C5AAB" w:rsidTr="006F6009">
        <w:tc>
          <w:tcPr>
            <w:tcW w:w="1604" w:type="pct"/>
          </w:tcPr>
          <w:p w:rsidR="00ED33F7" w:rsidRPr="004C5AAB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24 месеца</w:t>
            </w:r>
          </w:p>
        </w:tc>
        <w:tc>
          <w:tcPr>
            <w:tcW w:w="936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ED33F7" w:rsidRPr="004C5AAB" w:rsidTr="006F6009">
        <w:tc>
          <w:tcPr>
            <w:tcW w:w="1604" w:type="pct"/>
          </w:tcPr>
          <w:p w:rsidR="00ED33F7" w:rsidRPr="004C5AAB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36 месеци</w:t>
            </w:r>
          </w:p>
        </w:tc>
        <w:tc>
          <w:tcPr>
            <w:tcW w:w="936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ED33F7" w:rsidRPr="004C5AAB" w:rsidTr="006F6009">
        <w:tc>
          <w:tcPr>
            <w:tcW w:w="1604" w:type="pct"/>
          </w:tcPr>
          <w:p w:rsidR="00ED33F7" w:rsidRPr="004C5AAB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48 месеци</w:t>
            </w:r>
          </w:p>
        </w:tc>
        <w:tc>
          <w:tcPr>
            <w:tcW w:w="936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  <w:tr w:rsidR="00ED33F7" w:rsidRPr="004C5AAB" w:rsidTr="006F6009">
        <w:tc>
          <w:tcPr>
            <w:tcW w:w="1604" w:type="pct"/>
          </w:tcPr>
          <w:p w:rsidR="00ED33F7" w:rsidRPr="004C5AAB" w:rsidRDefault="00ED33F7" w:rsidP="00ED33F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5AAB">
              <w:rPr>
                <w:rFonts w:ascii="Times New Roman" w:hAnsi="Times New Roman"/>
                <w:sz w:val="24"/>
                <w:szCs w:val="24"/>
                <w:lang w:val="sr-Cyrl-CS"/>
              </w:rPr>
              <w:t>60 месеци</w:t>
            </w:r>
          </w:p>
        </w:tc>
        <w:tc>
          <w:tcPr>
            <w:tcW w:w="936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952" w:type="pct"/>
          </w:tcPr>
          <w:p w:rsidR="00ED33F7" w:rsidRPr="004C5AAB" w:rsidRDefault="00ED33F7" w:rsidP="006F6009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  <w:tc>
          <w:tcPr>
            <w:tcW w:w="1508" w:type="pct"/>
          </w:tcPr>
          <w:p w:rsidR="00ED33F7" w:rsidRPr="004C5AAB" w:rsidRDefault="00ED33F7" w:rsidP="006F6009">
            <w:pPr>
              <w:spacing w:after="0"/>
              <w:jc w:val="center"/>
              <w:rPr>
                <w:rFonts w:ascii="Times New Roman" w:hAnsi="Times New Roman"/>
                <w:color w:val="365F91"/>
                <w:sz w:val="24"/>
                <w:szCs w:val="24"/>
                <w:lang w:val="sr-Cyrl-CS"/>
              </w:rPr>
            </w:pPr>
          </w:p>
        </w:tc>
      </w:tr>
    </w:tbl>
    <w:p w:rsidR="002F2592" w:rsidRPr="004C5AAB" w:rsidRDefault="00672C5C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Напомена: Лизинг компаније</w:t>
      </w:r>
      <w:r w:rsidR="00F156D8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које не буду доставиле понуду по свим наведеним критеријумима</w:t>
      </w:r>
      <w:r w:rsidR="00E6092B" w:rsidRPr="004C5AAB">
        <w:rPr>
          <w:rFonts w:ascii="Times New Roman" w:hAnsi="Times New Roman"/>
          <w:sz w:val="24"/>
          <w:szCs w:val="24"/>
          <w:lang w:val="sr-Cyrl-CS"/>
        </w:rPr>
        <w:t xml:space="preserve"> из </w:t>
      </w:r>
      <w:r w:rsidRPr="004C5AAB">
        <w:rPr>
          <w:rFonts w:ascii="Times New Roman" w:hAnsi="Times New Roman"/>
          <w:sz w:val="24"/>
          <w:szCs w:val="24"/>
          <w:lang w:val="sr-Cyrl-CS"/>
        </w:rPr>
        <w:t>Табеле 2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, биће дисквалификоване.</w:t>
      </w:r>
      <w:r w:rsidR="00FD610B" w:rsidRPr="004C5AAB">
        <w:rPr>
          <w:sz w:val="24"/>
          <w:szCs w:val="24"/>
          <w:lang w:val="sr-Cyrl-CS"/>
        </w:rPr>
        <w:t xml:space="preserve"> 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 xml:space="preserve">Уколико лизинг компанија даје распон каматне стопе, за бодовање се узима највиша. За обрачун </w:t>
      </w:r>
      <w:r w:rsidR="00D81C9E" w:rsidRPr="004C5AAB">
        <w:rPr>
          <w:rFonts w:ascii="Times New Roman" w:hAnsi="Times New Roman"/>
          <w:sz w:val="24"/>
          <w:szCs w:val="24"/>
          <w:lang w:val="sr-Cyrl-CS"/>
        </w:rPr>
        <w:t xml:space="preserve">ефективне каматне стопе 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 xml:space="preserve">користити </w:t>
      </w:r>
      <w:r w:rsidR="00762179" w:rsidRPr="004C5AAB">
        <w:rPr>
          <w:rFonts w:ascii="Times New Roman" w:hAnsi="Times New Roman"/>
          <w:sz w:val="24"/>
          <w:szCs w:val="24"/>
          <w:lang w:val="sr-Cyrl-CS"/>
        </w:rPr>
        <w:t xml:space="preserve">Одлуку о условима и начину обрачуна ефективне каматне стопе и изгледу и садржини образаца који се уручују </w:t>
      </w:r>
      <w:r w:rsidR="002C2B2C" w:rsidRPr="004C5AAB">
        <w:rPr>
          <w:rFonts w:ascii="Times New Roman" w:hAnsi="Times New Roman"/>
          <w:sz w:val="24"/>
          <w:szCs w:val="24"/>
          <w:lang w:val="sr-Cyrl-CS"/>
        </w:rPr>
        <w:t>кориснику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>. Обавезно пуно имовинско осигурање код лизин</w:t>
      </w:r>
      <w:r w:rsidR="00D81C9E" w:rsidRPr="004C5AAB">
        <w:rPr>
          <w:rFonts w:ascii="Times New Roman" w:hAnsi="Times New Roman"/>
          <w:sz w:val="24"/>
          <w:szCs w:val="24"/>
          <w:lang w:val="sr-Cyrl-CS"/>
        </w:rPr>
        <w:t>г уговора не улази у обрачун ефективне каматне стопе</w:t>
      </w:r>
      <w:r w:rsidR="00FD610B"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2F2592" w:rsidRPr="004C5AAB" w:rsidRDefault="002F2592" w:rsidP="002F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B2741" w:rsidRPr="004C5AAB" w:rsidRDefault="00394A50" w:rsidP="00394A5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Понуде </w:t>
      </w:r>
      <w:r w:rsidR="00DD149A" w:rsidRPr="004C5AAB">
        <w:rPr>
          <w:rFonts w:ascii="Times New Roman" w:hAnsi="Times New Roman"/>
          <w:sz w:val="24"/>
          <w:szCs w:val="24"/>
          <w:lang w:val="sr-Cyrl-CS"/>
        </w:rPr>
        <w:t xml:space="preserve">ефективне каматне стопе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свих банака се међусобно поред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е и рангирају за исту рочност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валуту наведену у Табели 1.</w:t>
      </w:r>
    </w:p>
    <w:p w:rsidR="0082583C" w:rsidRPr="004C5AAB" w:rsidRDefault="00394A50" w:rsidP="00394A5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</w:r>
      <w:r w:rsidR="00382590" w:rsidRPr="004C5AAB">
        <w:rPr>
          <w:rFonts w:ascii="Times New Roman" w:hAnsi="Times New Roman"/>
          <w:sz w:val="24"/>
          <w:szCs w:val="24"/>
          <w:lang w:val="sr-Cyrl-CS"/>
        </w:rPr>
        <w:t xml:space="preserve">Понуде </w:t>
      </w:r>
      <w:r w:rsidR="00DD149A" w:rsidRPr="004C5AAB">
        <w:rPr>
          <w:rFonts w:ascii="Times New Roman" w:hAnsi="Times New Roman"/>
          <w:sz w:val="24"/>
          <w:szCs w:val="24"/>
          <w:lang w:val="sr-Cyrl-CS"/>
        </w:rPr>
        <w:t xml:space="preserve">ефективне каматне стопе </w:t>
      </w:r>
      <w:r w:rsidR="00382590" w:rsidRPr="004C5AAB">
        <w:rPr>
          <w:rFonts w:ascii="Times New Roman" w:hAnsi="Times New Roman"/>
          <w:sz w:val="24"/>
          <w:szCs w:val="24"/>
          <w:lang w:val="sr-Cyrl-CS"/>
        </w:rPr>
        <w:t xml:space="preserve">свих лизинг компанија се међусобно пореде и рангирају за исту рочност и валуту наведену у Табели </w:t>
      </w:r>
      <w:r w:rsidR="00672C5C" w:rsidRPr="004C5AAB">
        <w:rPr>
          <w:rFonts w:ascii="Times New Roman" w:hAnsi="Times New Roman"/>
          <w:sz w:val="24"/>
          <w:szCs w:val="24"/>
          <w:lang w:val="sr-Cyrl-CS"/>
        </w:rPr>
        <w:t>2</w:t>
      </w:r>
      <w:r w:rsidR="00382590" w:rsidRPr="004C5AAB">
        <w:rPr>
          <w:rFonts w:ascii="Times New Roman" w:hAnsi="Times New Roman"/>
          <w:sz w:val="24"/>
          <w:szCs w:val="24"/>
          <w:lang w:val="sr-Cyrl-CS"/>
        </w:rPr>
        <w:t>.</w:t>
      </w:r>
      <w:r w:rsidR="009757FF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B2741" w:rsidRPr="004C5AAB" w:rsidRDefault="00394A50" w:rsidP="00394A5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</w:r>
      <w:r w:rsidR="00FB2741" w:rsidRPr="004C5AAB">
        <w:rPr>
          <w:rFonts w:ascii="Times New Roman" w:hAnsi="Times New Roman"/>
          <w:sz w:val="24"/>
          <w:szCs w:val="24"/>
          <w:lang w:val="sr-Cyrl-CS"/>
        </w:rPr>
        <w:t>Понуде банака и понуде лизинг компанија се посебно рангирају.</w:t>
      </w:r>
      <w:r w:rsidR="005E2CBA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B4D4A" w:rsidRPr="004C5AAB" w:rsidRDefault="00BB4D4A" w:rsidP="00BB4D4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2F2592" w:rsidRPr="004C5AAB" w:rsidRDefault="00382590" w:rsidP="002F2592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Сабирањем тако добијених рангова формира се финална ранг листа на основу које Комисија за оцењивање и селекцију пријава банака</w:t>
      </w:r>
      <w:r w:rsidR="00C806AB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4DCA" w:rsidRPr="004C5AAB">
        <w:rPr>
          <w:rFonts w:ascii="Times New Roman" w:hAnsi="Times New Roman"/>
          <w:sz w:val="24"/>
          <w:szCs w:val="24"/>
          <w:lang w:val="sr-Cyrl-CS"/>
        </w:rPr>
        <w:t xml:space="preserve">односно </w:t>
      </w:r>
      <w:r w:rsidR="00C806AB" w:rsidRPr="004C5AAB">
        <w:rPr>
          <w:rFonts w:ascii="Times New Roman" w:hAnsi="Times New Roman"/>
          <w:sz w:val="24"/>
          <w:szCs w:val="24"/>
          <w:lang w:val="sr-Cyrl-CS"/>
        </w:rPr>
        <w:t>лизинг компанија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 xml:space="preserve"> доноси Одлуку о избору бан</w:t>
      </w:r>
      <w:r w:rsidR="008A57DF" w:rsidRPr="004C5AAB">
        <w:rPr>
          <w:rFonts w:ascii="Times New Roman" w:hAnsi="Times New Roman"/>
          <w:sz w:val="24"/>
          <w:szCs w:val="24"/>
          <w:lang w:val="sr-Cyrl-CS"/>
        </w:rPr>
        <w:t>а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ка</w:t>
      </w:r>
      <w:r w:rsidR="00C806AB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Право на учешће у реализацији програма имаће максимално </w:t>
      </w:r>
      <w:r w:rsidR="00FB2741" w:rsidRPr="004C5AAB">
        <w:rPr>
          <w:rFonts w:ascii="Times New Roman" w:hAnsi="Times New Roman"/>
          <w:sz w:val="24"/>
          <w:szCs w:val="24"/>
          <w:lang w:val="sr-Cyrl-CS"/>
        </w:rPr>
        <w:t xml:space="preserve">четири </w:t>
      </w:r>
      <w:r w:rsidRPr="004C5AAB">
        <w:rPr>
          <w:rFonts w:ascii="Times New Roman" w:hAnsi="Times New Roman"/>
          <w:sz w:val="24"/>
          <w:szCs w:val="24"/>
          <w:lang w:val="sr-Cyrl-CS"/>
        </w:rPr>
        <w:t>најбоље рангиран</w:t>
      </w:r>
      <w:r w:rsidR="00FB2741" w:rsidRPr="004C5AAB">
        <w:rPr>
          <w:rFonts w:ascii="Times New Roman" w:hAnsi="Times New Roman"/>
          <w:sz w:val="24"/>
          <w:szCs w:val="24"/>
          <w:lang w:val="sr-Cyrl-CS"/>
        </w:rPr>
        <w:t>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банк</w:t>
      </w:r>
      <w:r w:rsidR="00FB2741" w:rsidRPr="004C5AAB">
        <w:rPr>
          <w:rFonts w:ascii="Times New Roman" w:hAnsi="Times New Roman"/>
          <w:sz w:val="24"/>
          <w:szCs w:val="24"/>
          <w:lang w:val="sr-Cyrl-CS"/>
        </w:rPr>
        <w:t>е</w:t>
      </w:r>
      <w:r w:rsidR="00C806AB" w:rsidRPr="004C5AAB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FB2741" w:rsidRPr="004C5AAB">
        <w:rPr>
          <w:rFonts w:ascii="Times New Roman" w:hAnsi="Times New Roman"/>
          <w:sz w:val="24"/>
          <w:szCs w:val="24"/>
          <w:lang w:val="sr-Cyrl-CS"/>
        </w:rPr>
        <w:t xml:space="preserve">максимално две најбоље рангиране </w:t>
      </w:r>
      <w:r w:rsidR="00C806AB" w:rsidRPr="004C5AAB">
        <w:rPr>
          <w:rFonts w:ascii="Times New Roman" w:hAnsi="Times New Roman"/>
          <w:sz w:val="24"/>
          <w:szCs w:val="24"/>
          <w:lang w:val="sr-Cyrl-CS"/>
        </w:rPr>
        <w:t>лизинг компаниј</w:t>
      </w:r>
      <w:r w:rsidR="00FB2741" w:rsidRPr="004C5AAB">
        <w:rPr>
          <w:rFonts w:ascii="Times New Roman" w:hAnsi="Times New Roman"/>
          <w:sz w:val="24"/>
          <w:szCs w:val="24"/>
          <w:lang w:val="sr-Cyrl-CS"/>
        </w:rPr>
        <w:t>е</w:t>
      </w:r>
      <w:r w:rsidRPr="004C5AAB">
        <w:rPr>
          <w:rFonts w:ascii="Times New Roman" w:hAnsi="Times New Roman"/>
          <w:sz w:val="24"/>
          <w:szCs w:val="24"/>
          <w:lang w:val="sr-Cyrl-CS"/>
        </w:rPr>
        <w:t>.</w:t>
      </w:r>
      <w:r w:rsidR="005E2CBA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Кандидати чије је захтеве Комисија за оцењивање и селекцију пријава банака</w:t>
      </w:r>
      <w:r w:rsidR="005032F0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одбила имају право на приговор у  року од осам дана од дана пријема одлуке.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Приговор се подноси министру привреде, непосредно или препорученом поштом, на адресу Министарство привреде, Кнеза Милоша 20, 11000 Београд.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>О приговору одлучује министар у року од 30 дана од дана пријема приговора.</w:t>
      </w: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>6.2 Уговор о реализацији програма</w:t>
      </w:r>
    </w:p>
    <w:p w:rsidR="002F2592" w:rsidRPr="004C5AAB" w:rsidRDefault="002F2592" w:rsidP="002F2592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По усвајању Програма Министарство ће потписати уговор о реализацији Програма са </w:t>
      </w:r>
      <w:r w:rsidR="000665A0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Развојном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агенцијом, којим ће се на </w:t>
      </w:r>
      <w:r w:rsidR="000665A0" w:rsidRPr="004C5AAB">
        <w:rPr>
          <w:rFonts w:ascii="Times New Roman" w:hAnsi="Times New Roman"/>
          <w:sz w:val="24"/>
          <w:szCs w:val="24"/>
          <w:lang w:val="sr-Cyrl-CS"/>
        </w:rPr>
        <w:t xml:space="preserve">Развојну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агенцију пренети обавеза закључивања уговора о коришћењу бесповратних средстава са привредним субјектима, пренос средстава на наменске рачуне привредних субјеката, другостепена контрола наменског коришћења бесповратних средстава, након </w:t>
      </w:r>
      <w:r w:rsidR="00082B1F" w:rsidRPr="004C5AAB">
        <w:rPr>
          <w:rFonts w:ascii="Times New Roman" w:hAnsi="Times New Roman"/>
          <w:sz w:val="24"/>
          <w:szCs w:val="24"/>
          <w:lang w:val="sr-Cyrl-CS"/>
        </w:rPr>
        <w:t xml:space="preserve">пријема </w:t>
      </w:r>
      <w:r w:rsidRPr="004C5AAB">
        <w:rPr>
          <w:rFonts w:ascii="Times New Roman" w:hAnsi="Times New Roman"/>
          <w:sz w:val="24"/>
          <w:szCs w:val="24"/>
          <w:lang w:val="sr-Cyrl-CS"/>
        </w:rPr>
        <w:t>писаног обавештења банке</w:t>
      </w:r>
      <w:r w:rsidR="00FC6977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о могућим неправилностима, као и  контрола наменског коришћења бесповратних средстава код привредних субјеката који су превремено отплатили </w:t>
      </w:r>
      <w:r w:rsidR="0029172B" w:rsidRPr="004C5AAB">
        <w:rPr>
          <w:rFonts w:ascii="Times New Roman" w:hAnsi="Times New Roman"/>
          <w:sz w:val="24"/>
          <w:szCs w:val="24"/>
          <w:lang w:val="sr-Cyrl-CS"/>
        </w:rPr>
        <w:t xml:space="preserve">средства </w:t>
      </w:r>
      <w:r w:rsidRPr="004C5AAB">
        <w:rPr>
          <w:rFonts w:ascii="Times New Roman" w:hAnsi="Times New Roman"/>
          <w:sz w:val="24"/>
          <w:szCs w:val="24"/>
          <w:lang w:val="sr-Cyrl-CS"/>
        </w:rPr>
        <w:t>кредит</w:t>
      </w:r>
      <w:r w:rsidR="0029172B" w:rsidRPr="004C5AAB">
        <w:rPr>
          <w:rFonts w:ascii="Times New Roman" w:hAnsi="Times New Roman"/>
          <w:sz w:val="24"/>
          <w:szCs w:val="24"/>
          <w:lang w:val="sr-Cyrl-CS"/>
        </w:rPr>
        <w:t>а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код банке</w:t>
      </w:r>
      <w:r w:rsidR="00FC6977" w:rsidRPr="004C5AAB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r w:rsidR="00595BF5" w:rsidRPr="004C5AAB">
        <w:rPr>
          <w:rFonts w:ascii="Times New Roman" w:hAnsi="Times New Roman"/>
          <w:sz w:val="24"/>
          <w:szCs w:val="24"/>
          <w:lang w:val="sr-Cyrl-CS"/>
        </w:rPr>
        <w:t xml:space="preserve">средства </w:t>
      </w:r>
      <w:r w:rsidR="0029172B" w:rsidRPr="004C5AAB">
        <w:rPr>
          <w:rFonts w:ascii="Times New Roman" w:hAnsi="Times New Roman"/>
          <w:sz w:val="24"/>
          <w:szCs w:val="24"/>
          <w:lang w:val="sr-Cyrl-CS"/>
        </w:rPr>
        <w:t>финансијског лизинга</w:t>
      </w:r>
      <w:r w:rsidRPr="004C5AAB">
        <w:rPr>
          <w:rFonts w:ascii="Times New Roman" w:hAnsi="Times New Roman"/>
          <w:sz w:val="24"/>
          <w:szCs w:val="24"/>
          <w:lang w:val="sr-Cyrl-CS"/>
        </w:rPr>
        <w:t>.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F2592" w:rsidRPr="004C5AAB" w:rsidRDefault="002F2592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Министарство ће, по доношењу одлука о избору банака </w:t>
      </w:r>
      <w:r w:rsidR="00F7763A" w:rsidRPr="004C5AAB">
        <w:rPr>
          <w:rFonts w:ascii="Times New Roman" w:hAnsi="Times New Roman"/>
          <w:sz w:val="24"/>
          <w:szCs w:val="24"/>
          <w:lang w:val="sr-Cyrl-CS"/>
        </w:rPr>
        <w:t xml:space="preserve">и лизинг компанија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за учешће у реализацији Програма, потписати тројни уговор о његовој реализацији са </w:t>
      </w:r>
      <w:r w:rsidR="000665A0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Развојном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агенцијом и сваком од изабраних банака</w:t>
      </w:r>
      <w:r w:rsidR="00F7763A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82B1F" w:rsidRPr="004C5AAB">
        <w:rPr>
          <w:rFonts w:ascii="Times New Roman" w:hAnsi="Times New Roman"/>
          <w:sz w:val="24"/>
          <w:szCs w:val="24"/>
          <w:lang w:val="sr-Cyrl-CS"/>
        </w:rPr>
        <w:t>односно</w:t>
      </w:r>
      <w:r w:rsidR="00F7763A" w:rsidRPr="004C5AAB">
        <w:rPr>
          <w:rFonts w:ascii="Times New Roman" w:hAnsi="Times New Roman"/>
          <w:sz w:val="24"/>
          <w:szCs w:val="24"/>
          <w:lang w:val="sr-Cyrl-CS"/>
        </w:rPr>
        <w:t xml:space="preserve"> лизинг компанија</w:t>
      </w:r>
      <w:r w:rsidRPr="004C5AAB">
        <w:rPr>
          <w:rFonts w:ascii="Times New Roman" w:hAnsi="Times New Roman"/>
          <w:sz w:val="24"/>
          <w:szCs w:val="24"/>
          <w:lang w:val="sr-Cyrl-CS"/>
        </w:rPr>
        <w:t>. Уговорима ће на банке</w:t>
      </w:r>
      <w:r w:rsidR="00F7763A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бити пренета обавеза прикупљања и обраде захтева привредних субјеката за доделу бесповратних средстава, наменске контроле и редовног извештавања Министарства и  </w:t>
      </w:r>
      <w:r w:rsidR="000665A0" w:rsidRPr="004C5AAB">
        <w:rPr>
          <w:rFonts w:ascii="Times New Roman" w:hAnsi="Times New Roman"/>
          <w:sz w:val="24"/>
          <w:szCs w:val="24"/>
          <w:lang w:val="sr-Cyrl-CS"/>
        </w:rPr>
        <w:t xml:space="preserve">Развојне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агенције о реализацији Програма, као и о евентуалним неправилностима и злоупотребама.  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Министарство ће, по </w:t>
      </w:r>
      <w:r w:rsidR="00035AC6" w:rsidRPr="004C5AAB">
        <w:rPr>
          <w:rFonts w:ascii="Times New Roman" w:hAnsi="Times New Roman"/>
          <w:sz w:val="24"/>
          <w:szCs w:val="24"/>
          <w:lang w:val="sr-Cyrl-CS"/>
        </w:rPr>
        <w:t>закључењу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уговора са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Развојном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агенцијом и банкама</w:t>
      </w:r>
      <w:r w:rsidR="00F7763A" w:rsidRPr="004C5AAB">
        <w:rPr>
          <w:rFonts w:ascii="Times New Roman" w:hAnsi="Times New Roman"/>
          <w:sz w:val="24"/>
          <w:szCs w:val="24"/>
          <w:lang w:val="sr-Cyrl-CS"/>
        </w:rPr>
        <w:t xml:space="preserve"> и лизинг компанијама</w:t>
      </w:r>
      <w:r w:rsidR="001105B1" w:rsidRPr="004C5AAB">
        <w:rPr>
          <w:rFonts w:ascii="Times New Roman" w:hAnsi="Times New Roman"/>
          <w:sz w:val="24"/>
          <w:szCs w:val="24"/>
          <w:lang w:val="sr-Cyrl-CS"/>
        </w:rPr>
        <w:t>, пренети целокупна средст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ва за реализацију овог програма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Развојној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агенцији на подрачун за посебне намене</w:t>
      </w:r>
      <w:r w:rsidR="001105B1" w:rsidRPr="004C5AAB">
        <w:rPr>
          <w:rFonts w:ascii="Times New Roman" w:hAnsi="Times New Roman"/>
          <w:sz w:val="24"/>
          <w:szCs w:val="24"/>
          <w:lang w:val="sr-Cyrl-CS"/>
        </w:rPr>
        <w:t>,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013C1" w:rsidRPr="004C5AAB">
        <w:rPr>
          <w:rFonts w:ascii="Times New Roman" w:hAnsi="Times New Roman"/>
          <w:sz w:val="24"/>
          <w:szCs w:val="24"/>
          <w:lang w:val="sr-Cyrl-CS"/>
        </w:rPr>
        <w:t xml:space="preserve">код  Управе за трезор,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у складу са уговором о реализацији Програма. </w:t>
      </w:r>
    </w:p>
    <w:p w:rsidR="004C5AAB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2592" w:rsidRPr="004C5AAB" w:rsidRDefault="004C5AAB" w:rsidP="004C5AAB">
      <w:pPr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7.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ПРАЋЕЊЕ РЕАЛИЗАЦИЈЕ ПРОГРАМА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Надзор и контролу </w:t>
      </w:r>
      <w:r w:rsidR="003362AB" w:rsidRPr="004C5AAB">
        <w:rPr>
          <w:rFonts w:ascii="Times New Roman" w:hAnsi="Times New Roman"/>
          <w:sz w:val="24"/>
          <w:szCs w:val="24"/>
          <w:lang w:val="sr-Cyrl-CS"/>
        </w:rPr>
        <w:t xml:space="preserve">наменског </w:t>
      </w:r>
      <w:r w:rsidRPr="004C5AAB">
        <w:rPr>
          <w:rFonts w:ascii="Times New Roman" w:hAnsi="Times New Roman"/>
          <w:sz w:val="24"/>
          <w:szCs w:val="24"/>
          <w:lang w:val="sr-Cyrl-CS"/>
        </w:rPr>
        <w:t>коришћења средстава врше банке</w:t>
      </w:r>
      <w:r w:rsidR="00367CBB" w:rsidRPr="004C5AAB">
        <w:rPr>
          <w:rFonts w:ascii="Times New Roman" w:hAnsi="Times New Roman"/>
          <w:sz w:val="24"/>
          <w:szCs w:val="24"/>
          <w:lang w:val="sr-Cyrl-CS"/>
        </w:rPr>
        <w:t xml:space="preserve"> или лизинг компаније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 и 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Развојна </w:t>
      </w:r>
      <w:r w:rsidRPr="004C5AAB">
        <w:rPr>
          <w:rFonts w:ascii="Times New Roman" w:hAnsi="Times New Roman"/>
          <w:sz w:val="24"/>
          <w:szCs w:val="24"/>
          <w:lang w:val="sr-Cyrl-CS"/>
        </w:rPr>
        <w:t>агенција у сарадњи са Министарством.</w:t>
      </w:r>
      <w:r w:rsidR="00746329" w:rsidRPr="004C5A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2592" w:rsidRPr="004C5AAB" w:rsidRDefault="002F2592" w:rsidP="002F25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ab/>
        <w:t xml:space="preserve">Корисник средстава дужан је да Министарству, </w:t>
      </w:r>
      <w:r w:rsidR="00460AFC" w:rsidRPr="004C5AAB">
        <w:rPr>
          <w:rFonts w:ascii="Times New Roman" w:hAnsi="Times New Roman"/>
          <w:sz w:val="24"/>
          <w:szCs w:val="24"/>
          <w:lang w:val="sr-Cyrl-CS"/>
        </w:rPr>
        <w:t xml:space="preserve">Развојној </w:t>
      </w:r>
      <w:r w:rsidRPr="004C5AAB">
        <w:rPr>
          <w:rFonts w:ascii="Times New Roman" w:hAnsi="Times New Roman"/>
          <w:sz w:val="24"/>
          <w:szCs w:val="24"/>
          <w:lang w:val="sr-Cyrl-CS"/>
        </w:rPr>
        <w:t xml:space="preserve">агенцији и Комисији за контролу државне помоћи, у циљу праћења коришћења средстава,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документацију. </w:t>
      </w:r>
    </w:p>
    <w:p w:rsidR="00106D00" w:rsidRPr="004C5AAB" w:rsidRDefault="000665A0" w:rsidP="003F71B3">
      <w:pPr>
        <w:spacing w:after="0" w:line="240" w:lineRule="auto"/>
        <w:ind w:firstLine="720"/>
        <w:jc w:val="both"/>
        <w:rPr>
          <w:sz w:val="24"/>
          <w:szCs w:val="24"/>
          <w:lang w:val="sr-Cyrl-CS"/>
        </w:rPr>
      </w:pPr>
      <w:r w:rsidRPr="004C5AAB">
        <w:rPr>
          <w:rFonts w:ascii="Times New Roman" w:hAnsi="Times New Roman"/>
          <w:sz w:val="24"/>
          <w:szCs w:val="24"/>
          <w:lang w:val="sr-Cyrl-CS"/>
        </w:rPr>
        <w:t xml:space="preserve">Развојна 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агенција ће по завршетку свих активности, а најкасније до 31. јануара 201</w:t>
      </w:r>
      <w:r w:rsidR="0075237C" w:rsidRPr="004C5AAB">
        <w:rPr>
          <w:rFonts w:ascii="Times New Roman" w:hAnsi="Times New Roman"/>
          <w:sz w:val="24"/>
          <w:szCs w:val="24"/>
          <w:lang w:val="sr-Cyrl-CS"/>
        </w:rPr>
        <w:t>7</w:t>
      </w:r>
      <w:r w:rsidR="002F2592" w:rsidRPr="004C5AAB">
        <w:rPr>
          <w:rFonts w:ascii="Times New Roman" w:hAnsi="Times New Roman"/>
          <w:sz w:val="24"/>
          <w:szCs w:val="24"/>
          <w:lang w:val="sr-Cyrl-CS"/>
        </w:rPr>
        <w:t>. године, доставити извештај о реализацији Програма Министарству, које ће га ради информисања доставити Влади.</w:t>
      </w:r>
      <w:bookmarkStart w:id="0" w:name="_GoBack"/>
      <w:bookmarkEnd w:id="0"/>
      <w:r w:rsidR="00722C67" w:rsidRPr="004C5AAB">
        <w:rPr>
          <w:sz w:val="24"/>
          <w:szCs w:val="24"/>
          <w:lang w:val="sr-Cyrl-CS"/>
        </w:rPr>
        <w:t xml:space="preserve"> </w:t>
      </w:r>
    </w:p>
    <w:sectPr w:rsidR="00106D00" w:rsidRPr="004C5AAB" w:rsidSect="00AF61A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1B9" w:rsidRDefault="00E611B9" w:rsidP="0018198C">
      <w:pPr>
        <w:spacing w:after="0" w:line="240" w:lineRule="auto"/>
      </w:pPr>
      <w:r>
        <w:separator/>
      </w:r>
    </w:p>
  </w:endnote>
  <w:endnote w:type="continuationSeparator" w:id="0">
    <w:p w:rsidR="00E611B9" w:rsidRDefault="00E611B9" w:rsidP="0018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444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1A4" w:rsidRDefault="00AF61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C6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8295C" w:rsidRDefault="00A829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1B9" w:rsidRDefault="00E611B9" w:rsidP="0018198C">
      <w:pPr>
        <w:spacing w:after="0" w:line="240" w:lineRule="auto"/>
      </w:pPr>
      <w:r>
        <w:separator/>
      </w:r>
    </w:p>
  </w:footnote>
  <w:footnote w:type="continuationSeparator" w:id="0">
    <w:p w:rsidR="00E611B9" w:rsidRDefault="00E611B9" w:rsidP="00181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5F7"/>
    <w:multiLevelType w:val="hybridMultilevel"/>
    <w:tmpl w:val="42D676CE"/>
    <w:lvl w:ilvl="0" w:tplc="04090011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75859A7"/>
    <w:multiLevelType w:val="hybridMultilevel"/>
    <w:tmpl w:val="1EB45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3B5B"/>
    <w:multiLevelType w:val="hybridMultilevel"/>
    <w:tmpl w:val="A1A47AD8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CA2FB6"/>
    <w:multiLevelType w:val="hybridMultilevel"/>
    <w:tmpl w:val="2E5A80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0170B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E66BB7"/>
    <w:multiLevelType w:val="hybridMultilevel"/>
    <w:tmpl w:val="445E20C4"/>
    <w:lvl w:ilvl="0" w:tplc="23B079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A0731"/>
    <w:multiLevelType w:val="hybridMultilevel"/>
    <w:tmpl w:val="4BE2970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8917C8"/>
    <w:multiLevelType w:val="hybridMultilevel"/>
    <w:tmpl w:val="0846B6E6"/>
    <w:lvl w:ilvl="0" w:tplc="B4C43992">
      <w:start w:val="1"/>
      <w:numFmt w:val="lowerLetter"/>
      <w:lvlText w:val="%1.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966A0"/>
    <w:multiLevelType w:val="multilevel"/>
    <w:tmpl w:val="062C478E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0" w15:restartNumberingAfterBreak="0">
    <w:nsid w:val="2FAE6DD5"/>
    <w:multiLevelType w:val="multilevel"/>
    <w:tmpl w:val="8D94F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317637DD"/>
    <w:multiLevelType w:val="hybridMultilevel"/>
    <w:tmpl w:val="5B9A8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B76DEC"/>
    <w:multiLevelType w:val="multilevel"/>
    <w:tmpl w:val="6F7A19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4D0E6A"/>
    <w:multiLevelType w:val="hybridMultilevel"/>
    <w:tmpl w:val="2CC25A9C"/>
    <w:lvl w:ilvl="0" w:tplc="C54EEF68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8A3942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F7287"/>
    <w:multiLevelType w:val="hybridMultilevel"/>
    <w:tmpl w:val="240C6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1A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73247"/>
    <w:multiLevelType w:val="hybridMultilevel"/>
    <w:tmpl w:val="E0E08F2A"/>
    <w:lvl w:ilvl="0" w:tplc="241A0011">
      <w:start w:val="1"/>
      <w:numFmt w:val="decimal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D725BE6"/>
    <w:multiLevelType w:val="hybridMultilevel"/>
    <w:tmpl w:val="8AF2D946"/>
    <w:lvl w:ilvl="0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623D7"/>
    <w:multiLevelType w:val="hybridMultilevel"/>
    <w:tmpl w:val="7BF87702"/>
    <w:lvl w:ilvl="0" w:tplc="23B079C8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A87011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4223C"/>
    <w:multiLevelType w:val="hybridMultilevel"/>
    <w:tmpl w:val="C040DE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4C4399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C3716"/>
    <w:multiLevelType w:val="hybridMultilevel"/>
    <w:tmpl w:val="741CF2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A3328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80DB4"/>
    <w:multiLevelType w:val="hybridMultilevel"/>
    <w:tmpl w:val="CBFE5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9"/>
  </w:num>
  <w:num w:numId="5">
    <w:abstractNumId w:val="18"/>
  </w:num>
  <w:num w:numId="6">
    <w:abstractNumId w:val="13"/>
  </w:num>
  <w:num w:numId="7">
    <w:abstractNumId w:val="16"/>
  </w:num>
  <w:num w:numId="8">
    <w:abstractNumId w:val="14"/>
  </w:num>
  <w:num w:numId="9">
    <w:abstractNumId w:val="12"/>
  </w:num>
  <w:num w:numId="10">
    <w:abstractNumId w:val="21"/>
  </w:num>
  <w:num w:numId="11">
    <w:abstractNumId w:val="2"/>
  </w:num>
  <w:num w:numId="12">
    <w:abstractNumId w:val="7"/>
  </w:num>
  <w:num w:numId="13">
    <w:abstractNumId w:val="19"/>
  </w:num>
  <w:num w:numId="14">
    <w:abstractNumId w:val="1"/>
  </w:num>
  <w:num w:numId="15">
    <w:abstractNumId w:val="11"/>
  </w:num>
  <w:num w:numId="16">
    <w:abstractNumId w:val="3"/>
  </w:num>
  <w:num w:numId="17">
    <w:abstractNumId w:val="5"/>
  </w:num>
  <w:num w:numId="18">
    <w:abstractNumId w:val="10"/>
  </w:num>
  <w:num w:numId="19">
    <w:abstractNumId w:val="2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4"/>
  </w:num>
  <w:num w:numId="24">
    <w:abstractNumId w:val="2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8A"/>
    <w:rsid w:val="00006213"/>
    <w:rsid w:val="000072BC"/>
    <w:rsid w:val="000118F8"/>
    <w:rsid w:val="00022F83"/>
    <w:rsid w:val="0002787A"/>
    <w:rsid w:val="00027B00"/>
    <w:rsid w:val="00027BC6"/>
    <w:rsid w:val="00033F77"/>
    <w:rsid w:val="00035AC6"/>
    <w:rsid w:val="0004361F"/>
    <w:rsid w:val="00044D28"/>
    <w:rsid w:val="00044E7B"/>
    <w:rsid w:val="0005690E"/>
    <w:rsid w:val="00065120"/>
    <w:rsid w:val="00065150"/>
    <w:rsid w:val="000665A0"/>
    <w:rsid w:val="0006794E"/>
    <w:rsid w:val="00082B1F"/>
    <w:rsid w:val="00085350"/>
    <w:rsid w:val="00085F95"/>
    <w:rsid w:val="0009324F"/>
    <w:rsid w:val="000973B8"/>
    <w:rsid w:val="00097D93"/>
    <w:rsid w:val="000A29C5"/>
    <w:rsid w:val="000A5832"/>
    <w:rsid w:val="000B04B5"/>
    <w:rsid w:val="000B08A7"/>
    <w:rsid w:val="000C09DC"/>
    <w:rsid w:val="000C2369"/>
    <w:rsid w:val="000C29F1"/>
    <w:rsid w:val="000C7DA5"/>
    <w:rsid w:val="000D359E"/>
    <w:rsid w:val="000D52CF"/>
    <w:rsid w:val="000E228E"/>
    <w:rsid w:val="000F304D"/>
    <w:rsid w:val="00100210"/>
    <w:rsid w:val="00104C4F"/>
    <w:rsid w:val="00104F45"/>
    <w:rsid w:val="00106D00"/>
    <w:rsid w:val="001105B1"/>
    <w:rsid w:val="001111F9"/>
    <w:rsid w:val="00112868"/>
    <w:rsid w:val="00112E19"/>
    <w:rsid w:val="001177DE"/>
    <w:rsid w:val="00126F51"/>
    <w:rsid w:val="001433BF"/>
    <w:rsid w:val="0015384F"/>
    <w:rsid w:val="00153B2B"/>
    <w:rsid w:val="0015595E"/>
    <w:rsid w:val="001734FF"/>
    <w:rsid w:val="0018198C"/>
    <w:rsid w:val="00183A29"/>
    <w:rsid w:val="001955D3"/>
    <w:rsid w:val="001968FD"/>
    <w:rsid w:val="001974F6"/>
    <w:rsid w:val="001B0B35"/>
    <w:rsid w:val="001B0E27"/>
    <w:rsid w:val="001D5913"/>
    <w:rsid w:val="001E6D5D"/>
    <w:rsid w:val="001E71FF"/>
    <w:rsid w:val="0021485E"/>
    <w:rsid w:val="002171BF"/>
    <w:rsid w:val="002327DF"/>
    <w:rsid w:val="00233E88"/>
    <w:rsid w:val="00237CD2"/>
    <w:rsid w:val="00237CFC"/>
    <w:rsid w:val="0024064D"/>
    <w:rsid w:val="0024224B"/>
    <w:rsid w:val="00246DA5"/>
    <w:rsid w:val="00247C47"/>
    <w:rsid w:val="00256F04"/>
    <w:rsid w:val="00265C2A"/>
    <w:rsid w:val="00274B5F"/>
    <w:rsid w:val="00277605"/>
    <w:rsid w:val="00277881"/>
    <w:rsid w:val="0029172B"/>
    <w:rsid w:val="00296533"/>
    <w:rsid w:val="002A0660"/>
    <w:rsid w:val="002A726C"/>
    <w:rsid w:val="002B4058"/>
    <w:rsid w:val="002C2B2C"/>
    <w:rsid w:val="002C59AA"/>
    <w:rsid w:val="002C7E23"/>
    <w:rsid w:val="002D13A9"/>
    <w:rsid w:val="002D1D2E"/>
    <w:rsid w:val="002D2060"/>
    <w:rsid w:val="002D6690"/>
    <w:rsid w:val="002F2592"/>
    <w:rsid w:val="00302E59"/>
    <w:rsid w:val="00305B15"/>
    <w:rsid w:val="003116F3"/>
    <w:rsid w:val="003362AB"/>
    <w:rsid w:val="00350B38"/>
    <w:rsid w:val="00353DF0"/>
    <w:rsid w:val="00363D76"/>
    <w:rsid w:val="00367CBB"/>
    <w:rsid w:val="0037305C"/>
    <w:rsid w:val="003737F8"/>
    <w:rsid w:val="00382590"/>
    <w:rsid w:val="003879EE"/>
    <w:rsid w:val="00394A50"/>
    <w:rsid w:val="003A3D96"/>
    <w:rsid w:val="003A731E"/>
    <w:rsid w:val="003B1EA1"/>
    <w:rsid w:val="003B1F10"/>
    <w:rsid w:val="003B42C1"/>
    <w:rsid w:val="003C0299"/>
    <w:rsid w:val="003C0D9C"/>
    <w:rsid w:val="003C1077"/>
    <w:rsid w:val="003C3DBB"/>
    <w:rsid w:val="003D0672"/>
    <w:rsid w:val="003D3728"/>
    <w:rsid w:val="003E07D6"/>
    <w:rsid w:val="003E240E"/>
    <w:rsid w:val="003E7C0B"/>
    <w:rsid w:val="003F71B3"/>
    <w:rsid w:val="0041407F"/>
    <w:rsid w:val="004220B6"/>
    <w:rsid w:val="00424519"/>
    <w:rsid w:val="004334EC"/>
    <w:rsid w:val="00434256"/>
    <w:rsid w:val="00441E53"/>
    <w:rsid w:val="00452A7F"/>
    <w:rsid w:val="00452F16"/>
    <w:rsid w:val="0045354A"/>
    <w:rsid w:val="00460AFC"/>
    <w:rsid w:val="004641C1"/>
    <w:rsid w:val="0046728A"/>
    <w:rsid w:val="00475045"/>
    <w:rsid w:val="0047731B"/>
    <w:rsid w:val="00491F1E"/>
    <w:rsid w:val="0049540D"/>
    <w:rsid w:val="004A20AD"/>
    <w:rsid w:val="004A24AF"/>
    <w:rsid w:val="004B3AFA"/>
    <w:rsid w:val="004C058C"/>
    <w:rsid w:val="004C5AAB"/>
    <w:rsid w:val="004C6392"/>
    <w:rsid w:val="004D42C8"/>
    <w:rsid w:val="004D5A7D"/>
    <w:rsid w:val="004D63C2"/>
    <w:rsid w:val="004F5693"/>
    <w:rsid w:val="005032F0"/>
    <w:rsid w:val="0050342B"/>
    <w:rsid w:val="0051059F"/>
    <w:rsid w:val="0051159A"/>
    <w:rsid w:val="00524434"/>
    <w:rsid w:val="00535E48"/>
    <w:rsid w:val="00540B00"/>
    <w:rsid w:val="00545E0C"/>
    <w:rsid w:val="00546706"/>
    <w:rsid w:val="00551113"/>
    <w:rsid w:val="0057423F"/>
    <w:rsid w:val="005840C0"/>
    <w:rsid w:val="00585085"/>
    <w:rsid w:val="00595BF5"/>
    <w:rsid w:val="00597CF0"/>
    <w:rsid w:val="005A2F48"/>
    <w:rsid w:val="005A69BB"/>
    <w:rsid w:val="005A74F1"/>
    <w:rsid w:val="005B2E5A"/>
    <w:rsid w:val="005C47F6"/>
    <w:rsid w:val="005C5B36"/>
    <w:rsid w:val="005C5E29"/>
    <w:rsid w:val="005C6D5A"/>
    <w:rsid w:val="005D0793"/>
    <w:rsid w:val="005D0D09"/>
    <w:rsid w:val="005D58AE"/>
    <w:rsid w:val="005E050F"/>
    <w:rsid w:val="005E1C4F"/>
    <w:rsid w:val="005E2CBA"/>
    <w:rsid w:val="005E6BE6"/>
    <w:rsid w:val="005F3532"/>
    <w:rsid w:val="0062599B"/>
    <w:rsid w:val="00625BD7"/>
    <w:rsid w:val="006412F9"/>
    <w:rsid w:val="00670502"/>
    <w:rsid w:val="00672C5C"/>
    <w:rsid w:val="006914B4"/>
    <w:rsid w:val="006921E4"/>
    <w:rsid w:val="00695761"/>
    <w:rsid w:val="0069663F"/>
    <w:rsid w:val="006A12FD"/>
    <w:rsid w:val="006A2E4F"/>
    <w:rsid w:val="006A40AE"/>
    <w:rsid w:val="006B1DED"/>
    <w:rsid w:val="006B4B79"/>
    <w:rsid w:val="006B59CF"/>
    <w:rsid w:val="006C21F0"/>
    <w:rsid w:val="006D2A70"/>
    <w:rsid w:val="006D6107"/>
    <w:rsid w:val="006E4C11"/>
    <w:rsid w:val="006F0DAE"/>
    <w:rsid w:val="006F7B5F"/>
    <w:rsid w:val="0070124C"/>
    <w:rsid w:val="00707C9A"/>
    <w:rsid w:val="007153F1"/>
    <w:rsid w:val="0071561A"/>
    <w:rsid w:val="0071777F"/>
    <w:rsid w:val="00722C67"/>
    <w:rsid w:val="00730073"/>
    <w:rsid w:val="007460C5"/>
    <w:rsid w:val="00746329"/>
    <w:rsid w:val="00750F64"/>
    <w:rsid w:val="0075237C"/>
    <w:rsid w:val="00760AE0"/>
    <w:rsid w:val="00762179"/>
    <w:rsid w:val="0076363F"/>
    <w:rsid w:val="007658D8"/>
    <w:rsid w:val="007734FB"/>
    <w:rsid w:val="00774B11"/>
    <w:rsid w:val="007830E0"/>
    <w:rsid w:val="00795E65"/>
    <w:rsid w:val="00797028"/>
    <w:rsid w:val="007C1908"/>
    <w:rsid w:val="007C1FEF"/>
    <w:rsid w:val="007D491E"/>
    <w:rsid w:val="007E4CA7"/>
    <w:rsid w:val="007E51BF"/>
    <w:rsid w:val="007F1B32"/>
    <w:rsid w:val="007F1EEE"/>
    <w:rsid w:val="007F5B3D"/>
    <w:rsid w:val="00802896"/>
    <w:rsid w:val="008115B5"/>
    <w:rsid w:val="00820D5D"/>
    <w:rsid w:val="0082583C"/>
    <w:rsid w:val="0082660C"/>
    <w:rsid w:val="00826B88"/>
    <w:rsid w:val="00831A97"/>
    <w:rsid w:val="00833EB8"/>
    <w:rsid w:val="00836A9F"/>
    <w:rsid w:val="00836C21"/>
    <w:rsid w:val="0084725A"/>
    <w:rsid w:val="0085306E"/>
    <w:rsid w:val="00864840"/>
    <w:rsid w:val="00864AA9"/>
    <w:rsid w:val="008657D8"/>
    <w:rsid w:val="00866461"/>
    <w:rsid w:val="0087025C"/>
    <w:rsid w:val="00872CF0"/>
    <w:rsid w:val="0088359A"/>
    <w:rsid w:val="008A57DF"/>
    <w:rsid w:val="008B4379"/>
    <w:rsid w:val="008C5051"/>
    <w:rsid w:val="008C5640"/>
    <w:rsid w:val="008C680F"/>
    <w:rsid w:val="008E054A"/>
    <w:rsid w:val="008E2EEA"/>
    <w:rsid w:val="009013C1"/>
    <w:rsid w:val="00902B24"/>
    <w:rsid w:val="00902D4A"/>
    <w:rsid w:val="00902F16"/>
    <w:rsid w:val="009047D1"/>
    <w:rsid w:val="00905E14"/>
    <w:rsid w:val="0091581F"/>
    <w:rsid w:val="00917012"/>
    <w:rsid w:val="00917CBD"/>
    <w:rsid w:val="009202C0"/>
    <w:rsid w:val="00920E72"/>
    <w:rsid w:val="0092327D"/>
    <w:rsid w:val="00934810"/>
    <w:rsid w:val="00934D4E"/>
    <w:rsid w:val="00940578"/>
    <w:rsid w:val="00945C9C"/>
    <w:rsid w:val="00947552"/>
    <w:rsid w:val="00951066"/>
    <w:rsid w:val="009570B7"/>
    <w:rsid w:val="00970D82"/>
    <w:rsid w:val="009716DA"/>
    <w:rsid w:val="00971EA8"/>
    <w:rsid w:val="0097364D"/>
    <w:rsid w:val="009757FF"/>
    <w:rsid w:val="00975A4F"/>
    <w:rsid w:val="009879A4"/>
    <w:rsid w:val="009879D4"/>
    <w:rsid w:val="009A3643"/>
    <w:rsid w:val="009A4647"/>
    <w:rsid w:val="009B58E3"/>
    <w:rsid w:val="009C0109"/>
    <w:rsid w:val="009C6A82"/>
    <w:rsid w:val="009D324B"/>
    <w:rsid w:val="009E0B51"/>
    <w:rsid w:val="009E10E6"/>
    <w:rsid w:val="009E1608"/>
    <w:rsid w:val="009F3664"/>
    <w:rsid w:val="009F515B"/>
    <w:rsid w:val="00A10A59"/>
    <w:rsid w:val="00A113AC"/>
    <w:rsid w:val="00A11DB9"/>
    <w:rsid w:val="00A14BA3"/>
    <w:rsid w:val="00A27F8A"/>
    <w:rsid w:val="00A3526E"/>
    <w:rsid w:val="00A4088B"/>
    <w:rsid w:val="00A56468"/>
    <w:rsid w:val="00A56807"/>
    <w:rsid w:val="00A6078C"/>
    <w:rsid w:val="00A61386"/>
    <w:rsid w:val="00A6449F"/>
    <w:rsid w:val="00A6497C"/>
    <w:rsid w:val="00A653FF"/>
    <w:rsid w:val="00A65B8C"/>
    <w:rsid w:val="00A67F18"/>
    <w:rsid w:val="00A74B90"/>
    <w:rsid w:val="00A8295C"/>
    <w:rsid w:val="00A83736"/>
    <w:rsid w:val="00A913FB"/>
    <w:rsid w:val="00A94D05"/>
    <w:rsid w:val="00A95AEF"/>
    <w:rsid w:val="00AB0730"/>
    <w:rsid w:val="00AB16AC"/>
    <w:rsid w:val="00AB3BCC"/>
    <w:rsid w:val="00AD1D24"/>
    <w:rsid w:val="00AE7E65"/>
    <w:rsid w:val="00AF33B2"/>
    <w:rsid w:val="00AF61A4"/>
    <w:rsid w:val="00B020C2"/>
    <w:rsid w:val="00B10366"/>
    <w:rsid w:val="00B10533"/>
    <w:rsid w:val="00B27348"/>
    <w:rsid w:val="00B42BF4"/>
    <w:rsid w:val="00B643BF"/>
    <w:rsid w:val="00B661B8"/>
    <w:rsid w:val="00B66E67"/>
    <w:rsid w:val="00B70E4A"/>
    <w:rsid w:val="00B71749"/>
    <w:rsid w:val="00B759D2"/>
    <w:rsid w:val="00B7778C"/>
    <w:rsid w:val="00B82D51"/>
    <w:rsid w:val="00B94119"/>
    <w:rsid w:val="00B948F3"/>
    <w:rsid w:val="00B96B13"/>
    <w:rsid w:val="00BB0A83"/>
    <w:rsid w:val="00BB329E"/>
    <w:rsid w:val="00BB38C1"/>
    <w:rsid w:val="00BB4D4A"/>
    <w:rsid w:val="00BB67C9"/>
    <w:rsid w:val="00BC5424"/>
    <w:rsid w:val="00BD5D8F"/>
    <w:rsid w:val="00BE341A"/>
    <w:rsid w:val="00BE3DC8"/>
    <w:rsid w:val="00C06621"/>
    <w:rsid w:val="00C10C5D"/>
    <w:rsid w:val="00C14591"/>
    <w:rsid w:val="00C20298"/>
    <w:rsid w:val="00C21B05"/>
    <w:rsid w:val="00C35F3F"/>
    <w:rsid w:val="00C37391"/>
    <w:rsid w:val="00C37BC3"/>
    <w:rsid w:val="00C40574"/>
    <w:rsid w:val="00C558CB"/>
    <w:rsid w:val="00C67AC8"/>
    <w:rsid w:val="00C806AB"/>
    <w:rsid w:val="00C81376"/>
    <w:rsid w:val="00C8372E"/>
    <w:rsid w:val="00C913B6"/>
    <w:rsid w:val="00CA0053"/>
    <w:rsid w:val="00CA458E"/>
    <w:rsid w:val="00CA5D92"/>
    <w:rsid w:val="00CB1FF6"/>
    <w:rsid w:val="00CC31C0"/>
    <w:rsid w:val="00CC459C"/>
    <w:rsid w:val="00CD4591"/>
    <w:rsid w:val="00CF5429"/>
    <w:rsid w:val="00D06082"/>
    <w:rsid w:val="00D062C0"/>
    <w:rsid w:val="00D0778A"/>
    <w:rsid w:val="00D203F7"/>
    <w:rsid w:val="00D32958"/>
    <w:rsid w:val="00D40193"/>
    <w:rsid w:val="00D45A64"/>
    <w:rsid w:val="00D56BCA"/>
    <w:rsid w:val="00D641E9"/>
    <w:rsid w:val="00D6437D"/>
    <w:rsid w:val="00D653CF"/>
    <w:rsid w:val="00D72D57"/>
    <w:rsid w:val="00D744C1"/>
    <w:rsid w:val="00D74E69"/>
    <w:rsid w:val="00D7762A"/>
    <w:rsid w:val="00D81C9E"/>
    <w:rsid w:val="00D84B38"/>
    <w:rsid w:val="00D955A3"/>
    <w:rsid w:val="00D97A34"/>
    <w:rsid w:val="00DA36FE"/>
    <w:rsid w:val="00DB6F6A"/>
    <w:rsid w:val="00DC0E2E"/>
    <w:rsid w:val="00DC6FC3"/>
    <w:rsid w:val="00DD149A"/>
    <w:rsid w:val="00DE0365"/>
    <w:rsid w:val="00DE3BB2"/>
    <w:rsid w:val="00DE4DB7"/>
    <w:rsid w:val="00DF6A66"/>
    <w:rsid w:val="00E03E69"/>
    <w:rsid w:val="00E10287"/>
    <w:rsid w:val="00E10605"/>
    <w:rsid w:val="00E13030"/>
    <w:rsid w:val="00E21D7E"/>
    <w:rsid w:val="00E46D1A"/>
    <w:rsid w:val="00E50A9D"/>
    <w:rsid w:val="00E5465A"/>
    <w:rsid w:val="00E6092B"/>
    <w:rsid w:val="00E611B9"/>
    <w:rsid w:val="00E64AA1"/>
    <w:rsid w:val="00E66BBA"/>
    <w:rsid w:val="00E719D8"/>
    <w:rsid w:val="00E86035"/>
    <w:rsid w:val="00E87AC6"/>
    <w:rsid w:val="00EA0B33"/>
    <w:rsid w:val="00EA2C3B"/>
    <w:rsid w:val="00EB3682"/>
    <w:rsid w:val="00EB56F1"/>
    <w:rsid w:val="00EC549F"/>
    <w:rsid w:val="00ED0B67"/>
    <w:rsid w:val="00ED33F7"/>
    <w:rsid w:val="00ED5614"/>
    <w:rsid w:val="00ED6375"/>
    <w:rsid w:val="00ED795C"/>
    <w:rsid w:val="00EE50CD"/>
    <w:rsid w:val="00EE6E2C"/>
    <w:rsid w:val="00EF0653"/>
    <w:rsid w:val="00EF07ED"/>
    <w:rsid w:val="00EF1736"/>
    <w:rsid w:val="00EF5372"/>
    <w:rsid w:val="00F007A2"/>
    <w:rsid w:val="00F029AB"/>
    <w:rsid w:val="00F12587"/>
    <w:rsid w:val="00F156D8"/>
    <w:rsid w:val="00F15960"/>
    <w:rsid w:val="00F165FF"/>
    <w:rsid w:val="00F33CA2"/>
    <w:rsid w:val="00F35220"/>
    <w:rsid w:val="00F36270"/>
    <w:rsid w:val="00F37F41"/>
    <w:rsid w:val="00F44828"/>
    <w:rsid w:val="00F44DCA"/>
    <w:rsid w:val="00F450DF"/>
    <w:rsid w:val="00F46C7F"/>
    <w:rsid w:val="00F51DAF"/>
    <w:rsid w:val="00F57623"/>
    <w:rsid w:val="00F60C9A"/>
    <w:rsid w:val="00F610B8"/>
    <w:rsid w:val="00F623F8"/>
    <w:rsid w:val="00F7763A"/>
    <w:rsid w:val="00F8041A"/>
    <w:rsid w:val="00F86151"/>
    <w:rsid w:val="00F8799B"/>
    <w:rsid w:val="00FA3BD9"/>
    <w:rsid w:val="00FA3CFD"/>
    <w:rsid w:val="00FA5B03"/>
    <w:rsid w:val="00FA791C"/>
    <w:rsid w:val="00FA7BDD"/>
    <w:rsid w:val="00FB2741"/>
    <w:rsid w:val="00FB7D36"/>
    <w:rsid w:val="00FC3BE5"/>
    <w:rsid w:val="00FC6977"/>
    <w:rsid w:val="00FD0A84"/>
    <w:rsid w:val="00FD5320"/>
    <w:rsid w:val="00FD610B"/>
    <w:rsid w:val="00FE2CDE"/>
    <w:rsid w:val="00FE3FCB"/>
    <w:rsid w:val="00FE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E18D45-D911-482F-87E3-B3331408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41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F2592"/>
  </w:style>
  <w:style w:type="paragraph" w:styleId="ListParagraph">
    <w:name w:val="List Paragraph"/>
    <w:basedOn w:val="Normal"/>
    <w:uiPriority w:val="34"/>
    <w:qFormat/>
    <w:rsid w:val="002F2592"/>
    <w:pPr>
      <w:ind w:left="720"/>
      <w:contextualSpacing/>
    </w:pPr>
  </w:style>
  <w:style w:type="character" w:styleId="Hyperlink">
    <w:name w:val="Hyperlink"/>
    <w:uiPriority w:val="99"/>
    <w:unhideWhenUsed/>
    <w:rsid w:val="002F2592"/>
    <w:rPr>
      <w:color w:val="0000FF"/>
      <w:u w:val="single"/>
    </w:rPr>
  </w:style>
  <w:style w:type="paragraph" w:customStyle="1" w:styleId="Text1">
    <w:name w:val="Text 1"/>
    <w:basedOn w:val="Normal"/>
    <w:rsid w:val="002F2592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0"/>
      <w:lang w:val="sr-Latn-CS" w:eastAsia="en-US"/>
    </w:rPr>
  </w:style>
  <w:style w:type="character" w:styleId="CommentReference">
    <w:name w:val="annotation reference"/>
    <w:uiPriority w:val="99"/>
    <w:semiHidden/>
    <w:unhideWhenUsed/>
    <w:rsid w:val="00DC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0E2E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0E2E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E2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181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98C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198C"/>
    <w:rPr>
      <w:vertAlign w:val="superscript"/>
    </w:rPr>
  </w:style>
  <w:style w:type="paragraph" w:customStyle="1" w:styleId="rvps1">
    <w:name w:val="rvps1"/>
    <w:basedOn w:val="Normal"/>
    <w:rsid w:val="00106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106D00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06D00"/>
    <w:rPr>
      <w:rFonts w:ascii="Consolas" w:hAnsi="Consolas"/>
      <w:sz w:val="21"/>
      <w:szCs w:val="21"/>
      <w:lang w:val="en-GB"/>
    </w:rPr>
  </w:style>
  <w:style w:type="paragraph" w:customStyle="1" w:styleId="1tekst">
    <w:name w:val="1tekst"/>
    <w:basedOn w:val="Normal"/>
    <w:rsid w:val="00106D00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06D00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06D00"/>
    <w:rPr>
      <w:rFonts w:ascii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customStyle="1" w:styleId="stil1tekst">
    <w:name w:val="stil_1tekst"/>
    <w:basedOn w:val="Normal"/>
    <w:rsid w:val="0006794E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C5A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s.gov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ivreda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s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D294E-9FCF-4FE3-BDFE-33FB8350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3937</Words>
  <Characters>22445</Characters>
  <Application>Microsoft Office Word</Application>
  <DocSecurity>0</DocSecurity>
  <Lines>187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26330</CharactersWithSpaces>
  <SharedDoc>false</SharedDoc>
  <HLinks>
    <vt:vector size="30" baseType="variant">
      <vt:variant>
        <vt:i4>2818080</vt:i4>
      </vt:variant>
      <vt:variant>
        <vt:i4>12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9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  <vt:variant>
        <vt:i4>7798911</vt:i4>
      </vt:variant>
      <vt:variant>
        <vt:i4>6</vt:i4>
      </vt:variant>
      <vt:variant>
        <vt:i4>0</vt:i4>
      </vt:variant>
      <vt:variant>
        <vt:i4>5</vt:i4>
      </vt:variant>
      <vt:variant>
        <vt:lpwstr>http://www.preduzetnickiservis.rs/</vt:lpwstr>
      </vt:variant>
      <vt:variant>
        <vt:lpwstr/>
      </vt:variant>
      <vt:variant>
        <vt:i4>2818080</vt:i4>
      </vt:variant>
      <vt:variant>
        <vt:i4>3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0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Bojan Grgic</cp:lastModifiedBy>
  <cp:revision>2</cp:revision>
  <cp:lastPrinted>2016-02-29T11:34:00Z</cp:lastPrinted>
  <dcterms:created xsi:type="dcterms:W3CDTF">2016-03-28T11:30:00Z</dcterms:created>
  <dcterms:modified xsi:type="dcterms:W3CDTF">2016-03-28T11:30:00Z</dcterms:modified>
</cp:coreProperties>
</file>