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7C" w:rsidRDefault="00C5217C">
      <w:pPr>
        <w:spacing w:after="0" w:line="240" w:lineRule="auto"/>
        <w:rPr>
          <w:rFonts w:ascii="Times New Roman" w:hAnsi="Times New Roman"/>
          <w:sz w:val="24"/>
          <w:szCs w:val="24"/>
          <w:u w:val="single"/>
        </w:rPr>
      </w:pPr>
    </w:p>
    <w:p w:rsidR="00C5217C" w:rsidRPr="00C5217C" w:rsidRDefault="00C5217C" w:rsidP="00C5217C">
      <w:pPr>
        <w:spacing w:after="0" w:line="240" w:lineRule="auto"/>
        <w:rPr>
          <w:rFonts w:ascii="Times New Roman" w:hAnsi="Times New Roman"/>
          <w:sz w:val="24"/>
          <w:szCs w:val="24"/>
          <w:u w:val="single"/>
        </w:rPr>
      </w:pPr>
    </w:p>
    <w:p w:rsidR="00C43DA1" w:rsidRDefault="00C43DA1" w:rsidP="004A5407">
      <w:pPr>
        <w:spacing w:after="0" w:line="240" w:lineRule="auto"/>
        <w:jc w:val="center"/>
        <w:rPr>
          <w:rFonts w:ascii="Times New Roman" w:hAnsi="Times New Roman"/>
          <w:sz w:val="24"/>
          <w:szCs w:val="24"/>
        </w:rPr>
      </w:pPr>
      <w:r>
        <w:rPr>
          <w:rFonts w:ascii="Times New Roman" w:hAnsi="Times New Roman"/>
          <w:sz w:val="24"/>
          <w:szCs w:val="24"/>
        </w:rPr>
        <w:t xml:space="preserve">ПРЕДЛОГ ЗАКОНА </w:t>
      </w:r>
    </w:p>
    <w:p w:rsidR="00C43DA1" w:rsidRPr="008432DB" w:rsidRDefault="00C43DA1" w:rsidP="00FA218B">
      <w:pPr>
        <w:spacing w:after="0" w:line="240" w:lineRule="auto"/>
        <w:jc w:val="center"/>
        <w:rPr>
          <w:rFonts w:ascii="Times New Roman" w:hAnsi="Times New Roman"/>
          <w:sz w:val="24"/>
          <w:szCs w:val="24"/>
        </w:rPr>
      </w:pPr>
      <w:r>
        <w:rPr>
          <w:rFonts w:ascii="Times New Roman" w:hAnsi="Times New Roman"/>
          <w:sz w:val="24"/>
          <w:szCs w:val="24"/>
        </w:rPr>
        <w:t xml:space="preserve">О </w:t>
      </w:r>
      <w:r w:rsidRPr="008432DB">
        <w:rPr>
          <w:rFonts w:ascii="Times New Roman" w:hAnsi="Times New Roman"/>
          <w:sz w:val="24"/>
          <w:szCs w:val="24"/>
        </w:rPr>
        <w:t>ДОПУНА</w:t>
      </w:r>
      <w:r>
        <w:rPr>
          <w:rFonts w:ascii="Times New Roman" w:hAnsi="Times New Roman"/>
          <w:sz w:val="24"/>
          <w:szCs w:val="24"/>
        </w:rPr>
        <w:t>МА</w:t>
      </w:r>
      <w:r w:rsidRPr="008432DB">
        <w:rPr>
          <w:rFonts w:ascii="Times New Roman" w:hAnsi="Times New Roman"/>
          <w:sz w:val="24"/>
          <w:szCs w:val="24"/>
        </w:rPr>
        <w:t xml:space="preserve"> ЗАКОНА О </w:t>
      </w:r>
      <w:r>
        <w:rPr>
          <w:rFonts w:ascii="Times New Roman" w:hAnsi="Times New Roman"/>
          <w:sz w:val="24"/>
          <w:szCs w:val="24"/>
        </w:rPr>
        <w:t>УТВРЂИВАЊУ ЈАВНОГ ИНТЕРЕСА И ПОСЕБНИМ ПОСТУПЦИМА ЕКСПРОПРИЈАЦИЈЕ И ИЗДАВАЊА ГРАЂЕВИНСКЕ ДОЗВОЛЕ РАДИ РЕАЛИЗАЦИЈЕ ПРОЈЕКТА „БЕОГРАД НА ВОДИ”</w:t>
      </w:r>
    </w:p>
    <w:p w:rsidR="00C43DA1" w:rsidRPr="008432DB" w:rsidRDefault="00C43DA1" w:rsidP="007C03F0">
      <w:pPr>
        <w:jc w:val="center"/>
        <w:rPr>
          <w:rFonts w:ascii="Times New Roman" w:hAnsi="Times New Roman"/>
          <w:b/>
          <w:sz w:val="24"/>
          <w:szCs w:val="24"/>
        </w:rPr>
      </w:pPr>
    </w:p>
    <w:p w:rsidR="00C43DA1" w:rsidRDefault="00C43DA1" w:rsidP="004A5407">
      <w:pPr>
        <w:spacing w:after="0" w:line="240" w:lineRule="auto"/>
        <w:jc w:val="center"/>
        <w:rPr>
          <w:rFonts w:ascii="Times New Roman" w:hAnsi="Times New Roman"/>
          <w:sz w:val="24"/>
          <w:szCs w:val="24"/>
        </w:rPr>
      </w:pPr>
      <w:r w:rsidRPr="00527701">
        <w:rPr>
          <w:rFonts w:ascii="Times New Roman" w:hAnsi="Times New Roman"/>
          <w:sz w:val="24"/>
          <w:szCs w:val="24"/>
        </w:rPr>
        <w:t>Члан 1.</w:t>
      </w:r>
    </w:p>
    <w:p w:rsidR="00C43DA1" w:rsidRPr="00FE0470" w:rsidRDefault="00C43DA1" w:rsidP="0007646E">
      <w:pPr>
        <w:spacing w:after="0" w:line="240" w:lineRule="auto"/>
        <w:ind w:firstLine="720"/>
        <w:jc w:val="both"/>
        <w:rPr>
          <w:rFonts w:ascii="Times New Roman" w:hAnsi="Times New Roman"/>
          <w:sz w:val="24"/>
          <w:szCs w:val="24"/>
        </w:rPr>
      </w:pPr>
      <w:r>
        <w:rPr>
          <w:rFonts w:ascii="Times New Roman" w:hAnsi="Times New Roman"/>
          <w:sz w:val="24"/>
          <w:szCs w:val="24"/>
        </w:rPr>
        <w:t xml:space="preserve">У Закону о </w:t>
      </w:r>
      <w:r w:rsidRPr="00FE0470">
        <w:rPr>
          <w:rFonts w:ascii="Times New Roman" w:hAnsi="Times New Roman"/>
          <w:sz w:val="24"/>
          <w:szCs w:val="24"/>
        </w:rPr>
        <w:t xml:space="preserve"> утврђивању јавног интереса и посебним поступцима експропријације и издавања грађевинске доз</w:t>
      </w:r>
      <w:r>
        <w:rPr>
          <w:rFonts w:ascii="Times New Roman" w:hAnsi="Times New Roman"/>
          <w:sz w:val="24"/>
          <w:szCs w:val="24"/>
        </w:rPr>
        <w:t>воле ради реализације пројекта „</w:t>
      </w:r>
      <w:r w:rsidRPr="00FE0470">
        <w:rPr>
          <w:rFonts w:ascii="Times New Roman" w:hAnsi="Times New Roman"/>
          <w:sz w:val="24"/>
          <w:szCs w:val="24"/>
        </w:rPr>
        <w:t>Београд на води</w:t>
      </w:r>
      <w:r>
        <w:rPr>
          <w:rFonts w:ascii="Times New Roman" w:hAnsi="Times New Roman"/>
          <w:sz w:val="24"/>
          <w:szCs w:val="24"/>
        </w:rPr>
        <w:t>”</w:t>
      </w:r>
      <w:r w:rsidRPr="00FE0470">
        <w:rPr>
          <w:rFonts w:ascii="Times New Roman" w:hAnsi="Times New Roman"/>
          <w:sz w:val="24"/>
          <w:szCs w:val="24"/>
        </w:rPr>
        <w:t xml:space="preserve"> (</w:t>
      </w:r>
      <w:r>
        <w:rPr>
          <w:rFonts w:ascii="Times New Roman" w:hAnsi="Times New Roman"/>
          <w:sz w:val="24"/>
          <w:szCs w:val="24"/>
        </w:rPr>
        <w:t>„Службени гласник РС”, број 34/</w:t>
      </w:r>
      <w:r w:rsidRPr="00FE0470">
        <w:rPr>
          <w:rFonts w:ascii="Times New Roman" w:hAnsi="Times New Roman"/>
          <w:sz w:val="24"/>
          <w:szCs w:val="24"/>
        </w:rPr>
        <w:t>15)</w:t>
      </w:r>
      <w:r>
        <w:rPr>
          <w:rFonts w:ascii="Times New Roman" w:hAnsi="Times New Roman"/>
          <w:sz w:val="24"/>
          <w:szCs w:val="24"/>
        </w:rPr>
        <w:t>,</w:t>
      </w:r>
      <w:r w:rsidRPr="00FE0470">
        <w:rPr>
          <w:rFonts w:ascii="Times New Roman" w:hAnsi="Times New Roman"/>
          <w:sz w:val="24"/>
          <w:szCs w:val="24"/>
        </w:rPr>
        <w:t xml:space="preserve"> </w:t>
      </w:r>
      <w:r>
        <w:rPr>
          <w:rFonts w:ascii="Times New Roman" w:hAnsi="Times New Roman"/>
          <w:sz w:val="24"/>
          <w:szCs w:val="24"/>
        </w:rPr>
        <w:t>у</w:t>
      </w:r>
      <w:r w:rsidRPr="00FE0470">
        <w:rPr>
          <w:rFonts w:ascii="Times New Roman" w:hAnsi="Times New Roman"/>
          <w:sz w:val="24"/>
          <w:szCs w:val="24"/>
        </w:rPr>
        <w:t xml:space="preserve"> члану 15. додају се ст</w:t>
      </w:r>
      <w:r>
        <w:rPr>
          <w:rFonts w:ascii="Times New Roman" w:hAnsi="Times New Roman"/>
          <w:sz w:val="24"/>
          <w:szCs w:val="24"/>
        </w:rPr>
        <w:t>. 3 – 11,</w:t>
      </w:r>
      <w:r w:rsidRPr="00FE0470">
        <w:rPr>
          <w:rFonts w:ascii="Times New Roman" w:hAnsi="Times New Roman"/>
          <w:sz w:val="24"/>
          <w:szCs w:val="24"/>
        </w:rPr>
        <w:t xml:space="preserve"> који гласе:</w:t>
      </w:r>
    </w:p>
    <w:p w:rsidR="00C43DA1" w:rsidRPr="008432DB" w:rsidRDefault="00C43DA1" w:rsidP="004A5407">
      <w:pPr>
        <w:spacing w:after="0" w:line="240" w:lineRule="auto"/>
        <w:ind w:firstLine="720"/>
        <w:jc w:val="both"/>
        <w:rPr>
          <w:rFonts w:ascii="Times New Roman" w:hAnsi="Times New Roman"/>
          <w:sz w:val="24"/>
          <w:szCs w:val="24"/>
        </w:rPr>
      </w:pPr>
      <w:r>
        <w:rPr>
          <w:rFonts w:ascii="Times New Roman" w:hAnsi="Times New Roman"/>
          <w:sz w:val="24"/>
          <w:szCs w:val="24"/>
        </w:rPr>
        <w:t>„</w:t>
      </w:r>
      <w:r w:rsidRPr="008432DB">
        <w:rPr>
          <w:rFonts w:ascii="Times New Roman" w:hAnsi="Times New Roman"/>
          <w:sz w:val="24"/>
          <w:szCs w:val="24"/>
        </w:rPr>
        <w:t>Поверава се граду Београду издавање грађевинских дозвола за изградњу објеката и јавних површина у обухвату планског документа, осим за објекте из члана 133. Закона о планирању и изградњи</w:t>
      </w:r>
      <w:r>
        <w:rPr>
          <w:rFonts w:ascii="Times New Roman" w:hAnsi="Times New Roman"/>
          <w:sz w:val="24"/>
          <w:szCs w:val="24"/>
        </w:rPr>
        <w:t xml:space="preserve"> </w:t>
      </w:r>
      <w:r w:rsidRPr="00FE0470">
        <w:rPr>
          <w:rFonts w:ascii="Times New Roman" w:hAnsi="Times New Roman"/>
          <w:sz w:val="24"/>
          <w:szCs w:val="24"/>
        </w:rPr>
        <w:t>(</w:t>
      </w:r>
      <w:r>
        <w:rPr>
          <w:rFonts w:ascii="Times New Roman" w:hAnsi="Times New Roman"/>
          <w:sz w:val="24"/>
          <w:szCs w:val="24"/>
        </w:rPr>
        <w:t>„Службени гласник РС”, бр. 72/09, 81/09 – исправка, 64/10 – УС, 24/11, 121/12, 42/13 – УС, 50/13 – УС, 98/13 – УС, 132/14 и 145/14 – у даљем тексту: Закон</w:t>
      </w:r>
      <w:r>
        <w:rPr>
          <w:rFonts w:ascii="Times New Roman" w:hAnsi="Times New Roman"/>
          <w:sz w:val="24"/>
          <w:szCs w:val="24"/>
          <w:lang w:val="sr-Cyrl-CS"/>
        </w:rPr>
        <w:t xml:space="preserve"> о планирању и изградњи</w:t>
      </w:r>
      <w:r w:rsidRPr="00FE0470">
        <w:rPr>
          <w:rFonts w:ascii="Times New Roman" w:hAnsi="Times New Roman"/>
          <w:sz w:val="24"/>
          <w:szCs w:val="24"/>
        </w:rPr>
        <w:t>)</w:t>
      </w:r>
      <w:r w:rsidRPr="008432DB">
        <w:rPr>
          <w:rFonts w:ascii="Times New Roman" w:hAnsi="Times New Roman"/>
          <w:sz w:val="24"/>
          <w:szCs w:val="24"/>
        </w:rPr>
        <w:t>.</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Пре издавања грађевинске дозволе за објекте високоградње преко бруто</w:t>
      </w:r>
      <w:r>
        <w:rPr>
          <w:rFonts w:ascii="Times New Roman" w:hAnsi="Times New Roman"/>
          <w:sz w:val="24"/>
          <w:szCs w:val="24"/>
        </w:rPr>
        <w:t xml:space="preserve"> грађевинске површине 30.</w:t>
      </w:r>
      <w:r w:rsidRPr="008432DB">
        <w:rPr>
          <w:rFonts w:ascii="Times New Roman" w:hAnsi="Times New Roman"/>
          <w:sz w:val="24"/>
          <w:szCs w:val="24"/>
        </w:rPr>
        <w:t>000 м</w:t>
      </w:r>
      <w:r w:rsidRPr="0007646E">
        <w:rPr>
          <w:rFonts w:ascii="Times New Roman" w:hAnsi="Times New Roman"/>
          <w:sz w:val="24"/>
          <w:szCs w:val="24"/>
          <w:vertAlign w:val="superscript"/>
        </w:rPr>
        <w:t>2</w:t>
      </w:r>
      <w:r w:rsidRPr="008432DB">
        <w:rPr>
          <w:rFonts w:ascii="Times New Roman" w:hAnsi="Times New Roman"/>
          <w:sz w:val="24"/>
          <w:szCs w:val="24"/>
        </w:rPr>
        <w:t xml:space="preserve"> у обухвату планског документа, по захтеву инвеститора може се издати и решење о посебној грађевинској дозволи за извођење припремних радова. </w:t>
      </w:r>
    </w:p>
    <w:p w:rsidR="00C43DA1" w:rsidRPr="008432DB" w:rsidRDefault="00C43DA1" w:rsidP="004A5407">
      <w:pPr>
        <w:spacing w:after="0" w:line="240" w:lineRule="auto"/>
        <w:ind w:firstLine="720"/>
        <w:jc w:val="both"/>
        <w:rPr>
          <w:rFonts w:ascii="Times New Roman" w:hAnsi="Times New Roman"/>
          <w:sz w:val="24"/>
          <w:szCs w:val="24"/>
        </w:rPr>
      </w:pPr>
      <w:r>
        <w:rPr>
          <w:rFonts w:ascii="Times New Roman" w:hAnsi="Times New Roman"/>
          <w:sz w:val="24"/>
          <w:szCs w:val="24"/>
        </w:rPr>
        <w:t>Припрем</w:t>
      </w:r>
      <w:r w:rsidRPr="008432DB">
        <w:rPr>
          <w:rFonts w:ascii="Times New Roman" w:hAnsi="Times New Roman"/>
          <w:sz w:val="24"/>
          <w:szCs w:val="24"/>
        </w:rPr>
        <w:t>ни радови, у смислу овог закона, јесу</w:t>
      </w:r>
      <w:r>
        <w:rPr>
          <w:rFonts w:ascii="Times New Roman" w:hAnsi="Times New Roman"/>
          <w:sz w:val="24"/>
          <w:szCs w:val="24"/>
        </w:rPr>
        <w:t>:</w:t>
      </w:r>
      <w:r w:rsidRPr="008432DB">
        <w:rPr>
          <w:rFonts w:ascii="Times New Roman" w:hAnsi="Times New Roman"/>
          <w:sz w:val="24"/>
          <w:szCs w:val="24"/>
        </w:rPr>
        <w:t xml:space="preserve"> рушење постојећих објеката на парцели, измештање постојеће инфраструктуре на парцели, рашчишћавање терена на парцели, обезбеђење простора за допрему и смештај грађевинског материјала и опреме, грађење и постављање објеката и инсталација привременог карактера за потребе извођења радова (постављање градилишне ограде, контејнера и сл.)</w:t>
      </w:r>
      <w:r>
        <w:rPr>
          <w:rFonts w:ascii="Times New Roman" w:hAnsi="Times New Roman"/>
          <w:sz w:val="24"/>
          <w:szCs w:val="24"/>
        </w:rPr>
        <w:t>,</w:t>
      </w:r>
      <w:r w:rsidRPr="008432DB">
        <w:rPr>
          <w:rFonts w:ascii="Times New Roman" w:hAnsi="Times New Roman"/>
          <w:sz w:val="24"/>
          <w:szCs w:val="24"/>
        </w:rPr>
        <w:t xml:space="preserve"> земљани радови, радови којима се обезбеђује сигурност суседних објеката, сигурност и стабилност терена (шипови, дијафрагме, потпорни зидови и сл.), постављање и извођење испитних шипова, сондирање терена у сврху геотехничких испитивања и други истражни радови.</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Уз захтев за издавање решења из става 4</w:t>
      </w:r>
      <w:r w:rsidRPr="008432DB">
        <w:rPr>
          <w:rFonts w:ascii="Times New Roman" w:hAnsi="Times New Roman"/>
          <w:color w:val="FF0000"/>
          <w:sz w:val="24"/>
          <w:szCs w:val="24"/>
        </w:rPr>
        <w:t xml:space="preserve">. </w:t>
      </w:r>
      <w:r w:rsidRPr="008432DB">
        <w:rPr>
          <w:rFonts w:ascii="Times New Roman" w:hAnsi="Times New Roman"/>
          <w:sz w:val="24"/>
          <w:szCs w:val="24"/>
        </w:rPr>
        <w:t>овог члана, прилажу се локацијски услови, доказ о одговарајућем праву на објекту или грађевинском земљишту и  пројекат за извођење припремних радова.</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Пројекат за извођење припремних радова из става 6. овог члана, израђује се у складу са подзаконским актом о садржини, начину и поступку израде техничке документације. Пројекат за извођење припремних радова подлеже техничкој контроли.</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Решење из става 4. овог члана доноси орган надлежан за издавање грађевинске дозволе, у року од осам дана од дана подношења уредне документације.</w:t>
      </w:r>
    </w:p>
    <w:p w:rsidR="00C43DA1" w:rsidRPr="008432DB" w:rsidRDefault="00C43DA1" w:rsidP="004A5407">
      <w:pPr>
        <w:spacing w:after="0" w:line="240" w:lineRule="auto"/>
        <w:ind w:firstLine="720"/>
        <w:jc w:val="both"/>
        <w:rPr>
          <w:rFonts w:ascii="Times New Roman" w:hAnsi="Times New Roman"/>
          <w:sz w:val="24"/>
          <w:szCs w:val="24"/>
        </w:rPr>
      </w:pPr>
      <w:r>
        <w:rPr>
          <w:rFonts w:ascii="Times New Roman" w:hAnsi="Times New Roman"/>
          <w:sz w:val="24"/>
          <w:szCs w:val="24"/>
        </w:rPr>
        <w:t>Против</w:t>
      </w:r>
      <w:r w:rsidRPr="008432DB">
        <w:rPr>
          <w:rFonts w:ascii="Times New Roman" w:hAnsi="Times New Roman"/>
          <w:sz w:val="24"/>
          <w:szCs w:val="24"/>
        </w:rPr>
        <w:t xml:space="preserve"> решењ</w:t>
      </w:r>
      <w:r>
        <w:rPr>
          <w:rFonts w:ascii="Times New Roman" w:hAnsi="Times New Roman"/>
          <w:sz w:val="24"/>
          <w:szCs w:val="24"/>
        </w:rPr>
        <w:t>а</w:t>
      </w:r>
      <w:r w:rsidRPr="008432DB">
        <w:rPr>
          <w:rFonts w:ascii="Times New Roman" w:hAnsi="Times New Roman"/>
          <w:sz w:val="24"/>
          <w:szCs w:val="24"/>
        </w:rPr>
        <w:t xml:space="preserve"> из става 4. овог члана може се изјавити жалба у року од осам дана од дана достављања, а ако је решење издало министарство надлежно за послове грађевинарства, може се тужбом покренути управни спор.</w:t>
      </w:r>
    </w:p>
    <w:p w:rsidR="00C43DA1" w:rsidRDefault="00C43DA1" w:rsidP="0007646E">
      <w:pPr>
        <w:spacing w:after="0" w:line="240" w:lineRule="auto"/>
        <w:ind w:firstLine="720"/>
        <w:jc w:val="both"/>
        <w:rPr>
          <w:rFonts w:ascii="Times New Roman" w:hAnsi="Times New Roman"/>
          <w:sz w:val="24"/>
          <w:szCs w:val="24"/>
        </w:rPr>
      </w:pPr>
      <w:r w:rsidRPr="008432DB">
        <w:rPr>
          <w:rFonts w:ascii="Times New Roman" w:hAnsi="Times New Roman"/>
          <w:sz w:val="24"/>
          <w:szCs w:val="24"/>
        </w:rPr>
        <w:t xml:space="preserve">До привођења земљишта урбанистичкој намени у складу са планским документом, за изградњу привремених објеката различите намене који су у функцији пројекта, по захтеву инвеститора, може се издати привремена грађевинска дозвола,  у складу са чланом 147. Закона о планирању и изградњи, у делу који се односи на услове и поступак издавања привремене грађевинске дозволе. Уз захтев за издавање привремене грађевинске дозволе из </w:t>
      </w:r>
      <w:r>
        <w:rPr>
          <w:rFonts w:ascii="Times New Roman" w:hAnsi="Times New Roman"/>
          <w:sz w:val="24"/>
          <w:szCs w:val="24"/>
        </w:rPr>
        <w:t xml:space="preserve">овог </w:t>
      </w:r>
      <w:r>
        <w:rPr>
          <w:rFonts w:ascii="Times New Roman" w:hAnsi="Times New Roman"/>
          <w:sz w:val="24"/>
          <w:szCs w:val="24"/>
          <w:lang w:val="sr-Cyrl-CS"/>
        </w:rPr>
        <w:t>става</w:t>
      </w:r>
      <w:r w:rsidRPr="008432DB">
        <w:rPr>
          <w:rFonts w:ascii="Times New Roman" w:hAnsi="Times New Roman"/>
          <w:sz w:val="24"/>
          <w:szCs w:val="24"/>
        </w:rPr>
        <w:t xml:space="preserve">, као доказ о </w:t>
      </w:r>
      <w:r>
        <w:rPr>
          <w:rFonts w:ascii="Times New Roman" w:hAnsi="Times New Roman"/>
          <w:sz w:val="24"/>
          <w:szCs w:val="24"/>
        </w:rPr>
        <w:t xml:space="preserve">одговрајућем праву </w:t>
      </w:r>
      <w:r w:rsidRPr="008432DB">
        <w:rPr>
          <w:rFonts w:ascii="Times New Roman" w:hAnsi="Times New Roman"/>
          <w:sz w:val="24"/>
          <w:szCs w:val="24"/>
        </w:rPr>
        <w:t xml:space="preserve">инвеститор може доставити </w:t>
      </w:r>
      <w:r>
        <w:rPr>
          <w:rFonts w:ascii="Times New Roman" w:hAnsi="Times New Roman"/>
          <w:sz w:val="24"/>
          <w:szCs w:val="24"/>
        </w:rPr>
        <w:t xml:space="preserve">и </w:t>
      </w:r>
      <w:r w:rsidRPr="008432DB">
        <w:rPr>
          <w:rFonts w:ascii="Times New Roman" w:hAnsi="Times New Roman"/>
          <w:sz w:val="24"/>
          <w:szCs w:val="24"/>
        </w:rPr>
        <w:t xml:space="preserve">сагласност власника земљишта. </w:t>
      </w:r>
    </w:p>
    <w:p w:rsidR="00C43DA1" w:rsidRPr="008432DB" w:rsidRDefault="00C43DA1" w:rsidP="00CB0ADA">
      <w:pPr>
        <w:jc w:val="both"/>
        <w:rPr>
          <w:rFonts w:ascii="Times New Roman" w:hAnsi="Times New Roman"/>
          <w:sz w:val="24"/>
          <w:szCs w:val="24"/>
        </w:rPr>
      </w:pPr>
      <w:r w:rsidRPr="008432DB">
        <w:rPr>
          <w:rFonts w:ascii="Times New Roman" w:hAnsi="Times New Roman"/>
          <w:sz w:val="24"/>
          <w:szCs w:val="24"/>
        </w:rPr>
        <w:lastRenderedPageBreak/>
        <w:t xml:space="preserve"> </w:t>
      </w:r>
      <w:r>
        <w:rPr>
          <w:rFonts w:ascii="Times New Roman" w:hAnsi="Times New Roman"/>
          <w:sz w:val="24"/>
          <w:szCs w:val="24"/>
        </w:rPr>
        <w:tab/>
      </w:r>
      <w:r w:rsidRPr="008432DB">
        <w:rPr>
          <w:rFonts w:ascii="Times New Roman" w:hAnsi="Times New Roman"/>
          <w:sz w:val="24"/>
          <w:szCs w:val="24"/>
        </w:rPr>
        <w:t>До привођења земљишта урбанистичкој намени у складу са планским документом, може се, у складу са чланом 145. Закона о планирању и изградњи, по захтеву инвеститора, одобрити реконструција, адаптација и санација постојећег објекта, укључујући објекте комуналне и друге инфраструктуре.</w:t>
      </w:r>
      <w:r>
        <w:rPr>
          <w:rFonts w:ascii="Times New Roman" w:hAnsi="Times New Roman"/>
          <w:sz w:val="24"/>
          <w:szCs w:val="24"/>
        </w:rPr>
        <w:t>”</w:t>
      </w:r>
    </w:p>
    <w:p w:rsidR="00C43DA1" w:rsidRPr="00527701" w:rsidRDefault="00C43DA1" w:rsidP="004A5407">
      <w:pPr>
        <w:spacing w:after="0" w:line="240" w:lineRule="auto"/>
        <w:jc w:val="center"/>
        <w:rPr>
          <w:rFonts w:ascii="Times New Roman" w:hAnsi="Times New Roman"/>
          <w:sz w:val="24"/>
          <w:szCs w:val="24"/>
        </w:rPr>
      </w:pPr>
      <w:r w:rsidRPr="00527701">
        <w:rPr>
          <w:rFonts w:ascii="Times New Roman" w:hAnsi="Times New Roman"/>
          <w:sz w:val="24"/>
          <w:szCs w:val="24"/>
        </w:rPr>
        <w:t>Члан 2.</w:t>
      </w:r>
    </w:p>
    <w:p w:rsidR="00C43DA1" w:rsidRDefault="00C43DA1" w:rsidP="00FE0470">
      <w:pPr>
        <w:ind w:firstLine="720"/>
        <w:jc w:val="both"/>
        <w:rPr>
          <w:rFonts w:ascii="Times New Roman" w:hAnsi="Times New Roman"/>
          <w:sz w:val="24"/>
          <w:szCs w:val="24"/>
        </w:rPr>
      </w:pPr>
      <w:r>
        <w:rPr>
          <w:rFonts w:ascii="Times New Roman" w:hAnsi="Times New Roman"/>
          <w:sz w:val="24"/>
          <w:szCs w:val="24"/>
        </w:rPr>
        <w:t xml:space="preserve">После члана 15. </w:t>
      </w:r>
      <w:r w:rsidRPr="00FE0470">
        <w:rPr>
          <w:rFonts w:ascii="Times New Roman" w:hAnsi="Times New Roman"/>
          <w:sz w:val="24"/>
          <w:szCs w:val="24"/>
        </w:rPr>
        <w:t>додају се чл</w:t>
      </w:r>
      <w:r>
        <w:rPr>
          <w:rFonts w:ascii="Times New Roman" w:hAnsi="Times New Roman"/>
          <w:sz w:val="24"/>
          <w:szCs w:val="24"/>
        </w:rPr>
        <w:t>.</w:t>
      </w:r>
      <w:r w:rsidRPr="00FE0470">
        <w:rPr>
          <w:rFonts w:ascii="Times New Roman" w:hAnsi="Times New Roman"/>
          <w:sz w:val="24"/>
          <w:szCs w:val="24"/>
        </w:rPr>
        <w:t xml:space="preserve"> 15а и 15б</w:t>
      </w:r>
      <w:r>
        <w:rPr>
          <w:rFonts w:ascii="Times New Roman" w:hAnsi="Times New Roman"/>
          <w:sz w:val="24"/>
          <w:szCs w:val="24"/>
        </w:rPr>
        <w:t>,</w:t>
      </w:r>
      <w:r w:rsidRPr="00FE0470">
        <w:rPr>
          <w:rFonts w:ascii="Times New Roman" w:hAnsi="Times New Roman"/>
          <w:sz w:val="24"/>
          <w:szCs w:val="24"/>
        </w:rPr>
        <w:t xml:space="preserve"> који гласе: </w:t>
      </w:r>
    </w:p>
    <w:p w:rsidR="00C43DA1" w:rsidRPr="00FE0470" w:rsidRDefault="00C43DA1" w:rsidP="004A5407">
      <w:pPr>
        <w:spacing w:after="0" w:line="240" w:lineRule="auto"/>
        <w:jc w:val="center"/>
        <w:rPr>
          <w:rFonts w:ascii="Times New Roman" w:hAnsi="Times New Roman"/>
          <w:sz w:val="24"/>
          <w:szCs w:val="24"/>
        </w:rPr>
      </w:pPr>
      <w:r w:rsidRPr="008432DB">
        <w:rPr>
          <w:rFonts w:ascii="Times New Roman" w:hAnsi="Times New Roman"/>
          <w:sz w:val="24"/>
          <w:szCs w:val="24"/>
        </w:rPr>
        <w:t>„</w:t>
      </w:r>
      <w:r>
        <w:rPr>
          <w:rFonts w:ascii="Times New Roman" w:hAnsi="Times New Roman"/>
          <w:sz w:val="24"/>
          <w:szCs w:val="24"/>
        </w:rPr>
        <w:t>Члан 15а</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За изградњу објеката високоградње прек</w:t>
      </w:r>
      <w:r>
        <w:rPr>
          <w:rFonts w:ascii="Times New Roman" w:hAnsi="Times New Roman"/>
          <w:sz w:val="24"/>
          <w:szCs w:val="24"/>
        </w:rPr>
        <w:t>о бруто грађевинске површине 30.</w:t>
      </w:r>
      <w:r w:rsidRPr="008432DB">
        <w:rPr>
          <w:rFonts w:ascii="Times New Roman" w:hAnsi="Times New Roman"/>
          <w:sz w:val="24"/>
          <w:szCs w:val="24"/>
        </w:rPr>
        <w:t>000 м</w:t>
      </w:r>
      <w:r w:rsidRPr="0007646E">
        <w:rPr>
          <w:rFonts w:ascii="Times New Roman" w:hAnsi="Times New Roman"/>
          <w:sz w:val="24"/>
          <w:szCs w:val="24"/>
          <w:vertAlign w:val="superscript"/>
        </w:rPr>
        <w:t>2</w:t>
      </w:r>
      <w:r w:rsidRPr="008432DB">
        <w:rPr>
          <w:rFonts w:ascii="Times New Roman" w:hAnsi="Times New Roman"/>
          <w:sz w:val="24"/>
          <w:szCs w:val="24"/>
        </w:rPr>
        <w:t xml:space="preserve"> у обухвату планског документа, могу се, због сложености објекта и технологије извођења радова, по захтеву инвеститора,</w:t>
      </w:r>
      <w:r>
        <w:rPr>
          <w:rFonts w:ascii="Times New Roman" w:hAnsi="Times New Roman"/>
          <w:sz w:val="24"/>
          <w:szCs w:val="24"/>
        </w:rPr>
        <w:t xml:space="preserve"> издати</w:t>
      </w:r>
      <w:r w:rsidRPr="008432DB">
        <w:rPr>
          <w:rFonts w:ascii="Times New Roman" w:hAnsi="Times New Roman"/>
          <w:sz w:val="24"/>
          <w:szCs w:val="24"/>
        </w:rPr>
        <w:t xml:space="preserve"> грађевинске дозволе за две одвојене фазе изградње. </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 xml:space="preserve"> </w:t>
      </w:r>
      <w:r>
        <w:rPr>
          <w:rFonts w:ascii="Times New Roman" w:hAnsi="Times New Roman"/>
          <w:sz w:val="24"/>
          <w:szCs w:val="24"/>
        </w:rPr>
        <w:t xml:space="preserve">Прва </w:t>
      </w:r>
      <w:r w:rsidRPr="008432DB">
        <w:rPr>
          <w:rFonts w:ascii="Times New Roman" w:hAnsi="Times New Roman"/>
          <w:sz w:val="24"/>
          <w:szCs w:val="24"/>
        </w:rPr>
        <w:t xml:space="preserve">фаза за коју се издаје грађевинска дозвола обухвата извођење радова на изградњи темеља објекта, укључујући постављање и извођење шипова, док друга фаза обухвата радове на изградњи преосталог дела објекта. </w:t>
      </w:r>
    </w:p>
    <w:p w:rsidR="00C43DA1" w:rsidRPr="008432DB" w:rsidRDefault="00C43DA1" w:rsidP="004A5407">
      <w:pPr>
        <w:spacing w:after="0" w:line="240" w:lineRule="auto"/>
        <w:ind w:firstLine="720"/>
        <w:jc w:val="both"/>
        <w:rPr>
          <w:rFonts w:ascii="Times New Roman" w:hAnsi="Times New Roman"/>
          <w:sz w:val="24"/>
          <w:szCs w:val="24"/>
        </w:rPr>
      </w:pPr>
      <w:r>
        <w:rPr>
          <w:rFonts w:ascii="Times New Roman" w:hAnsi="Times New Roman"/>
          <w:sz w:val="24"/>
          <w:szCs w:val="24"/>
        </w:rPr>
        <w:t>Решења о</w:t>
      </w:r>
      <w:r w:rsidRPr="008432DB">
        <w:rPr>
          <w:rFonts w:ascii="Times New Roman" w:hAnsi="Times New Roman"/>
          <w:sz w:val="24"/>
          <w:szCs w:val="24"/>
        </w:rPr>
        <w:t xml:space="preserve"> грађевинској дозволи </w:t>
      </w:r>
      <w:r>
        <w:rPr>
          <w:rFonts w:ascii="Times New Roman" w:hAnsi="Times New Roman"/>
          <w:sz w:val="24"/>
          <w:szCs w:val="24"/>
        </w:rPr>
        <w:t xml:space="preserve">из става 2. овог члана </w:t>
      </w:r>
      <w:r w:rsidRPr="008432DB">
        <w:rPr>
          <w:rFonts w:ascii="Times New Roman" w:hAnsi="Times New Roman"/>
          <w:sz w:val="24"/>
          <w:szCs w:val="24"/>
        </w:rPr>
        <w:t>надлежни орган издаје на основу пројекта за грађевинску дозволу који се израђује за сваку посебну фазу и уз испуњење других, законом прописаних услова. Пројекат за грађевинску дозволу израђује</w:t>
      </w:r>
      <w:r>
        <w:rPr>
          <w:rFonts w:ascii="Times New Roman" w:hAnsi="Times New Roman"/>
          <w:sz w:val="24"/>
          <w:szCs w:val="24"/>
        </w:rPr>
        <w:t xml:space="preserve"> се </w:t>
      </w:r>
      <w:r w:rsidRPr="008432DB">
        <w:rPr>
          <w:rFonts w:ascii="Times New Roman" w:hAnsi="Times New Roman"/>
          <w:sz w:val="24"/>
          <w:szCs w:val="24"/>
        </w:rPr>
        <w:t>у складу са подзаконским актом о садржини, начину и поступку израде техничке документације и подлеже техничкој контроли.</w:t>
      </w:r>
    </w:p>
    <w:p w:rsidR="00C43DA1" w:rsidRPr="008432DB" w:rsidRDefault="00C43DA1" w:rsidP="00FE0470">
      <w:pPr>
        <w:ind w:firstLine="720"/>
        <w:jc w:val="both"/>
        <w:rPr>
          <w:rFonts w:ascii="Times New Roman" w:hAnsi="Times New Roman"/>
          <w:sz w:val="24"/>
          <w:szCs w:val="24"/>
        </w:rPr>
      </w:pPr>
      <w:r w:rsidRPr="008432DB">
        <w:rPr>
          <w:rFonts w:ascii="Times New Roman" w:hAnsi="Times New Roman"/>
          <w:sz w:val="24"/>
          <w:szCs w:val="24"/>
        </w:rPr>
        <w:t>Када решење о грађевинској дозволи из става 3</w:t>
      </w:r>
      <w:r>
        <w:rPr>
          <w:rFonts w:ascii="Times New Roman" w:hAnsi="Times New Roman"/>
          <w:sz w:val="24"/>
          <w:szCs w:val="24"/>
        </w:rPr>
        <w:t>.</w:t>
      </w:r>
      <w:r w:rsidRPr="008432DB">
        <w:rPr>
          <w:rFonts w:ascii="Times New Roman" w:hAnsi="Times New Roman"/>
          <w:sz w:val="24"/>
          <w:szCs w:val="24"/>
        </w:rPr>
        <w:t xml:space="preserve"> овог члана издаје  министарство надлежно за послове грађевинарства, пре подношења захтева за издавање грађевинске дозволе </w:t>
      </w:r>
      <w:r>
        <w:rPr>
          <w:rFonts w:ascii="Times New Roman" w:hAnsi="Times New Roman"/>
          <w:sz w:val="24"/>
          <w:szCs w:val="24"/>
        </w:rPr>
        <w:t xml:space="preserve">за прву фазу, </w:t>
      </w:r>
      <w:r w:rsidRPr="008432DB">
        <w:rPr>
          <w:rFonts w:ascii="Times New Roman" w:hAnsi="Times New Roman"/>
          <w:sz w:val="24"/>
          <w:szCs w:val="24"/>
        </w:rPr>
        <w:t>израђује се идејни пројекат за обе фазе</w:t>
      </w:r>
      <w:r>
        <w:rPr>
          <w:rFonts w:ascii="Times New Roman" w:hAnsi="Times New Roman"/>
          <w:sz w:val="24"/>
          <w:szCs w:val="24"/>
        </w:rPr>
        <w:t xml:space="preserve"> изградње</w:t>
      </w:r>
      <w:r w:rsidRPr="008432DB">
        <w:rPr>
          <w:rFonts w:ascii="Times New Roman" w:hAnsi="Times New Roman"/>
          <w:sz w:val="24"/>
          <w:szCs w:val="24"/>
        </w:rPr>
        <w:t>, односно за објекат у целини, који подлеже стручној контроли од стране ревизионе комисије, у складу са законом којим се уређује изградња објеката.</w:t>
      </w:r>
    </w:p>
    <w:p w:rsidR="00C43DA1" w:rsidRPr="00FE0470" w:rsidRDefault="00C43DA1" w:rsidP="004A5407">
      <w:pPr>
        <w:spacing w:after="0" w:line="240" w:lineRule="auto"/>
        <w:jc w:val="center"/>
        <w:rPr>
          <w:rFonts w:ascii="Times New Roman" w:hAnsi="Times New Roman"/>
          <w:sz w:val="24"/>
          <w:szCs w:val="24"/>
        </w:rPr>
      </w:pPr>
      <w:r w:rsidRPr="00FE0470">
        <w:rPr>
          <w:rFonts w:ascii="Times New Roman" w:hAnsi="Times New Roman"/>
          <w:sz w:val="24"/>
          <w:szCs w:val="24"/>
        </w:rPr>
        <w:t xml:space="preserve">Члан 15б </w:t>
      </w:r>
    </w:p>
    <w:p w:rsidR="00C43DA1" w:rsidRPr="008432DB" w:rsidRDefault="00C43DA1" w:rsidP="004A5407">
      <w:pPr>
        <w:spacing w:after="0" w:line="240" w:lineRule="auto"/>
        <w:ind w:firstLine="720"/>
        <w:jc w:val="both"/>
        <w:rPr>
          <w:rFonts w:ascii="Times New Roman" w:hAnsi="Times New Roman"/>
          <w:sz w:val="24"/>
          <w:szCs w:val="24"/>
        </w:rPr>
      </w:pPr>
      <w:r w:rsidRPr="008432DB">
        <w:rPr>
          <w:rFonts w:ascii="Times New Roman" w:hAnsi="Times New Roman"/>
          <w:sz w:val="24"/>
          <w:szCs w:val="24"/>
        </w:rPr>
        <w:t>Техничка контрола и ревизиона комисија из члана 131. Закона о планирању и изградњи могу, приликом оцене испуњености услова утврђених посебним прописима, стандардима и другим актима, прихватити доказивање испуњености захтева и према страним прописима и стандардима, као и према признатим методама прорачуна и моделима уколико су тим прописима предвиђени, у циљу испуњавања основних захтева за објекат, као и захтева за његово пројектовање, извођење и одржавање.</w:t>
      </w:r>
    </w:p>
    <w:p w:rsidR="00C43DA1" w:rsidRDefault="00C43DA1" w:rsidP="00B31921">
      <w:pPr>
        <w:spacing w:after="0" w:line="240" w:lineRule="auto"/>
        <w:ind w:firstLine="720"/>
        <w:jc w:val="both"/>
        <w:rPr>
          <w:rFonts w:ascii="Times New Roman" w:hAnsi="Times New Roman"/>
          <w:sz w:val="24"/>
          <w:szCs w:val="24"/>
        </w:rPr>
      </w:pPr>
      <w:r w:rsidRPr="008432DB">
        <w:rPr>
          <w:rFonts w:ascii="Times New Roman" w:hAnsi="Times New Roman"/>
          <w:sz w:val="24"/>
          <w:szCs w:val="24"/>
        </w:rPr>
        <w:t>Када се примењују посебни међународни или европски прописи, нормативи и стандарди, они треба да буду наведени у техничком документу, а испуњеност захтева се доказује на начин који је предвиђен прописом</w:t>
      </w:r>
      <w:r>
        <w:rPr>
          <w:rFonts w:ascii="Times New Roman" w:hAnsi="Times New Roman"/>
          <w:sz w:val="24"/>
          <w:szCs w:val="24"/>
        </w:rPr>
        <w:t>,</w:t>
      </w:r>
      <w:r w:rsidRPr="008432DB">
        <w:rPr>
          <w:rFonts w:ascii="Times New Roman" w:hAnsi="Times New Roman"/>
          <w:sz w:val="24"/>
          <w:szCs w:val="24"/>
        </w:rPr>
        <w:t xml:space="preserve"> односно стандардом који је примењен.</w:t>
      </w:r>
      <w:r w:rsidRPr="00FE0470">
        <w:rPr>
          <w:rFonts w:ascii="Times New Roman" w:hAnsi="Times New Roman"/>
          <w:sz w:val="24"/>
          <w:szCs w:val="24"/>
        </w:rPr>
        <w:t>”</w:t>
      </w:r>
    </w:p>
    <w:p w:rsidR="00C43DA1" w:rsidRPr="004A5407" w:rsidRDefault="00C43DA1" w:rsidP="004A5407">
      <w:pPr>
        <w:spacing w:after="0" w:line="240" w:lineRule="auto"/>
        <w:jc w:val="both"/>
        <w:rPr>
          <w:rFonts w:ascii="Times New Roman" w:hAnsi="Times New Roman"/>
          <w:sz w:val="24"/>
          <w:szCs w:val="24"/>
        </w:rPr>
      </w:pPr>
    </w:p>
    <w:p w:rsidR="00C43DA1" w:rsidRDefault="00C43DA1" w:rsidP="004A5407">
      <w:pPr>
        <w:spacing w:after="0" w:line="240" w:lineRule="auto"/>
        <w:jc w:val="center"/>
        <w:rPr>
          <w:rFonts w:ascii="Times New Roman" w:hAnsi="Times New Roman"/>
          <w:sz w:val="24"/>
          <w:szCs w:val="24"/>
        </w:rPr>
      </w:pPr>
      <w:r>
        <w:rPr>
          <w:rFonts w:ascii="Times New Roman" w:hAnsi="Times New Roman"/>
          <w:sz w:val="24"/>
          <w:szCs w:val="24"/>
        </w:rPr>
        <w:t>Члан 3.</w:t>
      </w:r>
    </w:p>
    <w:p w:rsidR="00C43DA1" w:rsidRPr="008432DB" w:rsidRDefault="00C43DA1" w:rsidP="00FE0470">
      <w:pPr>
        <w:ind w:firstLine="720"/>
        <w:jc w:val="both"/>
        <w:rPr>
          <w:rFonts w:ascii="Times New Roman" w:hAnsi="Times New Roman"/>
          <w:sz w:val="24"/>
          <w:szCs w:val="24"/>
        </w:rPr>
      </w:pPr>
      <w:r w:rsidRPr="00FE0470">
        <w:rPr>
          <w:rFonts w:ascii="Times New Roman" w:hAnsi="Times New Roman"/>
          <w:sz w:val="24"/>
          <w:szCs w:val="24"/>
        </w:rPr>
        <w:t>Овај закон ступа на снагу осмог дана од дана објављивања у „Службеном гласнику Републике Србије”.</w:t>
      </w:r>
    </w:p>
    <w:p w:rsidR="00C43DA1" w:rsidRPr="008432DB" w:rsidRDefault="00C43DA1" w:rsidP="0002118A">
      <w:pPr>
        <w:jc w:val="both"/>
        <w:rPr>
          <w:rFonts w:ascii="Times New Roman" w:hAnsi="Times New Roman"/>
          <w:sz w:val="24"/>
          <w:szCs w:val="24"/>
        </w:rPr>
      </w:pPr>
    </w:p>
    <w:p w:rsidR="00C43DA1" w:rsidRDefault="00C43DA1" w:rsidP="0002118A">
      <w:pPr>
        <w:jc w:val="both"/>
        <w:rPr>
          <w:rFonts w:ascii="Times New Roman" w:hAnsi="Times New Roman"/>
          <w:sz w:val="24"/>
          <w:szCs w:val="24"/>
        </w:rPr>
      </w:pPr>
    </w:p>
    <w:p w:rsidR="00C43DA1" w:rsidRDefault="00C43DA1" w:rsidP="0002118A">
      <w:pPr>
        <w:jc w:val="both"/>
        <w:rPr>
          <w:rFonts w:ascii="Times New Roman" w:hAnsi="Times New Roman"/>
          <w:sz w:val="24"/>
          <w:szCs w:val="24"/>
        </w:rPr>
      </w:pPr>
    </w:p>
    <w:p w:rsidR="00C43DA1" w:rsidRDefault="00C43DA1" w:rsidP="0002118A">
      <w:pPr>
        <w:jc w:val="both"/>
        <w:rPr>
          <w:rFonts w:ascii="Times New Roman" w:hAnsi="Times New Roman"/>
          <w:sz w:val="24"/>
          <w:szCs w:val="24"/>
        </w:rPr>
      </w:pPr>
    </w:p>
    <w:p w:rsidR="00C5217C" w:rsidRDefault="00C5217C">
      <w:pPr>
        <w:spacing w:after="0" w:line="240" w:lineRule="auto"/>
        <w:rPr>
          <w:rFonts w:ascii="Times New Roman" w:hAnsi="Times New Roman"/>
          <w:sz w:val="24"/>
          <w:szCs w:val="24"/>
        </w:rPr>
      </w:pPr>
      <w:r>
        <w:rPr>
          <w:rFonts w:ascii="Times New Roman" w:hAnsi="Times New Roman"/>
          <w:sz w:val="24"/>
          <w:szCs w:val="24"/>
        </w:rPr>
        <w:br w:type="page"/>
      </w:r>
    </w:p>
    <w:p w:rsidR="00C5217C" w:rsidRDefault="00C5217C" w:rsidP="00C5217C">
      <w:pPr>
        <w:jc w:val="center"/>
      </w:pPr>
      <w:r>
        <w:rPr>
          <w:lang/>
        </w:rPr>
        <w:lastRenderedPageBreak/>
        <w:t>О Б Р А З Л О Ж Е Њ Е</w:t>
      </w:r>
    </w:p>
    <w:p w:rsidR="00C5217C" w:rsidRDefault="00C5217C" w:rsidP="00C5217C">
      <w:pPr>
        <w:jc w:val="center"/>
      </w:pPr>
    </w:p>
    <w:p w:rsidR="00C5217C" w:rsidRDefault="00C5217C" w:rsidP="00C5217C">
      <w:pPr>
        <w:jc w:val="center"/>
        <w:rPr>
          <w:lang/>
        </w:rPr>
      </w:pPr>
    </w:p>
    <w:p w:rsidR="00C5217C" w:rsidRDefault="00C5217C" w:rsidP="00C5217C">
      <w:pPr>
        <w:jc w:val="both"/>
      </w:pPr>
      <w:r>
        <w:rPr>
          <w:lang/>
        </w:rPr>
        <w:t>I. ПРАВНИ ОСНОВ</w:t>
      </w:r>
    </w:p>
    <w:p w:rsidR="00C5217C" w:rsidRDefault="00C5217C" w:rsidP="00C5217C">
      <w:pPr>
        <w:jc w:val="both"/>
      </w:pPr>
    </w:p>
    <w:p w:rsidR="00C5217C" w:rsidRDefault="00C5217C" w:rsidP="00C5217C">
      <w:pPr>
        <w:jc w:val="both"/>
        <w:rPr>
          <w:lang/>
        </w:rPr>
      </w:pPr>
      <w:r>
        <w:rPr>
          <w:lang/>
        </w:rPr>
        <w:tab/>
        <w:t xml:space="preserve">Правни основ за доношење Закона о допунама Закона о утврђивању јавног интереса и посебним поступцима експропријације и издавања грађевинске дозволе ради реализације пројекта </w:t>
      </w:r>
      <w:r>
        <w:rPr>
          <w:lang/>
        </w:rPr>
        <w:t>„</w:t>
      </w:r>
      <w:r>
        <w:rPr>
          <w:lang/>
        </w:rPr>
        <w:t>Београд на води”, садржан је у одредби чл</w:t>
      </w:r>
      <w:r>
        <w:rPr>
          <w:lang w:val="sr-Cyrl-CS"/>
        </w:rPr>
        <w:t>ана</w:t>
      </w:r>
      <w:r>
        <w:rPr>
          <w:lang/>
        </w:rPr>
        <w:t xml:space="preserve"> 97. став 1. тачка 7. Устава Републике Србије, према коме Република Србија уређује и обезбеђује својинске и облигационе односе и заштиту свих облика својине.</w:t>
      </w:r>
    </w:p>
    <w:p w:rsidR="00C5217C" w:rsidRDefault="00C5217C" w:rsidP="00C5217C">
      <w:pPr>
        <w:jc w:val="both"/>
        <w:rPr>
          <w:lang/>
        </w:rPr>
      </w:pPr>
    </w:p>
    <w:p w:rsidR="00C5217C" w:rsidRDefault="00C5217C" w:rsidP="00C5217C">
      <w:pPr>
        <w:jc w:val="both"/>
      </w:pPr>
      <w:r>
        <w:rPr>
          <w:lang/>
        </w:rPr>
        <w:t>II. РАЗЛОЗИ ЗА ДОНОШЕЊЕ</w:t>
      </w:r>
    </w:p>
    <w:p w:rsidR="00C5217C" w:rsidRDefault="00C5217C" w:rsidP="00C5217C">
      <w:pPr>
        <w:jc w:val="both"/>
      </w:pPr>
    </w:p>
    <w:p w:rsidR="00C5217C" w:rsidRDefault="00C5217C" w:rsidP="00C5217C">
      <w:pPr>
        <w:jc w:val="both"/>
        <w:rPr>
          <w:lang/>
        </w:rPr>
      </w:pPr>
      <w:r>
        <w:rPr>
          <w:lang/>
        </w:rPr>
        <w:tab/>
        <w:t xml:space="preserve">Разлози за доношење овог закона су прецизније уређење односа и </w:t>
      </w:r>
      <w:r>
        <w:rPr>
          <w:lang w:val="sr-Cyrl-CS"/>
        </w:rPr>
        <w:t xml:space="preserve">правних ситуација </w:t>
      </w:r>
      <w:r>
        <w:rPr>
          <w:lang/>
        </w:rPr>
        <w:t>које су настале по ступању на снагу овог закона. Наиме, у примени Закона инвеститор је наишао на проблем да захтевне, најсложеније објекте у грађевинском смислу, не може извести уколико не буду предвиђене фазе изградње, због сложених технолошких процеса који се примењују приликом њиховог извођења. Такође, имајући у виду да инвеститор приликом изградње има намеру да примени највише стандарде у области пројектовања и изградње, као и да користи одређене материјале који су по својим карактеристикама изнад српских стандарда или српски стандарди нису донети, било је неопходно предвидети коришћење тих стандарда, односно материјала приликом пројектовања и изградње, што је било могуће једино изменом Закона, с обзиром на то да  материјални пропис за изградњу објеката, као и подзаконски акти донети на основу тог закона на друкчији начин уређују ову материју.</w:t>
      </w:r>
    </w:p>
    <w:p w:rsidR="00C5217C" w:rsidRDefault="00C5217C" w:rsidP="00C5217C">
      <w:pPr>
        <w:jc w:val="both"/>
        <w:rPr>
          <w:lang/>
        </w:rPr>
      </w:pPr>
      <w:r>
        <w:rPr>
          <w:lang/>
        </w:rPr>
        <w:tab/>
        <w:t>Циљ предлагача јесте да омогући примену најсавременијих техника градње високих објеката, с обзиром на то да у Србији више деценија нису грађени објекти тих карактеристика, чиме ће инвеститору омогућити реализацију планиране динамике за реализацију Пројекта.</w:t>
      </w:r>
    </w:p>
    <w:p w:rsidR="00C5217C" w:rsidRDefault="00C5217C" w:rsidP="00C5217C">
      <w:pPr>
        <w:jc w:val="both"/>
        <w:rPr>
          <w:lang/>
        </w:rPr>
      </w:pPr>
    </w:p>
    <w:p w:rsidR="00C5217C" w:rsidRDefault="00C5217C" w:rsidP="00C5217C">
      <w:pPr>
        <w:jc w:val="both"/>
      </w:pPr>
      <w:r>
        <w:rPr>
          <w:lang/>
        </w:rPr>
        <w:t xml:space="preserve">III. ОБЈАШЊЕЊЕ ОСНОВНИХ ПРАВНИХ ИНСТИТУТА И ПОЈЕДИНАЧНИХ РЕШЕЊА </w:t>
      </w:r>
    </w:p>
    <w:p w:rsidR="00C5217C" w:rsidRDefault="00C5217C" w:rsidP="00C5217C">
      <w:pPr>
        <w:jc w:val="both"/>
      </w:pPr>
    </w:p>
    <w:p w:rsidR="00C5217C" w:rsidRDefault="00C5217C" w:rsidP="00C5217C">
      <w:pPr>
        <w:jc w:val="both"/>
        <w:rPr>
          <w:lang/>
        </w:rPr>
      </w:pPr>
      <w:r>
        <w:rPr>
          <w:lang/>
        </w:rPr>
        <w:t xml:space="preserve">           У члану 1. се врши допуна члана 15. Закона о утврђивању јавног интереса и посебним поступцима експропријације и издавања грађевинске дозволе ради реализације пројекта </w:t>
      </w:r>
      <w:r>
        <w:rPr>
          <w:lang/>
        </w:rPr>
        <w:t>„</w:t>
      </w:r>
      <w:r>
        <w:rPr>
          <w:lang/>
        </w:rPr>
        <w:t>Београд на води” (</w:t>
      </w:r>
      <w:r>
        <w:rPr>
          <w:lang/>
        </w:rPr>
        <w:t>„</w:t>
      </w:r>
      <w:r>
        <w:rPr>
          <w:lang/>
        </w:rPr>
        <w:t xml:space="preserve">Службени гласник РС”, број 34/15). Овом допуном прецизира се надлежност за издавање грађевинске дозволе у обухвату планског документа, на начин да се уводи аналогија са материјалним прописом о изградњи. Такође, овом допуном је прописана могућност издавања посебне грађевинске дозволе која је по својој суштини грађевинска дозвола за извођење припремних радова. У односу на материјални пропис који не прописује могућност издавања </w:t>
      </w:r>
      <w:r>
        <w:rPr>
          <w:lang/>
        </w:rPr>
        <w:lastRenderedPageBreak/>
        <w:t>посебне грађевинске дозволе за припремне радове, овим законом се уводи таква могућност за тачно наведене објекте високоградње. Оправдање за увођење овог управног акта лежи у чињеници да се у конкретном случају ради о веома захтевним објектима, који захтевају и посебну динамику и технологију извођења радова, а пре свега се односи на могућност дефинисања радова по фазама, на начин да прва фаза представља постављање истражних шипова и извођење осталих сродних радова који не представљају изградњу објекта, док друга фаза, прецизно објашњена у члану 2. Предлога овог закона, представља изградњу главног објекта. Друга фаза-изградња главног објекта, изводи се такође у две фазе, које чине грађевинску целину.</w:t>
      </w:r>
    </w:p>
    <w:p w:rsidR="00C5217C" w:rsidRDefault="00C5217C" w:rsidP="00C5217C">
      <w:pPr>
        <w:jc w:val="both"/>
        <w:rPr>
          <w:lang/>
        </w:rPr>
      </w:pPr>
      <w:r>
        <w:rPr>
          <w:lang/>
        </w:rPr>
        <w:tab/>
        <w:t>У члану 2.  којим се додаје нови члан 15а, прописана је могућност да се за изградњу објеката високоградње преко бруто грађевинске површине 30.000 м</w:t>
      </w:r>
      <w:r>
        <w:rPr>
          <w:vertAlign w:val="superscript"/>
          <w:lang/>
        </w:rPr>
        <w:t>2</w:t>
      </w:r>
      <w:r>
        <w:rPr>
          <w:lang/>
        </w:rPr>
        <w:t>, могу одобрити и две посебне фазе изградње. Овим чланом прецизира се садржина сваке фазе, као и поступак остваривања права.</w:t>
      </w:r>
    </w:p>
    <w:p w:rsidR="00C5217C" w:rsidRDefault="00C5217C" w:rsidP="00C5217C">
      <w:pPr>
        <w:jc w:val="both"/>
        <w:rPr>
          <w:lang/>
        </w:rPr>
      </w:pPr>
      <w:r>
        <w:rPr>
          <w:lang/>
        </w:rPr>
        <w:tab/>
        <w:t>У новом члану 15б прописана је могућност да се приликом оцене испуњености услова утврђених посебним прописима, стандардима и другим актима, може прихватити и доказивање испуњености захтева према страним прописима и стандардима, као и према признатим методама прорачуна и моделима, уколико су тим прописима они предвиђени, у циљу испуњавања основних захтева за објекат, као и захтева за његово пројектовање, извођење и одржавање.</w:t>
      </w:r>
    </w:p>
    <w:p w:rsidR="00C5217C" w:rsidRDefault="00C5217C" w:rsidP="00C5217C">
      <w:pPr>
        <w:jc w:val="both"/>
        <w:rPr>
          <w:lang/>
        </w:rPr>
      </w:pPr>
      <w:r>
        <w:rPr>
          <w:lang/>
        </w:rPr>
        <w:tab/>
        <w:t>У члану 3. прописано је да овај закон ступа на снагу осмог дана од дана објављивања у „Службеном гласнику Републике Србије”.</w:t>
      </w:r>
    </w:p>
    <w:p w:rsidR="00C5217C" w:rsidRDefault="00C5217C" w:rsidP="00C5217C">
      <w:pPr>
        <w:jc w:val="both"/>
        <w:rPr>
          <w:lang/>
        </w:rPr>
      </w:pPr>
    </w:p>
    <w:p w:rsidR="00C5217C" w:rsidRDefault="00C5217C" w:rsidP="00C5217C">
      <w:pPr>
        <w:jc w:val="both"/>
      </w:pPr>
      <w:r>
        <w:rPr>
          <w:lang/>
        </w:rPr>
        <w:t>IV. ОСНОВНИ ЕЛЕМЕНТИ ЕКОНОМСКЕ АНАЛИЗЕ ЕФЕКАТА ЗАКОНА</w:t>
      </w:r>
    </w:p>
    <w:p w:rsidR="00C5217C" w:rsidRDefault="00C5217C" w:rsidP="00C5217C">
      <w:pPr>
        <w:jc w:val="both"/>
      </w:pPr>
    </w:p>
    <w:p w:rsidR="00C5217C" w:rsidRDefault="00C5217C" w:rsidP="00C5217C">
      <w:pPr>
        <w:pStyle w:val="ListParagraph"/>
        <w:numPr>
          <w:ilvl w:val="0"/>
          <w:numId w:val="2"/>
        </w:numPr>
        <w:ind w:left="0" w:firstLine="0"/>
        <w:jc w:val="both"/>
        <w:rPr>
          <w:lang/>
        </w:rPr>
      </w:pPr>
      <w:r>
        <w:rPr>
          <w:lang/>
        </w:rPr>
        <w:t>Одређивање проблема које закон треба да реши:</w:t>
      </w:r>
    </w:p>
    <w:p w:rsidR="00C5217C" w:rsidRDefault="00C5217C" w:rsidP="00C5217C">
      <w:pPr>
        <w:ind w:firstLine="720"/>
        <w:jc w:val="both"/>
        <w:rPr>
          <w:lang/>
        </w:rPr>
      </w:pPr>
      <w:r>
        <w:rPr>
          <w:lang/>
        </w:rPr>
        <w:t>Закон треба да омогући поделу изградње сложених објеката високоградње на фазе, које одступају од општих правила садржаних у Закону о планирању и изградњи, као материјалном пропису који се супсидијарно примењује у овим поступцима, као и да реши примену страних прописа и стандарда, који ће бити коришћени приликом пројектовања, извођења и одржавања објеката.</w:t>
      </w:r>
    </w:p>
    <w:p w:rsidR="00C5217C" w:rsidRDefault="00C5217C" w:rsidP="00C5217C">
      <w:pPr>
        <w:ind w:firstLine="720"/>
        <w:jc w:val="both"/>
        <w:rPr>
          <w:lang/>
        </w:rPr>
      </w:pPr>
      <w:r>
        <w:rPr>
          <w:lang/>
        </w:rPr>
        <w:t>У складу са наведеним и дефинисаним проблемима, предложена су решења која би требало да доведу до крајњег циља предлагача – изградња објеката у складу са планским документом, према планираној динамици за реализацију пројекта изградње на овој локацији.</w:t>
      </w:r>
    </w:p>
    <w:p w:rsidR="00C5217C" w:rsidRDefault="00C5217C" w:rsidP="00C5217C">
      <w:pPr>
        <w:pStyle w:val="ListParagraph"/>
        <w:numPr>
          <w:ilvl w:val="0"/>
          <w:numId w:val="2"/>
        </w:numPr>
        <w:ind w:left="0" w:firstLine="0"/>
        <w:jc w:val="both"/>
        <w:rPr>
          <w:lang/>
        </w:rPr>
      </w:pPr>
      <w:r>
        <w:rPr>
          <w:lang/>
        </w:rPr>
        <w:t>Циљеви који се постижу доношењем закона:</w:t>
      </w:r>
    </w:p>
    <w:p w:rsidR="00C5217C" w:rsidRDefault="00C5217C" w:rsidP="00C5217C">
      <w:pPr>
        <w:ind w:firstLine="709"/>
        <w:jc w:val="both"/>
        <w:rPr>
          <w:lang/>
        </w:rPr>
      </w:pPr>
      <w:r>
        <w:rPr>
          <w:lang/>
        </w:rPr>
        <w:t>Основни циљ доношења Закона је реализација пројекта изградње у обухвату планског документа, у складу са усвојеном динамиком изградње.</w:t>
      </w:r>
    </w:p>
    <w:p w:rsidR="00C5217C" w:rsidRDefault="00C5217C" w:rsidP="00C5217C">
      <w:pPr>
        <w:jc w:val="both"/>
        <w:rPr>
          <w:lang/>
        </w:rPr>
      </w:pPr>
    </w:p>
    <w:p w:rsidR="00C5217C" w:rsidRDefault="00C5217C" w:rsidP="00C5217C">
      <w:pPr>
        <w:pStyle w:val="ListParagraph"/>
        <w:numPr>
          <w:ilvl w:val="0"/>
          <w:numId w:val="2"/>
        </w:numPr>
        <w:ind w:left="709" w:hanging="709"/>
        <w:jc w:val="both"/>
        <w:rPr>
          <w:lang/>
        </w:rPr>
      </w:pPr>
      <w:r>
        <w:rPr>
          <w:lang/>
        </w:rPr>
        <w:t>Да ли су разматране могућности за решавање проблема без доношења акта?</w:t>
      </w:r>
    </w:p>
    <w:p w:rsidR="00C5217C" w:rsidRDefault="00C5217C" w:rsidP="00C5217C">
      <w:pPr>
        <w:ind w:firstLine="709"/>
        <w:jc w:val="both"/>
        <w:rPr>
          <w:lang/>
        </w:rPr>
      </w:pPr>
      <w:r>
        <w:rPr>
          <w:lang/>
        </w:rPr>
        <w:t xml:space="preserve">Предлагач сматра да је једино могуће решење било доношење овог Закона, с обзиром на то да се у овим поступцима на сва питања издавања грађевинске дозволе која нису уређена </w:t>
      </w:r>
      <w:r>
        <w:rPr>
          <w:lang/>
        </w:rPr>
        <w:lastRenderedPageBreak/>
        <w:t>Законом, примењује Закон о планирању и изградњи, а тим законом су ова питања уређена на друкчији начин.</w:t>
      </w:r>
    </w:p>
    <w:p w:rsidR="00C5217C" w:rsidRDefault="00C5217C" w:rsidP="00C5217C">
      <w:pPr>
        <w:ind w:firstLine="360"/>
        <w:jc w:val="both"/>
        <w:rPr>
          <w:lang/>
        </w:rPr>
      </w:pPr>
    </w:p>
    <w:p w:rsidR="00C5217C" w:rsidRDefault="00C5217C" w:rsidP="00C5217C">
      <w:pPr>
        <w:pStyle w:val="ListParagraph"/>
        <w:numPr>
          <w:ilvl w:val="0"/>
          <w:numId w:val="2"/>
        </w:numPr>
        <w:ind w:left="709" w:hanging="709"/>
        <w:jc w:val="both"/>
        <w:rPr>
          <w:lang/>
        </w:rPr>
      </w:pPr>
      <w:r>
        <w:rPr>
          <w:lang/>
        </w:rPr>
        <w:t>Зашто је доношење Закона најбољи начин за решавање проблема?</w:t>
      </w:r>
    </w:p>
    <w:p w:rsidR="00C5217C" w:rsidRDefault="00C5217C" w:rsidP="00C5217C">
      <w:pPr>
        <w:pStyle w:val="ListParagraph"/>
        <w:ind w:left="0" w:firstLine="709"/>
        <w:jc w:val="both"/>
        <w:rPr>
          <w:lang/>
        </w:rPr>
      </w:pPr>
      <w:r>
        <w:rPr>
          <w:lang/>
        </w:rPr>
        <w:tab/>
        <w:t>Доношење овог закона је једини начин за решавање проблема, из разлога наведених у тачки 3.</w:t>
      </w:r>
    </w:p>
    <w:p w:rsidR="00C5217C" w:rsidRDefault="00C5217C" w:rsidP="00C5217C">
      <w:pPr>
        <w:pStyle w:val="ListParagraph"/>
        <w:ind w:left="0" w:firstLine="709"/>
        <w:jc w:val="both"/>
        <w:rPr>
          <w:lang w:val="sr-Cyrl-CS"/>
        </w:rPr>
      </w:pPr>
    </w:p>
    <w:p w:rsidR="00C5217C" w:rsidRDefault="00C5217C" w:rsidP="00C5217C">
      <w:pPr>
        <w:pStyle w:val="ListParagraph"/>
        <w:ind w:left="0" w:firstLine="709"/>
        <w:jc w:val="both"/>
        <w:rPr>
          <w:lang w:val="sr-Cyrl-CS"/>
        </w:rPr>
      </w:pPr>
    </w:p>
    <w:p w:rsidR="00C5217C" w:rsidRDefault="00C5217C" w:rsidP="00C5217C">
      <w:pPr>
        <w:pStyle w:val="ListParagraph"/>
        <w:ind w:left="0" w:firstLine="709"/>
        <w:jc w:val="both"/>
        <w:rPr>
          <w:lang w:val="sr-Cyrl-CS"/>
        </w:rPr>
      </w:pPr>
    </w:p>
    <w:p w:rsidR="00C5217C" w:rsidRDefault="00C5217C" w:rsidP="00C5217C">
      <w:pPr>
        <w:pStyle w:val="ListParagraph"/>
        <w:ind w:left="0" w:firstLine="709"/>
        <w:jc w:val="both"/>
        <w:rPr>
          <w:lang w:val="sr-Cyrl-CS"/>
        </w:rPr>
      </w:pPr>
    </w:p>
    <w:p w:rsidR="00C5217C" w:rsidRDefault="00C5217C" w:rsidP="00C5217C">
      <w:pPr>
        <w:pStyle w:val="ListParagraph"/>
        <w:ind w:left="0" w:firstLine="709"/>
        <w:jc w:val="both"/>
        <w:rPr>
          <w:lang w:val="sr-Cyrl-CS"/>
        </w:rPr>
      </w:pPr>
    </w:p>
    <w:p w:rsidR="00C5217C" w:rsidRDefault="00C5217C" w:rsidP="00C5217C">
      <w:pPr>
        <w:pStyle w:val="ListParagraph"/>
        <w:numPr>
          <w:ilvl w:val="0"/>
          <w:numId w:val="2"/>
        </w:numPr>
        <w:ind w:left="709"/>
        <w:jc w:val="both"/>
        <w:rPr>
          <w:lang/>
        </w:rPr>
      </w:pPr>
      <w:r>
        <w:rPr>
          <w:lang/>
        </w:rPr>
        <w:t>На кога ће и како ће највероватније утицати решења у закону?</w:t>
      </w:r>
    </w:p>
    <w:p w:rsidR="00C5217C" w:rsidRDefault="00C5217C" w:rsidP="00C5217C">
      <w:pPr>
        <w:ind w:firstLine="720"/>
        <w:jc w:val="both"/>
        <w:rPr>
          <w:lang/>
        </w:rPr>
      </w:pPr>
      <w:r>
        <w:rPr>
          <w:lang/>
        </w:rPr>
        <w:t xml:space="preserve">Решења предложена у закону најдиректније ће утицати на органе надлежне за издавање потребних аката у поступку изградње објеката, на начин да је овим законом прецизно утврђена надлежност за издавање потребних аката, а која је иначе у складу са чланом 133. Закона о планирању и изградњи, као и утицати на инвеститора, односно на његове обавезе у поступцима реализације пројекта изградње. </w:t>
      </w:r>
    </w:p>
    <w:p w:rsidR="00C5217C" w:rsidRDefault="00C5217C" w:rsidP="00C5217C">
      <w:pPr>
        <w:ind w:firstLine="720"/>
        <w:jc w:val="both"/>
        <w:rPr>
          <w:lang/>
        </w:rPr>
      </w:pPr>
    </w:p>
    <w:p w:rsidR="00C5217C" w:rsidRDefault="00C5217C" w:rsidP="00C5217C">
      <w:pPr>
        <w:jc w:val="both"/>
        <w:rPr>
          <w:lang/>
        </w:rPr>
      </w:pPr>
      <w:r>
        <w:rPr>
          <w:lang/>
        </w:rPr>
        <w:t>6.</w:t>
      </w:r>
      <w:r>
        <w:rPr>
          <w:lang/>
        </w:rPr>
        <w:tab/>
        <w:t>Какве трошкове ће примена Закона створити грађанима и привреди (нарочито малим и средњим предузећима)?</w:t>
      </w:r>
    </w:p>
    <w:p w:rsidR="00C5217C" w:rsidRDefault="00C5217C" w:rsidP="00C5217C">
      <w:pPr>
        <w:ind w:firstLine="720"/>
        <w:jc w:val="both"/>
        <w:rPr>
          <w:lang/>
        </w:rPr>
      </w:pPr>
      <w:r>
        <w:rPr>
          <w:lang/>
        </w:rPr>
        <w:t>Све трошкове који настану, непосредно ће сносити инвеститор. Мала и средња предузећа неће имати никакве трошкове.</w:t>
      </w:r>
    </w:p>
    <w:p w:rsidR="00C5217C" w:rsidRDefault="00C5217C" w:rsidP="00C5217C">
      <w:pPr>
        <w:ind w:firstLine="720"/>
        <w:jc w:val="both"/>
        <w:rPr>
          <w:lang/>
        </w:rPr>
      </w:pPr>
    </w:p>
    <w:p w:rsidR="00C5217C" w:rsidRDefault="00C5217C" w:rsidP="00C5217C">
      <w:pPr>
        <w:jc w:val="both"/>
      </w:pPr>
      <w:r>
        <w:rPr>
          <w:lang/>
        </w:rPr>
        <w:t>7.</w:t>
      </w:r>
      <w:r>
        <w:rPr>
          <w:lang/>
        </w:rPr>
        <w:tab/>
        <w:t>Да ли су позитивне последице такве да оправдавају трошкове које ће он створити?</w:t>
      </w:r>
      <w:r>
        <w:rPr>
          <w:lang/>
        </w:rPr>
        <w:tab/>
      </w:r>
    </w:p>
    <w:p w:rsidR="00C5217C" w:rsidRDefault="00C5217C" w:rsidP="00C5217C">
      <w:pPr>
        <w:jc w:val="both"/>
      </w:pPr>
      <w:r>
        <w:t xml:space="preserve">             </w:t>
      </w:r>
      <w:r>
        <w:rPr>
          <w:lang/>
        </w:rPr>
        <w:t>Предлагач сматра да последице измене предложених чланова у потпуности оправдавају трошкове које ће он, евентуално створити (повећање радног ангажовања запослених у градској управи...).</w:t>
      </w:r>
    </w:p>
    <w:p w:rsidR="00C5217C" w:rsidRDefault="00C5217C" w:rsidP="00C5217C">
      <w:pPr>
        <w:jc w:val="both"/>
      </w:pPr>
    </w:p>
    <w:p w:rsidR="00C5217C" w:rsidRDefault="00C5217C" w:rsidP="00C5217C">
      <w:pPr>
        <w:jc w:val="both"/>
        <w:rPr>
          <w:lang/>
        </w:rPr>
      </w:pPr>
      <w:r>
        <w:rPr>
          <w:lang/>
        </w:rPr>
        <w:t>8.</w:t>
      </w:r>
      <w:r>
        <w:rPr>
          <w:lang/>
        </w:rPr>
        <w:tab/>
        <w:t>Да ли Закон подржава стварање нових привредних субјеката на тржишту и тржишну конкуренцију?</w:t>
      </w:r>
    </w:p>
    <w:p w:rsidR="00C5217C" w:rsidRDefault="00C5217C" w:rsidP="00C5217C">
      <w:pPr>
        <w:ind w:firstLine="720"/>
        <w:jc w:val="both"/>
        <w:rPr>
          <w:lang/>
        </w:rPr>
      </w:pPr>
      <w:r>
        <w:rPr>
          <w:lang/>
        </w:rPr>
        <w:t>Сама чињеница да ће бити потребно ангажовање великог броја привредних субјеката на пројектовању, извођењу и одржавању објеката, утицаће и на тржишну конкуренцију међу њима.</w:t>
      </w:r>
    </w:p>
    <w:p w:rsidR="00C5217C" w:rsidRDefault="00C5217C" w:rsidP="00C5217C">
      <w:pPr>
        <w:ind w:firstLine="720"/>
        <w:jc w:val="both"/>
        <w:rPr>
          <w:lang/>
        </w:rPr>
      </w:pPr>
    </w:p>
    <w:p w:rsidR="00C5217C" w:rsidRDefault="00C5217C" w:rsidP="00C5217C">
      <w:pPr>
        <w:tabs>
          <w:tab w:val="left" w:pos="720"/>
        </w:tabs>
        <w:jc w:val="both"/>
        <w:rPr>
          <w:lang/>
        </w:rPr>
      </w:pPr>
      <w:r>
        <w:rPr>
          <w:lang/>
        </w:rPr>
        <w:t>9.</w:t>
      </w:r>
      <w:r>
        <w:rPr>
          <w:lang/>
        </w:rPr>
        <w:tab/>
        <w:t>Да ли су заинтересоване стране имале прилику да се изјасне о Закону?</w:t>
      </w:r>
    </w:p>
    <w:p w:rsidR="00C5217C" w:rsidRDefault="00C5217C" w:rsidP="00C5217C">
      <w:pPr>
        <w:tabs>
          <w:tab w:val="left" w:pos="720"/>
        </w:tabs>
        <w:jc w:val="both"/>
        <w:rPr>
          <w:lang/>
        </w:rPr>
      </w:pPr>
      <w:r>
        <w:rPr>
          <w:lang/>
        </w:rPr>
        <w:tab/>
        <w:t xml:space="preserve">Током израде Нацрта закона предлагач се консултовало са одређеним бројем пројектантских кућа и извођачких фирми у погледу предложених решења. </w:t>
      </w:r>
    </w:p>
    <w:p w:rsidR="00C5217C" w:rsidRDefault="00C5217C" w:rsidP="00C5217C">
      <w:pPr>
        <w:tabs>
          <w:tab w:val="left" w:pos="720"/>
        </w:tabs>
        <w:jc w:val="both"/>
        <w:rPr>
          <w:lang/>
        </w:rPr>
      </w:pPr>
    </w:p>
    <w:p w:rsidR="00C5217C" w:rsidRDefault="00C5217C" w:rsidP="00C5217C">
      <w:pPr>
        <w:tabs>
          <w:tab w:val="left" w:pos="720"/>
        </w:tabs>
        <w:jc w:val="both"/>
        <w:rPr>
          <w:lang/>
        </w:rPr>
      </w:pPr>
      <w:r>
        <w:rPr>
          <w:lang/>
        </w:rPr>
        <w:lastRenderedPageBreak/>
        <w:t>10.</w:t>
      </w:r>
      <w:r>
        <w:rPr>
          <w:lang/>
        </w:rPr>
        <w:tab/>
        <w:t>Које ће се мере током примене Закона предузети да би се остварило оно што се доношењем Закона намерава?</w:t>
      </w:r>
    </w:p>
    <w:p w:rsidR="00C5217C" w:rsidRDefault="00C5217C" w:rsidP="00C5217C">
      <w:pPr>
        <w:tabs>
          <w:tab w:val="left" w:pos="720"/>
        </w:tabs>
        <w:jc w:val="both"/>
        <w:rPr>
          <w:lang/>
        </w:rPr>
      </w:pPr>
      <w:r>
        <w:rPr>
          <w:lang/>
        </w:rPr>
        <w:tab/>
        <w:t>По ступању на правну снагу овог Закона, надлежни органи и инвеститор, као и одговорни пројектанти и извођачи радова ће непосредно примењивати Закон (није предвиђено доношење подзаконских аката на основу овог закона).</w:t>
      </w:r>
    </w:p>
    <w:p w:rsidR="00C5217C" w:rsidRDefault="00C5217C" w:rsidP="00C5217C">
      <w:pPr>
        <w:tabs>
          <w:tab w:val="left" w:pos="720"/>
        </w:tabs>
        <w:ind w:firstLine="240"/>
        <w:jc w:val="both"/>
        <w:rPr>
          <w:lang/>
        </w:rPr>
      </w:pPr>
    </w:p>
    <w:p w:rsidR="00C5217C" w:rsidRDefault="00C5217C" w:rsidP="00C5217C">
      <w:pPr>
        <w:tabs>
          <w:tab w:val="left" w:pos="720"/>
        </w:tabs>
        <w:jc w:val="both"/>
        <w:rPr>
          <w:lang/>
        </w:rPr>
      </w:pPr>
      <w:r>
        <w:rPr>
          <w:lang/>
        </w:rPr>
        <w:t>V. ПРОЦЕНА ФИНАНСИЈСКИХ СРЕДСТАВА ПОТРЕБНИХ ЗА СПРОВОЂЕЊЕ ЗАКОНА</w:t>
      </w:r>
    </w:p>
    <w:p w:rsidR="00C5217C" w:rsidRDefault="00C5217C" w:rsidP="00C5217C">
      <w:pPr>
        <w:tabs>
          <w:tab w:val="left" w:pos="720"/>
        </w:tabs>
        <w:jc w:val="both"/>
        <w:rPr>
          <w:lang/>
        </w:rPr>
      </w:pPr>
    </w:p>
    <w:p w:rsidR="00C5217C" w:rsidRDefault="00C5217C" w:rsidP="00C5217C">
      <w:pPr>
        <w:tabs>
          <w:tab w:val="left" w:pos="720"/>
        </w:tabs>
        <w:jc w:val="both"/>
      </w:pPr>
      <w:r>
        <w:rPr>
          <w:lang/>
        </w:rPr>
        <w:tab/>
        <w:t>За спровођење овог закона нису потребна финансијска средства из буџета.</w:t>
      </w:r>
    </w:p>
    <w:p w:rsidR="00C5217C" w:rsidRDefault="00C5217C" w:rsidP="00C5217C">
      <w:pPr>
        <w:tabs>
          <w:tab w:val="left" w:pos="720"/>
        </w:tabs>
        <w:jc w:val="center"/>
        <w:rPr>
          <w:lang w:val="sr-Cyrl-CS"/>
        </w:rPr>
      </w:pPr>
    </w:p>
    <w:p w:rsidR="00C5217C" w:rsidRDefault="00C5217C" w:rsidP="00C5217C">
      <w:pPr>
        <w:tabs>
          <w:tab w:val="left" w:pos="720"/>
        </w:tabs>
        <w:jc w:val="both"/>
        <w:rPr>
          <w:lang/>
        </w:rPr>
      </w:pPr>
    </w:p>
    <w:p w:rsidR="00C5217C" w:rsidRDefault="00C5217C" w:rsidP="00C5217C">
      <w:pPr>
        <w:tabs>
          <w:tab w:val="left" w:pos="720"/>
        </w:tabs>
        <w:rPr>
          <w:lang w:val="sr-Latn-CS"/>
        </w:rPr>
      </w:pPr>
      <w:r>
        <w:rPr>
          <w:lang w:val="sr-Latn-CS"/>
        </w:rPr>
        <w:t>V</w:t>
      </w:r>
      <w:r>
        <w:rPr>
          <w:lang/>
        </w:rPr>
        <w:t>I</w:t>
      </w:r>
      <w:r>
        <w:rPr>
          <w:lang w:val="sr-Latn-CS"/>
        </w:rPr>
        <w:t xml:space="preserve">. </w:t>
      </w:r>
      <w:r>
        <w:rPr>
          <w:lang w:val="sr-Cyrl-CS"/>
        </w:rPr>
        <w:t xml:space="preserve"> </w:t>
      </w:r>
      <w:r>
        <w:rPr>
          <w:lang w:val="sr-Latn-CS"/>
        </w:rPr>
        <w:t>РАЗЛОЗИ ЗА ДОНОШЕЊЕ ЗАКОНА ПО ХИТНОМ ПОСТУПКУ</w:t>
      </w:r>
    </w:p>
    <w:p w:rsidR="00C5217C" w:rsidRDefault="00C5217C" w:rsidP="00C5217C">
      <w:pPr>
        <w:tabs>
          <w:tab w:val="left" w:pos="720"/>
        </w:tabs>
        <w:ind w:firstLine="240"/>
      </w:pPr>
    </w:p>
    <w:p w:rsidR="00C5217C" w:rsidRDefault="00C5217C" w:rsidP="00C5217C">
      <w:pPr>
        <w:tabs>
          <w:tab w:val="left" w:pos="720"/>
        </w:tabs>
        <w:jc w:val="both"/>
        <w:rPr>
          <w:lang/>
        </w:rPr>
      </w:pPr>
      <w:r>
        <w:rPr>
          <w:lang w:val="sr-Cyrl-CS"/>
        </w:rPr>
        <w:tab/>
        <w:t>Овај закон, сагласно члану 167. Пословника Народне скупштине</w:t>
      </w:r>
      <w:r>
        <w:rPr>
          <w:lang w:val="sr-Latn-CS"/>
        </w:rPr>
        <w:t xml:space="preserve"> </w:t>
      </w:r>
      <w:r>
        <w:rPr>
          <w:lang w:val="sr-Cyrl-CS"/>
        </w:rPr>
        <w:t>(„Сл</w:t>
      </w:r>
      <w:r>
        <w:rPr>
          <w:lang/>
        </w:rPr>
        <w:t>ужбени</w:t>
      </w:r>
      <w:r>
        <w:rPr>
          <w:lang w:val="sr-Cyrl-CS"/>
        </w:rPr>
        <w:t xml:space="preserve"> гласник РС”, број </w:t>
      </w:r>
      <w:r>
        <w:rPr>
          <w:lang w:val="sr-Latn-CS"/>
        </w:rPr>
        <w:t>20</w:t>
      </w:r>
      <w:r>
        <w:rPr>
          <w:lang w:val="sr-Cyrl-CS"/>
        </w:rPr>
        <w:t>/1</w:t>
      </w:r>
      <w:r>
        <w:rPr>
          <w:lang w:val="sr-Latn-CS"/>
        </w:rPr>
        <w:t xml:space="preserve">2 – пречишћени </w:t>
      </w:r>
      <w:r>
        <w:rPr>
          <w:lang w:val="sr-Cyrl-CS"/>
        </w:rPr>
        <w:t xml:space="preserve">текст), треба донети по хитном поступку, с обзиром на </w:t>
      </w:r>
      <w:r>
        <w:rPr>
          <w:lang/>
        </w:rPr>
        <w:t xml:space="preserve">то да је неопходно да Закон што пре ступи на снагу како би </w:t>
      </w:r>
      <w:r>
        <w:rPr>
          <w:lang w:val="sr-Cyrl-CS"/>
        </w:rPr>
        <w:t>Пројекат „Београд на води” био завршен у року.</w:t>
      </w:r>
    </w:p>
    <w:p w:rsidR="00C5217C" w:rsidRDefault="00C5217C" w:rsidP="00C5217C">
      <w:pPr>
        <w:jc w:val="center"/>
        <w:rPr>
          <w:lang w:val="sr-Cyrl-CS"/>
        </w:rPr>
      </w:pPr>
    </w:p>
    <w:p w:rsidR="00C5217C" w:rsidRDefault="00C5217C" w:rsidP="00C5217C">
      <w:pPr>
        <w:jc w:val="center"/>
      </w:pPr>
      <w:r>
        <w:rPr>
          <w:lang w:val="sr-Cyrl-CS"/>
        </w:rPr>
        <w:t>ПРЕГЛЕД ОДРЕДАБА КОЈЕ СЕ ДОПУЊУЈУ</w:t>
      </w:r>
    </w:p>
    <w:p w:rsidR="00C5217C" w:rsidRDefault="00C5217C" w:rsidP="00C5217C">
      <w:pPr>
        <w:jc w:val="center"/>
      </w:pPr>
    </w:p>
    <w:p w:rsidR="00C5217C" w:rsidRDefault="00C5217C" w:rsidP="00C5217C">
      <w:pPr>
        <w:jc w:val="center"/>
        <w:rPr>
          <w:lang w:val="sr-Cyrl-CS"/>
        </w:rPr>
      </w:pPr>
      <w:r>
        <w:rPr>
          <w:lang w:val="sr-Cyrl-CS"/>
        </w:rPr>
        <w:t>Члан 1</w:t>
      </w:r>
      <w:r>
        <w:rPr>
          <w:lang/>
        </w:rPr>
        <w:t>5</w:t>
      </w:r>
      <w:r>
        <w:rPr>
          <w:lang w:val="sr-Cyrl-CS"/>
        </w:rPr>
        <w:t>.</w:t>
      </w:r>
    </w:p>
    <w:p w:rsidR="00C5217C" w:rsidRDefault="00C5217C" w:rsidP="00C5217C">
      <w:pPr>
        <w:spacing w:line="256" w:lineRule="auto"/>
        <w:ind w:firstLine="709"/>
        <w:jc w:val="both"/>
        <w:rPr>
          <w:color w:val="FF0000"/>
          <w:lang w:val="sr-Cyrl-CS"/>
        </w:rPr>
      </w:pPr>
      <w:r>
        <w:rPr>
          <w:lang w:val="sr-Cyrl-CS"/>
        </w:rPr>
        <w:t>Локацијски услови, грађевинска дозвола, пријава радова и употребна дозвола издају се инвеститору, у складу са одредбама закона којим се уређује изградња објеката, ако овим законом није друкчије прописано.</w:t>
      </w:r>
    </w:p>
    <w:p w:rsidR="00C5217C" w:rsidRDefault="00C5217C" w:rsidP="00C5217C">
      <w:pPr>
        <w:spacing w:line="256" w:lineRule="auto"/>
        <w:ind w:firstLine="709"/>
        <w:jc w:val="both"/>
        <w:rPr>
          <w:rFonts w:eastAsia="Times New Roman"/>
          <w:lang w:bidi="en-US"/>
        </w:rPr>
      </w:pPr>
      <w:r>
        <w:rPr>
          <w:lang w:val="sr-Cyrl-CS"/>
        </w:rPr>
        <w:t>Грађевинска дозвола издаје се инвеститору или инвеститору и финансијеру.</w:t>
      </w:r>
    </w:p>
    <w:p w:rsidR="00C5217C" w:rsidRDefault="00C5217C" w:rsidP="00C5217C">
      <w:pPr>
        <w:ind w:firstLine="720"/>
        <w:jc w:val="both"/>
        <w:rPr>
          <w:lang/>
        </w:rPr>
      </w:pPr>
      <w:r>
        <w:rPr>
          <w:lang/>
        </w:rPr>
        <w:t>ПОВЕРАВА СЕ ГРАДУ БЕОГРАДУ ИЗДАВАЊЕ ГРАЂЕВИНСКИХ ДОЗВОЛА ЗА ИЗГРАДЊУ ОБЈЕКАТА И ЈАВНИХ ПОВРШИНА У ОБУХВАТУ ПЛАНСКОГ ДОКУМЕНТА, ОСИМ ЗА ОБЈЕКТЕ ИЗ ЧЛАНА 133. ЗАКОНА О ПЛАНИРАЊУ И ИЗГРАДЊИ („СЛУЖБЕНИ ГЛАСНИК РС”, БР. 72/09, 81/09 – ИСПРАВКА, 64/10 – УС, 24/11, 121/12, 42/13</w:t>
      </w:r>
      <w:r>
        <w:rPr>
          <w:lang/>
        </w:rPr>
        <w:t xml:space="preserve"> </w:t>
      </w:r>
      <w:r>
        <w:rPr>
          <w:lang/>
        </w:rPr>
        <w:t>–</w:t>
      </w:r>
      <w:r>
        <w:rPr>
          <w:lang/>
        </w:rPr>
        <w:t xml:space="preserve"> </w:t>
      </w:r>
      <w:r>
        <w:rPr>
          <w:lang/>
        </w:rPr>
        <w:t>УС, 50/13</w:t>
      </w:r>
      <w:r>
        <w:rPr>
          <w:lang/>
        </w:rPr>
        <w:t xml:space="preserve"> </w:t>
      </w:r>
      <w:r>
        <w:rPr>
          <w:lang/>
        </w:rPr>
        <w:t>–</w:t>
      </w:r>
      <w:r>
        <w:rPr>
          <w:lang/>
        </w:rPr>
        <w:t xml:space="preserve"> </w:t>
      </w:r>
      <w:r>
        <w:rPr>
          <w:lang/>
        </w:rPr>
        <w:t>УС, 98/13</w:t>
      </w:r>
      <w:r>
        <w:rPr>
          <w:lang/>
        </w:rPr>
        <w:t xml:space="preserve"> </w:t>
      </w:r>
      <w:r>
        <w:rPr>
          <w:lang/>
        </w:rPr>
        <w:t>–</w:t>
      </w:r>
      <w:r>
        <w:rPr>
          <w:lang/>
        </w:rPr>
        <w:t xml:space="preserve"> </w:t>
      </w:r>
      <w:r>
        <w:rPr>
          <w:lang/>
        </w:rPr>
        <w:t>УС, 132/14 И 145/14 – У ДАЉЕМ ТЕКСТУ: ЗАКОН</w:t>
      </w:r>
      <w:r>
        <w:rPr>
          <w:lang w:val="sr-Cyrl-CS"/>
        </w:rPr>
        <w:t xml:space="preserve"> О ПЛАНИРАЊУ И ИЗГРАДЊИ</w:t>
      </w:r>
      <w:r>
        <w:rPr>
          <w:lang/>
        </w:rPr>
        <w:t>).</w:t>
      </w:r>
    </w:p>
    <w:p w:rsidR="00C5217C" w:rsidRDefault="00C5217C" w:rsidP="00C5217C">
      <w:pPr>
        <w:ind w:firstLine="720"/>
        <w:jc w:val="both"/>
        <w:rPr>
          <w:lang/>
        </w:rPr>
      </w:pPr>
      <w:r>
        <w:rPr>
          <w:lang/>
        </w:rPr>
        <w:t>ПРЕ ИЗДАВАЊА ГРАЂЕВИНСКЕ ДОЗВОЛЕ ЗА ОБЈЕКТЕ ВИСОКОГРАДЊЕ ПРЕКО БРУТО ГРАЂЕВИНСКЕ ПОВРШИНЕ 30.000 М</w:t>
      </w:r>
      <w:r>
        <w:rPr>
          <w:vertAlign w:val="superscript"/>
          <w:lang/>
        </w:rPr>
        <w:t>2</w:t>
      </w:r>
      <w:r>
        <w:rPr>
          <w:lang/>
        </w:rPr>
        <w:t xml:space="preserve"> У ОБУХВАТУ ПЛАНСКОГ ДОКУМЕНТА, ПО ЗАХТЕВУ ИНВЕСТИТОРА МОЖЕ СЕ ИЗДАТИ И РЕШЕЊЕ О ПОСЕБНОЈ ГРАЂЕВИНСКОЈ ДОЗВОЛИ ЗА ИЗВОЂЕЊЕ ПРИПРЕМНИХ РАДОВА. </w:t>
      </w:r>
    </w:p>
    <w:p w:rsidR="00C5217C" w:rsidRDefault="00C5217C" w:rsidP="00C5217C">
      <w:pPr>
        <w:ind w:firstLine="720"/>
        <w:jc w:val="both"/>
        <w:rPr>
          <w:lang/>
        </w:rPr>
      </w:pPr>
      <w:r>
        <w:rPr>
          <w:lang/>
        </w:rPr>
        <w:lastRenderedPageBreak/>
        <w:t>ПРИПРЕМНИ РАДОВИ, У СМИСЛУ ОВОГ ЗАКОНА, ЈЕСУ: РУШЕЊЕ ПОСТОЈЕЋИХ ОБЈЕКАТА НА ПАРЦЕЛИ, ИЗМЕШТАЊЕ ПОСТОЈЕЋЕ ИНФРАСТРУКТУРЕ НА ПАРЦЕЛИ, РАШЧИШЋАВАЊЕ ТЕРЕНА НА ПАРЦЕЛИ, ОБЕЗБЕЂЕЊЕ ПРОСТОРА ЗА ДОПРЕМУ И СМЕШТАЈ ГРАЂЕВИНСКОГ МАТЕРИЈАЛА И ОПРЕМЕ, ГРАЂЕЊЕ И ПОСТАВЉАЊЕ ОБЈЕКАТА И ИНСТАЛАЦИЈА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СИГУРНОСТ И СТАБИЛНОСТ ТЕРЕНА (ШИПОВИ, ДИЈАФРАГМЕ, ПОТПОРНИ ЗИДОВИ И СЛ.), ПОСТАВЉАЊЕ И ИЗВОЂЕЊЕ ИСПИТНИХ ШИПОВА, СОНДИРАЊЕ ТЕРЕНА У СВРХУ ГЕОТЕХНИЧКИХ ИСПИТИВАЊА И ДРУГИ ИСТРАЖНИ РАДОВИ.</w:t>
      </w:r>
    </w:p>
    <w:p w:rsidR="00C5217C" w:rsidRDefault="00C5217C" w:rsidP="00C5217C">
      <w:pPr>
        <w:ind w:firstLine="720"/>
        <w:jc w:val="both"/>
        <w:rPr>
          <w:lang/>
        </w:rPr>
      </w:pPr>
      <w:r>
        <w:rPr>
          <w:lang/>
        </w:rPr>
        <w:t>УЗ ЗАХТЕВ ЗА ИЗДАВАЊЕ РЕШЕЊА ИЗ СТАВА 4</w:t>
      </w:r>
      <w:r>
        <w:rPr>
          <w:color w:val="FF0000"/>
          <w:lang/>
        </w:rPr>
        <w:t xml:space="preserve">. </w:t>
      </w:r>
      <w:r>
        <w:rPr>
          <w:lang/>
        </w:rPr>
        <w:t>ОВОГ ЧЛАНА, ПРИЛАЖУ СЕ ЛОКАЦИЈСКИ УСЛОВИ, ДОКАЗ О ОДГОВАРАЈУЋЕМ ПРАВУ НА ОБЈЕКТУ ИЛИ ГРАЂЕВИНСКОМ ЗЕМЉИШТУ И  ПРОЈЕКАТ ЗА ИЗВОЂЕЊЕ ПРИПРЕМНИХ РАДОВА.</w:t>
      </w:r>
    </w:p>
    <w:p w:rsidR="00C5217C" w:rsidRDefault="00C5217C" w:rsidP="00C5217C">
      <w:pPr>
        <w:ind w:firstLine="720"/>
        <w:jc w:val="both"/>
        <w:rPr>
          <w:lang/>
        </w:rPr>
      </w:pPr>
      <w:r>
        <w:rPr>
          <w:lang/>
        </w:rPr>
        <w:t>ПРОЈЕКАТ ЗА ИЗВОЂЕЊЕ ПРИПРЕМНИХ РАДОВА ИЗ СТАВА 6. ОВОГ ЧЛАНА, ИЗРАЂУЈЕ СЕ У СКЛАДУ СА ПОДЗАКОНСКИМ АКТОМ О САДРЖИНИ, НАЧИНУ И ПОСТУПКУ ИЗРАДЕ ТЕХНИЧКЕ ДОКУМЕНТАЦИЈЕ. ПРОЈЕКАТ ЗА ИЗВОЂЕЊЕ ПРИПРЕМНИХ РАДОВА ПОДЛЕЖЕ ТЕХНИЧКОЈ КОНТРОЛИ.</w:t>
      </w:r>
    </w:p>
    <w:p w:rsidR="00C5217C" w:rsidRDefault="00C5217C" w:rsidP="00C5217C">
      <w:pPr>
        <w:ind w:firstLine="720"/>
        <w:jc w:val="both"/>
        <w:rPr>
          <w:lang/>
        </w:rPr>
      </w:pPr>
      <w:r>
        <w:rPr>
          <w:lang/>
        </w:rPr>
        <w:t>РЕШЕЊЕ ИЗ СТАВА 4. ОВОГ ЧЛАНА ДОНОСИ ОРГАН НАДЛЕЖАН ЗА ИЗДАВАЊЕ ГРАЂЕВИНСКЕ ДОЗВОЛЕ, У РОКУ ОД ОСАМ ДАНА ОД ДАНА ПОДНОШЕЊА УРЕДНЕ ДОКУМЕНТАЦИЈЕ.</w:t>
      </w:r>
    </w:p>
    <w:p w:rsidR="00C5217C" w:rsidRDefault="00C5217C" w:rsidP="00C5217C">
      <w:pPr>
        <w:ind w:firstLine="720"/>
        <w:jc w:val="both"/>
        <w:rPr>
          <w:lang/>
        </w:rPr>
      </w:pPr>
      <w:r>
        <w:rPr>
          <w:lang/>
        </w:rPr>
        <w:t>ПРОТИВ РЕШЕЊА ИЗ СТАВА 4. ОВОГ ЧЛАНА МОЖЕ СЕ ИЗЈАВИТИ ЖАЛБА У РОКУ ОД ОСАМ ДАНА ОД ДАНА ДОСТАВЉАЊА, А АКО ЈЕ РЕШЕЊЕ ИЗДАЛО МИНИСТАРСТВО НАДЛЕЖНО ЗА ПОСЛОВЕ ГРАЂЕВИНАРСТВА, МОЖЕ СЕ ТУЖБОМ ПОКРЕНУТИ УПРАВНИ СПОР.</w:t>
      </w:r>
    </w:p>
    <w:p w:rsidR="00C5217C" w:rsidRDefault="00C5217C" w:rsidP="00C5217C">
      <w:pPr>
        <w:ind w:firstLine="720"/>
        <w:jc w:val="both"/>
        <w:rPr>
          <w:lang/>
        </w:rPr>
      </w:pPr>
      <w:r>
        <w:rPr>
          <w:lang/>
        </w:rPr>
        <w:t xml:space="preserve">ДО ПРИВОЂЕЊА ЗЕМЉИШТА УРБАНИСТИЧКОЈ НАМЕНИ У СКЛАДУ СА ПЛАНСКИМ ДОКУМЕНТОМ, ЗА ИЗГРАДЊУ ПРИВРЕМЕНИХ ОБЈЕКАТА РАЗЛИЧИТЕ НАМЕНЕ КОЈИ СУ У ФУНКЦИЈИ ПРОЈЕКТА, ПО ЗАХТЕВУ ИНВЕСТИТОРА, МОЖЕ СЕ ИЗДАТИ ПРИВРЕМЕНА ГРАЂЕВИНСКА ДОЗВОЛА,  У СКЛАДУ СА ЧЛАНОМ 147. ЗАКОНА О ПЛАНИРАЊУ И ИЗГРАДЊИ, У ДЕЛУ КОЈИ СЕ ОДНОСИ НА УСЛОВЕ И ПОСТУПАК ИЗДАВАЊА ПРИВРЕМЕНЕ ГРАЂЕВИНСКЕ ДОЗВОЛЕ. УЗ ЗАХТЕВ ЗА ИЗДАВАЊЕ ПРИВРЕМЕНЕ ГРАЂЕВИНСКЕ ДОЗВОЛЕ ИЗ ОВОГ </w:t>
      </w:r>
      <w:r>
        <w:rPr>
          <w:lang w:val="sr-Cyrl-CS"/>
        </w:rPr>
        <w:t>СТАВА</w:t>
      </w:r>
      <w:r>
        <w:rPr>
          <w:lang/>
        </w:rPr>
        <w:t xml:space="preserve">, КАО ДОКАЗ О ОДГОВРАЈУЋЕМ ПРАВУ ИНВЕСТИТОР МОЖЕ ДОСТАВИТИ И САГЛАСНОСТ ВЛАСНИКА ЗЕМЉИШТА. </w:t>
      </w:r>
    </w:p>
    <w:p w:rsidR="00C5217C" w:rsidRDefault="00C5217C" w:rsidP="00C5217C">
      <w:pPr>
        <w:jc w:val="both"/>
      </w:pPr>
      <w:r>
        <w:rPr>
          <w:lang/>
        </w:rPr>
        <w:t xml:space="preserve"> </w:t>
      </w:r>
      <w:r>
        <w:rPr>
          <w:lang/>
        </w:rPr>
        <w:tab/>
        <w:t>ДО ПРИВОЂЕЊА ЗЕМЉИШТА УРБАНИСТИЧКОЈ НАМЕНИ У СКЛАДУ СА ПЛАНСКИМ ДОКУМЕНТОМ, МОЖЕ СЕ, У СКЛАДУ СА ЧЛАНОМ 145. ЗАКОНА О ПЛАНИРАЊУ И ИЗГРАДЊИ, ПО ЗАХТЕВУ ИНВЕСТИТОРА, ОДОБРИТИ РЕКОНСТРУЦИЈА, АДАПТАЦИЈА И САНАЦИЈА ПОСТОЈЕЋЕГ ОБЈЕКТА, УКЉУЧУЈУЋИ ОБЈЕКТЕ КОМУНАЛНЕ И ДРУГЕ ИНФРАСТРУКТУРЕ.</w:t>
      </w:r>
    </w:p>
    <w:p w:rsidR="00C5217C" w:rsidRDefault="00C5217C" w:rsidP="00C5217C">
      <w:pPr>
        <w:jc w:val="both"/>
      </w:pPr>
    </w:p>
    <w:p w:rsidR="00C5217C" w:rsidRDefault="00C5217C" w:rsidP="00C5217C">
      <w:pPr>
        <w:jc w:val="center"/>
        <w:rPr>
          <w:lang/>
        </w:rPr>
      </w:pPr>
      <w:r>
        <w:rPr>
          <w:lang/>
        </w:rPr>
        <w:t xml:space="preserve"> ЧЛАН 15А</w:t>
      </w:r>
    </w:p>
    <w:p w:rsidR="00C5217C" w:rsidRDefault="00C5217C" w:rsidP="00C5217C">
      <w:pPr>
        <w:ind w:firstLine="720"/>
        <w:jc w:val="both"/>
        <w:rPr>
          <w:lang/>
        </w:rPr>
      </w:pPr>
      <w:r>
        <w:rPr>
          <w:lang/>
        </w:rPr>
        <w:t>ЗА ИЗГРАДЊУ ОБЈЕКАТА ВИСОКОГРАДЊЕ ПРЕКО БРУТО ГРАЂЕВИНСКЕ ПОВРШИНЕ 30.000 М</w:t>
      </w:r>
      <w:r>
        <w:rPr>
          <w:vertAlign w:val="superscript"/>
          <w:lang/>
        </w:rPr>
        <w:t>2</w:t>
      </w:r>
      <w:r>
        <w:rPr>
          <w:lang/>
        </w:rPr>
        <w:t xml:space="preserve"> У ОБУХВАТУ ПЛАНСКОГ ДОКУМЕНТА, МОГУ СЕ, ЗБОГ СЛОЖЕНОСТИ ОБЈЕКТА И ТЕХНОЛОГИЈЕ ИЗВОЂЕЊА РАДОВА, ПО ЗАХТЕВУ ИНВЕСТИТОРА, ИЗДАТИ ГРАЂЕВИНСКЕ ДОЗВОЛЕ ЗА ДВЕ ОДВОЈЕНЕ ФАЗЕ ИЗГРАДЊЕ. </w:t>
      </w:r>
    </w:p>
    <w:p w:rsidR="00C5217C" w:rsidRDefault="00C5217C" w:rsidP="00C5217C">
      <w:pPr>
        <w:ind w:firstLine="720"/>
        <w:jc w:val="both"/>
        <w:rPr>
          <w:lang/>
        </w:rPr>
      </w:pPr>
      <w:r>
        <w:rPr>
          <w:lang/>
        </w:rPr>
        <w:lastRenderedPageBreak/>
        <w:t xml:space="preserve"> ПРВА ФАЗА ЗА КОЈУ СЕ ИЗДАЈЕ ГРАЂЕВИНСКА ДОЗВОЛА ОБУХВАТА ИЗВОЂЕЊЕ РАДОВА НА ИЗГРАДЊИ ТЕМЕЉА ОБЈЕКТА, УКЉУЧУЈУЋИ ПОСТАВЉАЊЕ И ИЗВОЂЕЊЕ ШИПОВА, ДОК ДРУГА ФАЗА ОБУХВАТА РАДОВЕ НА ИЗГРАДЊИ ПРЕОСТАЛОГ ДЕЛА ОБЈЕКТА. </w:t>
      </w:r>
    </w:p>
    <w:p w:rsidR="00C5217C" w:rsidRDefault="00C5217C" w:rsidP="00C5217C">
      <w:pPr>
        <w:ind w:firstLine="720"/>
        <w:jc w:val="both"/>
        <w:rPr>
          <w:lang/>
        </w:rPr>
      </w:pPr>
      <w:r>
        <w:rPr>
          <w:lang/>
        </w:rPr>
        <w:t>РЕШЕЊА О ГРАЂЕВИНСКОЈ ДОЗВОЛИ ИЗ СТАВА 2. ОВОГ ЧЛАНА НАДЛЕЖНИ ОРГАН ИЗДАЈЕ НА ОСНОВУ ПРОЈЕКТА ЗА ГРАЂЕВИНСКУ ДОЗВОЛУ КОЈИ СЕ ИЗРАЂУЈЕ ЗА СВАКУ ПОСЕБНУ ФАЗУ И УЗ ИСПУЊЕЊЕ ДРУГИХ, ЗАКОНОМ ПРОПИСАНИХ УСЛОВА. ПРОЈЕКАТ ЗА ГРАЂЕВИНСКУ ДОЗВОЛУ ИЗРАЂУЈЕ СЕ У СКЛАДУ СА ПОДЗАКОНСКИМ АКТОМ О САДРЖИНИ, НАЧИНУ И ПОСТУПКУ ИЗРАДЕ ТЕХНИЧКЕ ДОКУМЕНТАЦИЈЕ И ПОДЛЕЖЕ ТЕХНИЧКОЈ КОНТРОЛИ.</w:t>
      </w:r>
    </w:p>
    <w:p w:rsidR="00C5217C" w:rsidRDefault="00C5217C" w:rsidP="00C5217C">
      <w:pPr>
        <w:ind w:firstLine="720"/>
        <w:jc w:val="both"/>
        <w:rPr>
          <w:lang/>
        </w:rPr>
      </w:pPr>
      <w:r>
        <w:rPr>
          <w:lang/>
        </w:rPr>
        <w:t>КАДА РЕШЕЊЕ О ГРАЂЕВИНСКОЈ ДОЗВОЛИ ИЗ СТАВА 3. ОВОГ ЧЛАНА ИЗДАЈЕ  МИНИСТАРСТВО НАДЛЕЖНО ЗА ПОСЛОВЕ ГРАЂЕВИНАРСТВА, ПРЕ ПОДНОШЕЊА ЗАХТЕВА ЗА ИЗДАВАЊЕ ГРАЂЕВИНСКЕ ДОЗВОЛЕ ЗА ПРВУ ФАЗУ, ИЗРАЂУЈЕ СЕ ИДЕЈНИ ПРОЈЕКАТ ЗА ОБЕ ФАЗЕ ИЗГРАДЊЕ, ОДНОСНО ЗА ОБЈЕКАТ У ЦЕЛИНИ, КОЈИ ПОДЛЕЖЕ СТРУЧНОЈ КОНТРОЛИ ОД СТРАНЕ РЕВИЗИОНЕ КОМИСИЈЕ, У СКЛАДУ СА ЗАКОНОМ КОЈИМ СЕ УРЕЂУЈЕ ИЗГРАДЊА ОБЈЕКАТА.</w:t>
      </w:r>
    </w:p>
    <w:p w:rsidR="00C5217C" w:rsidRDefault="00C5217C" w:rsidP="00C5217C">
      <w:pPr>
        <w:ind w:firstLine="720"/>
        <w:jc w:val="both"/>
        <w:rPr>
          <w:lang/>
        </w:rPr>
      </w:pPr>
    </w:p>
    <w:p w:rsidR="00C5217C" w:rsidRDefault="00C5217C" w:rsidP="00C5217C">
      <w:pPr>
        <w:ind w:firstLine="720"/>
        <w:jc w:val="both"/>
        <w:rPr>
          <w:lang/>
        </w:rPr>
      </w:pPr>
    </w:p>
    <w:p w:rsidR="00C5217C" w:rsidRDefault="00C5217C" w:rsidP="00C5217C">
      <w:pPr>
        <w:ind w:firstLine="720"/>
        <w:jc w:val="both"/>
        <w:rPr>
          <w:lang/>
        </w:rPr>
      </w:pPr>
    </w:p>
    <w:p w:rsidR="00C5217C" w:rsidRDefault="00C5217C" w:rsidP="00C5217C">
      <w:pPr>
        <w:ind w:firstLine="720"/>
        <w:jc w:val="both"/>
        <w:rPr>
          <w:lang/>
        </w:rPr>
      </w:pPr>
    </w:p>
    <w:p w:rsidR="00C5217C" w:rsidRDefault="00C5217C" w:rsidP="00C5217C">
      <w:pPr>
        <w:ind w:firstLine="720"/>
        <w:jc w:val="both"/>
      </w:pPr>
    </w:p>
    <w:p w:rsidR="00C5217C" w:rsidRDefault="00C5217C" w:rsidP="00C5217C">
      <w:pPr>
        <w:ind w:firstLine="720"/>
        <w:jc w:val="both"/>
      </w:pPr>
    </w:p>
    <w:p w:rsidR="00C5217C" w:rsidRDefault="00C5217C" w:rsidP="00C5217C">
      <w:pPr>
        <w:jc w:val="center"/>
        <w:rPr>
          <w:lang/>
        </w:rPr>
      </w:pPr>
      <w:r>
        <w:rPr>
          <w:lang/>
        </w:rPr>
        <w:t xml:space="preserve">ЧЛАН 15Б </w:t>
      </w:r>
    </w:p>
    <w:p w:rsidR="00C5217C" w:rsidRDefault="00C5217C" w:rsidP="00C5217C">
      <w:pPr>
        <w:ind w:firstLine="720"/>
        <w:jc w:val="both"/>
        <w:rPr>
          <w:lang/>
        </w:rPr>
      </w:pPr>
      <w:r>
        <w:rPr>
          <w:lang/>
        </w:rPr>
        <w:t>ТЕХНИЧКА КОНТРОЛА И РЕВИЗИОНА КОМИСИЈА ИЗ ЧЛАНА 131. ЗАКОНА О ПЛАНИРАЊУ И ИЗГРАДЊИ МОГУ, ПРИЛИКОМ ОЦЕНЕ ИСПУЊЕНОСТИ УСЛОВА УТВРЂЕНИХ ПОСЕБНИМ ПРОПИСИМА, СТАНДАРДИМА И ДРУГИМ АКТИМА, ПРИХВАТИТИ ДОКАЗИВАЊЕ ИСПУЊЕНОСТИ ЗАХТЕВА И ПРЕМА СТРАНИМ ПРОПИСИМА И СТАНДАРДИМА, КАО И ПРЕМА ПРИЗНАТИМ МЕТОДАМА ПРОРАЧУНА И МОДЕЛИМА УКОЛИКО СУ ТИМ ПРОПИСИМА ПРЕДВИЂЕНИ, У ЦИЉУ ИСПУЊАВАЊА ОСНОВНИХ ЗАХТЕВА ЗА ОБЈЕКАТ, КАО И ЗАХТЕВА ЗА ЊЕГОВО ПРОЈЕКТОВАЊЕ, ИЗВОЂЕЊЕ И ОДРЖАВАЊЕ.</w:t>
      </w:r>
    </w:p>
    <w:p w:rsidR="00C5217C" w:rsidRDefault="00C5217C" w:rsidP="00C5217C">
      <w:pPr>
        <w:ind w:firstLine="720"/>
        <w:jc w:val="both"/>
        <w:rPr>
          <w:lang/>
        </w:rPr>
      </w:pPr>
      <w:r>
        <w:rPr>
          <w:lang/>
        </w:rPr>
        <w:t>КАДА СЕ ПРИМЕЊУЈУ ПОСЕБНИ МЕЂУНАРОДНИ ИЛИ ЕВРОПСКИ ПРОПИСИ, НОРМАТИВИ И СТАНДАРДИ, ОНИ ТРЕБА ДА БУДУ НАВЕДЕНИ У ТЕХНИЧКОМ ДОКУМЕНТУ, А ИСПУЊЕНОСТ ЗАХТЕВА СЕ ДОКАЗУЈЕ НА НАЧИН КОЈИ ЈЕ ПРЕДВИЂЕН ПРОПИСОМ, ОДНОСНО СТАНДАРДОМ КОЈИ ЈЕ ПРИМЕЊЕН.</w:t>
      </w:r>
    </w:p>
    <w:p w:rsidR="00C5217C" w:rsidRDefault="00C5217C" w:rsidP="00C5217C">
      <w:pPr>
        <w:jc w:val="both"/>
        <w:rPr>
          <w:lang/>
        </w:rPr>
      </w:pPr>
    </w:p>
    <w:p w:rsidR="00C5217C" w:rsidRDefault="00C5217C" w:rsidP="00C5217C">
      <w:pPr>
        <w:jc w:val="center"/>
      </w:pPr>
    </w:p>
    <w:p w:rsidR="00C5217C" w:rsidRDefault="00C5217C">
      <w:pPr>
        <w:spacing w:after="0" w:line="240" w:lineRule="auto"/>
        <w:rPr>
          <w:rFonts w:ascii="Times New Roman" w:hAnsi="Times New Roman"/>
          <w:sz w:val="24"/>
          <w:szCs w:val="24"/>
        </w:rPr>
      </w:pPr>
      <w:r>
        <w:rPr>
          <w:rFonts w:ascii="Times New Roman" w:hAnsi="Times New Roman"/>
          <w:sz w:val="24"/>
          <w:szCs w:val="24"/>
        </w:rPr>
        <w:br w:type="page"/>
      </w:r>
    </w:p>
    <w:p w:rsidR="00C5217C" w:rsidRPr="008E7CFC" w:rsidRDefault="00C5217C" w:rsidP="00C5217C">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rPr>
        <w:lastRenderedPageBreak/>
        <w:t>ИЗЈАВ</w:t>
      </w:r>
      <w:r>
        <w:rPr>
          <w:b/>
          <w:sz w:val="28"/>
          <w:lang w:val="sr-Cyrl-CS"/>
        </w:rPr>
        <w:t>А</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C5217C" w:rsidRPr="00955514" w:rsidRDefault="00C5217C" w:rsidP="00C5217C">
      <w:pPr>
        <w:pStyle w:val="FootnoteText"/>
        <w:rPr>
          <w:lang w:val="sr-Cyrl-CS"/>
        </w:rPr>
      </w:pPr>
    </w:p>
    <w:p w:rsidR="00C5217C" w:rsidRDefault="00C5217C" w:rsidP="00C5217C">
      <w:pPr>
        <w:rPr>
          <w:b/>
          <w:lang w:val="sr-Cyrl-CS"/>
        </w:rPr>
      </w:pPr>
      <w:r>
        <w:rPr>
          <w:b/>
        </w:rPr>
        <w:t xml:space="preserve">1. </w:t>
      </w:r>
      <w:r>
        <w:rPr>
          <w:b/>
          <w:lang w:val="sr-Cyrl-CS"/>
        </w:rPr>
        <w:t>Овлашћени предлагач прописа</w:t>
      </w:r>
      <w:r>
        <w:rPr>
          <w:b/>
          <w:lang/>
        </w:rPr>
        <w:t>:</w:t>
      </w:r>
      <w:r>
        <w:rPr>
          <w:b/>
          <w:lang w:val="sr-Cyrl-CS"/>
        </w:rPr>
        <w:t xml:space="preserve"> </w:t>
      </w:r>
      <w:r w:rsidRPr="005E6A60">
        <w:rPr>
          <w:lang w:val="sr-Cyrl-CS"/>
        </w:rPr>
        <w:t>Влада</w:t>
      </w:r>
    </w:p>
    <w:p w:rsidR="00C5217C" w:rsidRPr="005E6A60" w:rsidRDefault="00C5217C" w:rsidP="00C5217C">
      <w:pPr>
        <w:rPr>
          <w:lang w:val="sr-Cyrl-CS"/>
        </w:rPr>
      </w:pPr>
      <w:r>
        <w:rPr>
          <w:i/>
        </w:rPr>
        <w:t xml:space="preserve">   </w:t>
      </w:r>
      <w:r w:rsidRPr="005E6A60">
        <w:rPr>
          <w:b/>
          <w:lang/>
        </w:rPr>
        <w:t>Обрађивач:</w:t>
      </w:r>
      <w:r>
        <w:rPr>
          <w:lang/>
        </w:rPr>
        <w:t xml:space="preserve"> </w:t>
      </w:r>
      <w:r w:rsidRPr="005E6A60">
        <w:t>Министарство финансија</w:t>
      </w:r>
    </w:p>
    <w:p w:rsidR="00C5217C" w:rsidRPr="005E6A60" w:rsidRDefault="00C5217C" w:rsidP="00C5217C">
      <w:pPr>
        <w:rPr>
          <w:lang w:val="sr-Cyrl-CS"/>
        </w:rPr>
      </w:pPr>
    </w:p>
    <w:p w:rsidR="00C5217C" w:rsidRDefault="00C5217C" w:rsidP="00C5217C">
      <w:pPr>
        <w:rPr>
          <w:b/>
          <w:lang w:val="sr-Cyrl-CS"/>
        </w:rPr>
      </w:pPr>
      <w:r>
        <w:rPr>
          <w:b/>
        </w:rPr>
        <w:t xml:space="preserve">2. Назив </w:t>
      </w:r>
      <w:r>
        <w:rPr>
          <w:b/>
          <w:lang w:val="sr-Cyrl-CS"/>
        </w:rPr>
        <w:t>прописа</w:t>
      </w:r>
    </w:p>
    <w:p w:rsidR="00C5217C" w:rsidRPr="00BF1425" w:rsidRDefault="00C5217C" w:rsidP="00C5217C">
      <w:pPr>
        <w:rPr>
          <w:b/>
          <w:lang w:val="sr-Cyrl-CS"/>
        </w:rPr>
      </w:pPr>
    </w:p>
    <w:p w:rsidR="00C5217C" w:rsidRDefault="00C5217C" w:rsidP="00C5217C">
      <w:pPr>
        <w:spacing w:after="200" w:line="276" w:lineRule="auto"/>
        <w:jc w:val="both"/>
      </w:pPr>
      <w:r>
        <w:rPr>
          <w:lang w:val="sr-Cyrl-CS"/>
        </w:rPr>
        <w:t>Предлог</w:t>
      </w:r>
      <w:r w:rsidRPr="005E6A60">
        <w:rPr>
          <w:lang w:val="sr-Cyrl-CS"/>
        </w:rPr>
        <w:t xml:space="preserve"> закона о допунама Закона о утврђивању јавног интереса и посебним поступцима експропријације и издавања грађевинске дозволе ради реализације </w:t>
      </w:r>
      <w:r w:rsidRPr="00C76F76">
        <w:rPr>
          <w:color w:val="000000"/>
        </w:rPr>
        <w:t>пројекта</w:t>
      </w:r>
      <w:r w:rsidRPr="005E6A60">
        <w:rPr>
          <w:lang w:val="sr-Cyrl-CS"/>
        </w:rPr>
        <w:t xml:space="preserve"> „Београд на води</w:t>
      </w:r>
      <w:r w:rsidRPr="00AE2653">
        <w:rPr>
          <w:lang w:val="sr-Cyrl-CS"/>
        </w:rPr>
        <w:t>”</w:t>
      </w:r>
      <w:r w:rsidRPr="005E6A60">
        <w:rPr>
          <w:lang w:val="sr-Cyrl-CS"/>
        </w:rPr>
        <w:t xml:space="preserve"> </w:t>
      </w:r>
    </w:p>
    <w:p w:rsidR="00C5217C" w:rsidRDefault="00C5217C" w:rsidP="00C5217C">
      <w:pPr>
        <w:ind w:left="120"/>
        <w:jc w:val="both"/>
      </w:pPr>
    </w:p>
    <w:p w:rsidR="00C5217C" w:rsidRPr="0015242A" w:rsidRDefault="00C5217C" w:rsidP="00C5217C">
      <w:pPr>
        <w:spacing w:after="200" w:line="276" w:lineRule="auto"/>
        <w:jc w:val="both"/>
        <w:rPr>
          <w:color w:val="000000"/>
        </w:rPr>
      </w:pPr>
      <w:r w:rsidRPr="002E6898">
        <w:rPr>
          <w:color w:val="000000"/>
        </w:rPr>
        <w:t>Draft Law on Amendments to the Law on establishing the public interest and the specific</w:t>
      </w:r>
      <w:r>
        <w:rPr>
          <w:color w:val="000000"/>
        </w:rPr>
        <w:t xml:space="preserve">                 </w:t>
      </w:r>
      <w:r w:rsidRPr="002E6898">
        <w:rPr>
          <w:color w:val="000000"/>
        </w:rPr>
        <w:t xml:space="preserve">expropriation procedures and the issuance of a building permit for the project </w:t>
      </w:r>
      <w:r w:rsidRPr="005E6A60">
        <w:rPr>
          <w:lang w:val="sr-Cyrl-CS"/>
        </w:rPr>
        <w:t>„</w:t>
      </w:r>
      <w:smartTag w:uri="urn:schemas-microsoft-com:office:smarttags" w:element="City">
        <w:smartTag w:uri="urn:schemas-microsoft-com:office:smarttags" w:element="place">
          <w:r w:rsidRPr="002E6898">
            <w:rPr>
              <w:color w:val="000000"/>
            </w:rPr>
            <w:t>Belgrade</w:t>
          </w:r>
        </w:smartTag>
      </w:smartTag>
      <w:r w:rsidRPr="002E6898">
        <w:rPr>
          <w:color w:val="000000"/>
        </w:rPr>
        <w:t xml:space="preserve"> </w:t>
      </w:r>
      <w:r>
        <w:rPr>
          <w:color w:val="000000"/>
        </w:rPr>
        <w:t xml:space="preserve">  </w:t>
      </w:r>
      <w:r w:rsidRPr="002E6898">
        <w:rPr>
          <w:color w:val="000000"/>
        </w:rPr>
        <w:t>water</w:t>
      </w:r>
      <w:r w:rsidRPr="0015242A">
        <w:rPr>
          <w:lang w:val="sr-Cyrl-CS"/>
        </w:rPr>
        <w:t>”</w:t>
      </w:r>
    </w:p>
    <w:p w:rsidR="00C5217C" w:rsidRPr="008E7CFC" w:rsidRDefault="00C5217C" w:rsidP="00C5217C">
      <w:pPr>
        <w:jc w:val="both"/>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C5217C" w:rsidRPr="00EB485D" w:rsidRDefault="00C5217C" w:rsidP="00C5217C">
      <w:pPr>
        <w:rPr>
          <w:i/>
          <w:lang w:val="sr-Cyrl-CS"/>
        </w:rPr>
      </w:pPr>
      <w:r>
        <w:rPr>
          <w:b/>
          <w:lang w:val="sr-Cyrl-CS"/>
        </w:rPr>
        <w:t xml:space="preserve">         </w:t>
      </w:r>
    </w:p>
    <w:p w:rsidR="00C5217C" w:rsidRDefault="00C5217C" w:rsidP="00C5217C">
      <w:pPr>
        <w:jc w:val="both"/>
        <w:rPr>
          <w:b/>
          <w:lang w:val="sr-Cyrl-CS"/>
        </w:rPr>
      </w:pPr>
      <w:r>
        <w:rPr>
          <w:b/>
          <w:lang w:val="sr-Cyrl-CS"/>
        </w:rPr>
        <w:t xml:space="preserve">а) Одредба Споразума и Прелазног споразума која се односе на нормативну саржину прописа.  </w:t>
      </w:r>
    </w:p>
    <w:p w:rsidR="00C5217C" w:rsidRDefault="00C5217C" w:rsidP="00C5217C">
      <w:pPr>
        <w:jc w:val="both"/>
        <w:rPr>
          <w:b/>
        </w:rPr>
      </w:pPr>
    </w:p>
    <w:p w:rsidR="00C5217C" w:rsidRPr="005E6A60" w:rsidRDefault="00C5217C" w:rsidP="00C5217C">
      <w:pPr>
        <w:rPr>
          <w:lang w:val="sr-Cyrl-CS"/>
        </w:rPr>
      </w:pPr>
      <w:r w:rsidRPr="005E6A60">
        <w:rPr>
          <w:lang w:val="sr-Cyrl-CS"/>
        </w:rPr>
        <w:t>Не постоје релевантне одредбе Споразума и Прелазног споразума</w:t>
      </w:r>
    </w:p>
    <w:p w:rsidR="00C5217C" w:rsidRPr="00EE0704" w:rsidRDefault="00C5217C" w:rsidP="00C5217C">
      <w:pPr>
        <w:rPr>
          <w:i/>
          <w:lang w:val="sr-Cyrl-CS"/>
        </w:rPr>
      </w:pPr>
    </w:p>
    <w:p w:rsidR="00C5217C" w:rsidRDefault="00C5217C" w:rsidP="00C5217C">
      <w:pPr>
        <w:jc w:val="both"/>
        <w:rPr>
          <w:b/>
          <w:lang w:val="sr-Cyrl-CS"/>
        </w:rPr>
      </w:pPr>
      <w:r>
        <w:rPr>
          <w:b/>
          <w:lang w:val="sr-Cyrl-CS"/>
        </w:rPr>
        <w:t xml:space="preserve">б) Прелазни рок за усклађивање законодавства према одредбама Споразума и Прелазног споразума   </w:t>
      </w:r>
    </w:p>
    <w:p w:rsidR="00C5217C" w:rsidRPr="005E6A60" w:rsidRDefault="00C5217C" w:rsidP="00C5217C">
      <w:pPr>
        <w:rPr>
          <w:lang w:val="sr-Cyrl-CS"/>
        </w:rPr>
      </w:pPr>
      <w:r>
        <w:rPr>
          <w:i/>
          <w:lang w:val="sr-Cyrl-CS"/>
        </w:rPr>
        <w:tab/>
      </w:r>
      <w:r>
        <w:rPr>
          <w:i/>
          <w:lang w:val="sr-Cyrl-CS"/>
        </w:rPr>
        <w:tab/>
      </w:r>
      <w:r>
        <w:rPr>
          <w:i/>
          <w:lang w:val="sr-Cyrl-CS"/>
        </w:rPr>
        <w:tab/>
      </w:r>
      <w:r>
        <w:rPr>
          <w:i/>
          <w:lang w:val="sr-Cyrl-CS"/>
        </w:rPr>
        <w:tab/>
      </w:r>
      <w:r>
        <w:rPr>
          <w:i/>
          <w:lang w:val="sr-Cyrl-CS"/>
        </w:rPr>
        <w:tab/>
      </w:r>
      <w:r w:rsidRPr="005E6A60">
        <w:rPr>
          <w:lang w:val="sr-Cyrl-CS"/>
        </w:rPr>
        <w:t>-</w:t>
      </w:r>
    </w:p>
    <w:p w:rsidR="00C5217C" w:rsidRDefault="00C5217C" w:rsidP="00C5217C">
      <w:pPr>
        <w:jc w:val="both"/>
        <w:rPr>
          <w:b/>
          <w:lang w:val="sr-Cyrl-CS"/>
        </w:rPr>
      </w:pPr>
      <w:r>
        <w:rPr>
          <w:b/>
          <w:lang w:val="sr-Cyrl-CS"/>
        </w:rPr>
        <w:t xml:space="preserve">в) Оцена испуњености обавезе које произлазе из наведене одредбе Споразума и Прелазног споразума </w:t>
      </w:r>
    </w:p>
    <w:p w:rsidR="00C5217C" w:rsidRPr="005E6A60" w:rsidRDefault="00C5217C" w:rsidP="00C5217C">
      <w:pPr>
        <w:rPr>
          <w:lang w:val="sr-Cyrl-CS"/>
        </w:rPr>
      </w:pPr>
      <w:r>
        <w:rPr>
          <w:i/>
          <w:lang w:val="sr-Cyrl-CS"/>
        </w:rPr>
        <w:tab/>
      </w:r>
      <w:r>
        <w:rPr>
          <w:i/>
          <w:lang w:val="sr-Cyrl-CS"/>
        </w:rPr>
        <w:tab/>
      </w:r>
      <w:r>
        <w:rPr>
          <w:i/>
          <w:lang w:val="sr-Cyrl-CS"/>
        </w:rPr>
        <w:tab/>
      </w:r>
      <w:r>
        <w:rPr>
          <w:i/>
          <w:lang w:val="sr-Cyrl-CS"/>
        </w:rPr>
        <w:tab/>
      </w:r>
      <w:r>
        <w:rPr>
          <w:i/>
          <w:lang w:val="sr-Cyrl-CS"/>
        </w:rPr>
        <w:tab/>
      </w:r>
      <w:r w:rsidRPr="005E6A60">
        <w:rPr>
          <w:lang w:val="sr-Cyrl-CS"/>
        </w:rPr>
        <w:t>-</w:t>
      </w:r>
    </w:p>
    <w:p w:rsidR="00C5217C" w:rsidRDefault="00C5217C" w:rsidP="00C5217C">
      <w:pPr>
        <w:jc w:val="both"/>
        <w:rPr>
          <w:b/>
          <w:lang w:val="sr-Cyrl-CS"/>
        </w:rPr>
      </w:pPr>
      <w:r>
        <w:rPr>
          <w:b/>
          <w:lang w:val="sr-Cyrl-CS"/>
        </w:rPr>
        <w:t>г) Разлози за делимично испуњавање</w:t>
      </w:r>
      <w:r>
        <w:rPr>
          <w:b/>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 </w:t>
      </w:r>
    </w:p>
    <w:p w:rsidR="00C5217C" w:rsidRPr="005E6A60" w:rsidRDefault="00C5217C" w:rsidP="00C5217C">
      <w:pPr>
        <w:rPr>
          <w:b/>
          <w:lang w:val="sr-Cyrl-CS"/>
        </w:rPr>
      </w:pPr>
      <w:r>
        <w:rPr>
          <w:b/>
          <w:lang w:val="sr-Cyrl-CS"/>
        </w:rPr>
        <w:tab/>
      </w:r>
      <w:r>
        <w:rPr>
          <w:b/>
          <w:lang w:val="sr-Cyrl-CS"/>
        </w:rPr>
        <w:tab/>
      </w:r>
      <w:r>
        <w:rPr>
          <w:b/>
          <w:lang w:val="sr-Cyrl-CS"/>
        </w:rPr>
        <w:tab/>
      </w:r>
      <w:r>
        <w:rPr>
          <w:b/>
          <w:lang w:val="sr-Cyrl-CS"/>
        </w:rPr>
        <w:tab/>
      </w:r>
      <w:r>
        <w:rPr>
          <w:b/>
          <w:lang w:val="sr-Cyrl-CS"/>
        </w:rPr>
        <w:tab/>
      </w:r>
      <w:r w:rsidRPr="005E6A60">
        <w:rPr>
          <w:b/>
          <w:lang w:val="sr-Cyrl-CS"/>
        </w:rPr>
        <w:t>-</w:t>
      </w:r>
    </w:p>
    <w:p w:rsidR="00C5217C" w:rsidRDefault="00C5217C" w:rsidP="00C5217C">
      <w:pPr>
        <w:jc w:val="both"/>
        <w:rPr>
          <w:b/>
          <w:lang w:val="sr-Latn-CS"/>
        </w:rPr>
      </w:pPr>
      <w:r>
        <w:rPr>
          <w:b/>
          <w:lang w:val="sr-Cyrl-CS"/>
        </w:rPr>
        <w:lastRenderedPageBreak/>
        <w:t xml:space="preserve">д) Веза са Националним програмом за усвајање правних тековина Европске уније </w:t>
      </w:r>
    </w:p>
    <w:p w:rsidR="00C5217C" w:rsidRDefault="00C5217C" w:rsidP="00C5217C">
      <w:pPr>
        <w:rPr>
          <w:i/>
          <w:lang w:val="sr-Cyrl-CS"/>
        </w:rPr>
      </w:pPr>
      <w:r>
        <w:rPr>
          <w:i/>
          <w:lang w:val="sr-Cyrl-CS"/>
        </w:rPr>
        <w:tab/>
      </w:r>
      <w:r>
        <w:rPr>
          <w:i/>
          <w:lang w:val="sr-Cyrl-CS"/>
        </w:rPr>
        <w:tab/>
      </w:r>
      <w:r>
        <w:rPr>
          <w:i/>
          <w:lang w:val="sr-Cyrl-CS"/>
        </w:rPr>
        <w:tab/>
      </w:r>
      <w:r>
        <w:rPr>
          <w:i/>
          <w:lang w:val="sr-Cyrl-CS"/>
        </w:rPr>
        <w:tab/>
      </w:r>
      <w:r>
        <w:rPr>
          <w:lang w:val="sr-Cyrl-CS"/>
        </w:rPr>
        <w:tab/>
        <w:t>-</w:t>
      </w:r>
      <w:r>
        <w:rPr>
          <w:i/>
          <w:lang w:val="sr-Cyrl-CS"/>
        </w:rPr>
        <w:tab/>
      </w:r>
      <w:r>
        <w:rPr>
          <w:i/>
          <w:lang w:val="sr-Cyrl-CS"/>
        </w:rPr>
        <w:tab/>
      </w:r>
      <w:r>
        <w:rPr>
          <w:i/>
          <w:lang w:val="sr-Cyrl-CS"/>
        </w:rPr>
        <w:tab/>
      </w:r>
      <w:r>
        <w:rPr>
          <w:i/>
          <w:lang w:val="sr-Cyrl-CS"/>
        </w:rPr>
        <w:tab/>
      </w:r>
      <w:r>
        <w:rPr>
          <w:i/>
          <w:lang w:val="sr-Cyrl-CS"/>
        </w:rPr>
        <w:tab/>
      </w:r>
    </w:p>
    <w:p w:rsidR="00C5217C" w:rsidRDefault="00C5217C" w:rsidP="00C5217C">
      <w:pPr>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C5217C" w:rsidRPr="00020B2E" w:rsidRDefault="00C5217C" w:rsidP="00C5217C">
      <w:pPr>
        <w:rPr>
          <w:b/>
        </w:rPr>
      </w:pPr>
    </w:p>
    <w:p w:rsidR="00C5217C" w:rsidRDefault="00C5217C" w:rsidP="00C5217C">
      <w:pPr>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ЕУ</w:t>
      </w:r>
      <w:r>
        <w:rPr>
          <w:b/>
          <w:lang w:val="sr-Cyrl-CS"/>
        </w:rPr>
        <w:t xml:space="preserve"> и оцене усклађеност са њима</w:t>
      </w:r>
      <w:r>
        <w:rPr>
          <w:b/>
        </w:rPr>
        <w:t xml:space="preserve"> </w:t>
      </w:r>
      <w:r>
        <w:rPr>
          <w:b/>
          <w:lang w:val="sr-Cyrl-CS"/>
        </w:rPr>
        <w:t xml:space="preserve"> </w:t>
      </w:r>
    </w:p>
    <w:p w:rsidR="00C5217C" w:rsidRPr="005E6A60" w:rsidRDefault="00C5217C" w:rsidP="00C5217C">
      <w:pPr>
        <w:rPr>
          <w:lang w:val="sr-Cyrl-CS"/>
        </w:rPr>
      </w:pPr>
      <w:r>
        <w:rPr>
          <w:i/>
          <w:lang w:val="sr-Cyrl-CS"/>
        </w:rPr>
        <w:tab/>
      </w:r>
      <w:r>
        <w:rPr>
          <w:i/>
          <w:lang w:val="sr-Cyrl-CS"/>
        </w:rPr>
        <w:tab/>
      </w:r>
      <w:r>
        <w:rPr>
          <w:i/>
          <w:lang w:val="sr-Cyrl-CS"/>
        </w:rPr>
        <w:tab/>
      </w:r>
      <w:r>
        <w:rPr>
          <w:i/>
          <w:lang w:val="sr-Cyrl-CS"/>
        </w:rPr>
        <w:tab/>
      </w:r>
      <w:r>
        <w:rPr>
          <w:i/>
          <w:lang w:val="sr-Cyrl-CS"/>
        </w:rPr>
        <w:tab/>
      </w:r>
      <w:r w:rsidRPr="005E6A60">
        <w:rPr>
          <w:lang w:val="sr-Cyrl-CS"/>
        </w:rPr>
        <w:t>-</w:t>
      </w:r>
    </w:p>
    <w:p w:rsidR="00C5217C" w:rsidRDefault="00C5217C" w:rsidP="00C5217C">
      <w:pPr>
        <w:rPr>
          <w:b/>
          <w:lang w:val="sr-Cyrl-CS"/>
        </w:rPr>
      </w:pPr>
      <w:r>
        <w:rPr>
          <w:b/>
        </w:rPr>
        <w:t xml:space="preserve">б) </w:t>
      </w:r>
      <w:r>
        <w:rPr>
          <w:b/>
          <w:lang w:val="sr-Cyrl-CS"/>
        </w:rPr>
        <w:t>Навођење</w:t>
      </w:r>
      <w:r>
        <w:rPr>
          <w:b/>
        </w:rPr>
        <w:t xml:space="preserve"> секундарних извора права ЕУ </w:t>
      </w:r>
      <w:r>
        <w:rPr>
          <w:b/>
          <w:lang w:val="sr-Cyrl-CS"/>
        </w:rPr>
        <w:t xml:space="preserve">и оцене усклађеност са њима </w:t>
      </w:r>
    </w:p>
    <w:p w:rsidR="00C5217C" w:rsidRPr="005E6A60" w:rsidRDefault="00C5217C" w:rsidP="00C5217C">
      <w:pPr>
        <w:rPr>
          <w:lang w:val="sr-Cyrl-CS"/>
        </w:rPr>
      </w:pPr>
      <w:r>
        <w:rPr>
          <w:i/>
          <w:lang w:val="sr-Cyrl-CS"/>
        </w:rPr>
        <w:tab/>
      </w:r>
      <w:r>
        <w:rPr>
          <w:i/>
          <w:lang w:val="sr-Cyrl-CS"/>
        </w:rPr>
        <w:tab/>
      </w:r>
      <w:r>
        <w:rPr>
          <w:i/>
          <w:lang w:val="sr-Cyrl-CS"/>
        </w:rPr>
        <w:tab/>
      </w:r>
      <w:r>
        <w:rPr>
          <w:i/>
          <w:lang w:val="sr-Cyrl-CS"/>
        </w:rPr>
        <w:tab/>
      </w:r>
      <w:r>
        <w:rPr>
          <w:i/>
          <w:lang w:val="sr-Cyrl-CS"/>
        </w:rPr>
        <w:tab/>
      </w:r>
      <w:r w:rsidRPr="005E6A60">
        <w:rPr>
          <w:lang w:val="sr-Cyrl-CS"/>
        </w:rPr>
        <w:t>-</w:t>
      </w:r>
    </w:p>
    <w:p w:rsidR="00C5217C" w:rsidRDefault="00C5217C" w:rsidP="00C5217C">
      <w:pPr>
        <w:rPr>
          <w:b/>
          <w:lang w:val="sr-Cyrl-CS"/>
        </w:rPr>
      </w:pPr>
      <w:r>
        <w:rPr>
          <w:b/>
          <w:lang w:val="sr-Cyrl-CS"/>
        </w:rPr>
        <w:t>в</w:t>
      </w:r>
      <w:r>
        <w:rPr>
          <w:b/>
        </w:rPr>
        <w:t xml:space="preserve">) </w:t>
      </w:r>
      <w:r>
        <w:rPr>
          <w:b/>
          <w:lang w:val="sr-Cyrl-CS"/>
        </w:rPr>
        <w:t xml:space="preserve">Навођење осталих извора права ЕУ и усклађеност са њима  </w:t>
      </w:r>
    </w:p>
    <w:p w:rsidR="00C5217C" w:rsidRDefault="00C5217C" w:rsidP="00C5217C">
      <w:pPr>
        <w:rPr>
          <w:b/>
          <w:lang w:val="sr-Cyrl-CS"/>
        </w:rPr>
      </w:pPr>
      <w:r>
        <w:rPr>
          <w:b/>
          <w:lang w:val="sr-Cyrl-CS"/>
        </w:rPr>
        <w:tab/>
      </w:r>
      <w:r>
        <w:rPr>
          <w:b/>
          <w:lang w:val="sr-Cyrl-CS"/>
        </w:rPr>
        <w:tab/>
      </w:r>
      <w:r>
        <w:rPr>
          <w:b/>
          <w:lang w:val="sr-Cyrl-CS"/>
        </w:rPr>
        <w:tab/>
      </w:r>
      <w:r>
        <w:rPr>
          <w:b/>
          <w:lang w:val="sr-Cyrl-CS"/>
        </w:rPr>
        <w:tab/>
      </w:r>
      <w:r>
        <w:rPr>
          <w:b/>
          <w:lang w:val="sr-Cyrl-CS"/>
        </w:rPr>
        <w:tab/>
        <w:t>-</w:t>
      </w:r>
    </w:p>
    <w:p w:rsidR="00C5217C" w:rsidRDefault="00C5217C" w:rsidP="00C5217C">
      <w:pPr>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 xml:space="preserve"> </w:t>
      </w:r>
    </w:p>
    <w:p w:rsidR="00C5217C" w:rsidRPr="005E6A60" w:rsidRDefault="00C5217C" w:rsidP="00C5217C">
      <w:pPr>
        <w:rPr>
          <w:lang w:val="sr-Cyrl-CS"/>
        </w:rPr>
      </w:pPr>
      <w:r>
        <w:rPr>
          <w:i/>
          <w:lang w:val="sr-Cyrl-CS"/>
        </w:rPr>
        <w:tab/>
      </w:r>
      <w:r>
        <w:rPr>
          <w:i/>
          <w:lang w:val="sr-Cyrl-CS"/>
        </w:rPr>
        <w:tab/>
      </w:r>
      <w:r>
        <w:rPr>
          <w:i/>
          <w:lang w:val="sr-Cyrl-CS"/>
        </w:rPr>
        <w:tab/>
      </w:r>
      <w:r>
        <w:rPr>
          <w:i/>
          <w:lang w:val="sr-Cyrl-CS"/>
        </w:rPr>
        <w:tab/>
      </w:r>
      <w:r>
        <w:rPr>
          <w:i/>
          <w:lang w:val="sr-Cyrl-CS"/>
        </w:rPr>
        <w:tab/>
      </w:r>
      <w:r w:rsidRPr="005E6A60">
        <w:rPr>
          <w:lang w:val="sr-Cyrl-CS"/>
        </w:rPr>
        <w:t>-</w:t>
      </w:r>
    </w:p>
    <w:p w:rsidR="00C5217C" w:rsidRDefault="00C5217C" w:rsidP="00C5217C">
      <w:pPr>
        <w:jc w:val="both"/>
        <w:rPr>
          <w:b/>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 xml:space="preserve">а прописима Европске уније </w:t>
      </w:r>
    </w:p>
    <w:p w:rsidR="00C5217C" w:rsidRPr="005E6A60" w:rsidRDefault="00C5217C" w:rsidP="00C5217C">
      <w:pPr>
        <w:rPr>
          <w:lang w:val="sr-Cyrl-CS"/>
        </w:rPr>
      </w:pPr>
      <w:r>
        <w:rPr>
          <w:i/>
          <w:lang w:val="sr-Cyrl-CS"/>
        </w:rPr>
        <w:tab/>
      </w:r>
      <w:r>
        <w:rPr>
          <w:i/>
          <w:lang w:val="sr-Cyrl-CS"/>
        </w:rPr>
        <w:tab/>
      </w:r>
      <w:r>
        <w:rPr>
          <w:i/>
          <w:lang w:val="sr-Cyrl-CS"/>
        </w:rPr>
        <w:tab/>
      </w:r>
      <w:r>
        <w:rPr>
          <w:i/>
          <w:lang w:val="sr-Cyrl-CS"/>
        </w:rPr>
        <w:tab/>
      </w:r>
      <w:r>
        <w:rPr>
          <w:i/>
          <w:lang w:val="sr-Cyrl-CS"/>
        </w:rPr>
        <w:tab/>
      </w:r>
      <w:r w:rsidRPr="005E6A60">
        <w:rPr>
          <w:lang w:val="sr-Cyrl-CS"/>
        </w:rPr>
        <w:t>-</w:t>
      </w:r>
    </w:p>
    <w:p w:rsidR="00C5217C" w:rsidRDefault="00C5217C" w:rsidP="00C5217C">
      <w:pPr>
        <w:jc w:val="both"/>
        <w:rPr>
          <w:b/>
          <w:color w:val="000000"/>
          <w:lang w:val="ru-RU"/>
        </w:rPr>
      </w:pPr>
      <w:r>
        <w:rPr>
          <w:b/>
          <w:lang w:val="sr-Cyrl-CS"/>
        </w:rPr>
        <w:t>5</w:t>
      </w:r>
      <w:r w:rsidRPr="006A0FA5">
        <w:rPr>
          <w:b/>
          <w:lang w:val="ru-RU"/>
        </w:rPr>
        <w:t>. Уколико не постоје одговарајућ</w:t>
      </w:r>
      <w:r>
        <w:rPr>
          <w:b/>
          <w:lang w:val="ru-RU"/>
        </w:rPr>
        <w:t>е</w:t>
      </w:r>
      <w:r w:rsidRPr="006A0FA5">
        <w:rPr>
          <w:b/>
          <w:lang w:val="ru-RU"/>
        </w:rPr>
        <w:t xml:space="preserve"> </w:t>
      </w:r>
      <w:r>
        <w:rPr>
          <w:b/>
          <w:lang w:val="ru-RU"/>
        </w:rPr>
        <w:t>надлежности</w:t>
      </w:r>
      <w:r w:rsidRPr="006A0FA5">
        <w:rPr>
          <w:b/>
          <w:color w:val="000000"/>
          <w:lang w:val="ru-RU"/>
        </w:rPr>
        <w:t xml:space="preserve"> Европске уније </w:t>
      </w:r>
      <w:r>
        <w:rPr>
          <w:b/>
          <w:color w:val="000000"/>
          <w:lang w:val="ru-RU"/>
        </w:rPr>
        <w:t xml:space="preserve">у материји </w:t>
      </w:r>
      <w:r w:rsidRPr="006A0FA5">
        <w:rPr>
          <w:b/>
          <w:color w:val="000000"/>
          <w:lang w:val="ru-RU"/>
        </w:rPr>
        <w:t>кој</w:t>
      </w:r>
      <w:r>
        <w:rPr>
          <w:b/>
          <w:color w:val="000000"/>
          <w:lang w:val="ru-RU"/>
        </w:rPr>
        <w:t>у регулише пропис, и/или не постоје одговарајући секундарни извори права ЕУ са којима је</w:t>
      </w:r>
      <w:r w:rsidRPr="006A0FA5">
        <w:rPr>
          <w:b/>
          <w:color w:val="000000"/>
          <w:lang w:val="ru-RU"/>
        </w:rPr>
        <w:t xml:space="preserve"> потребно обезбедити усклађеност</w:t>
      </w:r>
      <w:r>
        <w:rPr>
          <w:b/>
          <w:color w:val="000000"/>
          <w:lang w:val="ru-RU"/>
        </w:rPr>
        <w:t>,</w:t>
      </w:r>
      <w:r w:rsidRPr="006A0FA5">
        <w:rPr>
          <w:b/>
          <w:color w:val="000000"/>
          <w:lang w:val="ru-RU"/>
        </w:rPr>
        <w:t xml:space="preserve">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w:t>
      </w:r>
    </w:p>
    <w:p w:rsidR="00C5217C" w:rsidRPr="00885A52" w:rsidRDefault="00C5217C" w:rsidP="00C5217C">
      <w:pPr>
        <w:jc w:val="both"/>
        <w:rPr>
          <w:b/>
          <w:color w:val="000000"/>
          <w:lang w:val="ru-RU"/>
        </w:rPr>
      </w:pPr>
    </w:p>
    <w:p w:rsidR="00C5217C" w:rsidRPr="005E6A60" w:rsidRDefault="00C5217C" w:rsidP="00C5217C">
      <w:pPr>
        <w:rPr>
          <w:lang w:val="sr-Cyrl-CS"/>
        </w:rPr>
      </w:pPr>
      <w:r>
        <w:rPr>
          <w:b/>
          <w:lang w:val="sr-Cyrl-CS"/>
        </w:rPr>
        <w:t xml:space="preserve"> </w:t>
      </w:r>
      <w:r w:rsidRPr="005E6A60">
        <w:rPr>
          <w:lang w:val="sr-Cyrl-CS"/>
        </w:rPr>
        <w:t>Не постоје прописи ЕУ са којима је потребно обезбедити усклађеност</w:t>
      </w:r>
    </w:p>
    <w:p w:rsidR="00C5217C" w:rsidRPr="00013CA8" w:rsidRDefault="00C5217C" w:rsidP="00C5217C">
      <w:pPr>
        <w:rPr>
          <w:i/>
          <w:lang w:val="sr-Cyrl-CS"/>
        </w:rPr>
      </w:pPr>
    </w:p>
    <w:p w:rsidR="00C5217C" w:rsidRDefault="00C5217C" w:rsidP="00C5217C">
      <w:pPr>
        <w:rPr>
          <w:b/>
          <w:lang w:val="sr-Cyrl-CS"/>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r>
        <w:rPr>
          <w:b/>
          <w:lang w:val="sr-Cyrl-CS"/>
        </w:rPr>
        <w:t xml:space="preserve"> </w:t>
      </w:r>
    </w:p>
    <w:p w:rsidR="00C5217C" w:rsidRDefault="00C5217C" w:rsidP="00C5217C">
      <w:pPr>
        <w:rPr>
          <w:b/>
          <w:lang w:val="sr-Cyrl-CS"/>
        </w:rPr>
      </w:pPr>
    </w:p>
    <w:p w:rsidR="00C5217C" w:rsidRPr="005E6A60" w:rsidRDefault="00C5217C" w:rsidP="00C5217C">
      <w:pPr>
        <w:rPr>
          <w:lang w:val="sr-Cyrl-CS"/>
        </w:rPr>
      </w:pPr>
      <w:r w:rsidRPr="005E6A60">
        <w:rPr>
          <w:lang w:val="sr-Cyrl-CS"/>
        </w:rPr>
        <w:t xml:space="preserve">    </w:t>
      </w:r>
      <w:r>
        <w:rPr>
          <w:lang w:val="sr-Cyrl-CS"/>
        </w:rPr>
        <w:t>Не</w:t>
      </w:r>
    </w:p>
    <w:p w:rsidR="00C5217C" w:rsidRPr="00020B2E" w:rsidRDefault="00C5217C" w:rsidP="00C5217C">
      <w:pPr>
        <w:rPr>
          <w:i/>
          <w:lang w:val="sr-Cyrl-CS"/>
        </w:rPr>
      </w:pPr>
    </w:p>
    <w:p w:rsidR="00C5217C" w:rsidRDefault="00C5217C" w:rsidP="00C5217C">
      <w:pPr>
        <w:rPr>
          <w:b/>
          <w:lang/>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C5217C" w:rsidRPr="005E6A60" w:rsidRDefault="00C5217C" w:rsidP="00C5217C">
      <w:pPr>
        <w:rPr>
          <w:b/>
          <w:lang/>
        </w:rPr>
      </w:pPr>
    </w:p>
    <w:p w:rsidR="00C5217C" w:rsidRPr="005E6A60" w:rsidRDefault="00C5217C" w:rsidP="00C5217C">
      <w:pPr>
        <w:rPr>
          <w:lang w:val="sr-Cyrl-CS"/>
        </w:rPr>
      </w:pPr>
      <w:r>
        <w:rPr>
          <w:b/>
          <w:lang w:val="sr-Cyrl-CS"/>
        </w:rPr>
        <w:t xml:space="preserve">    </w:t>
      </w:r>
      <w:r w:rsidRPr="005E6A60">
        <w:rPr>
          <w:lang w:val="sr-Cyrl-CS"/>
        </w:rPr>
        <w:t>Не</w:t>
      </w:r>
    </w:p>
    <w:p w:rsidR="00C5217C" w:rsidRPr="00013CA8" w:rsidRDefault="00C5217C" w:rsidP="00C5217C">
      <w:pPr>
        <w:rPr>
          <w:i/>
          <w:lang w:val="sr-Cyrl-CS"/>
        </w:rPr>
      </w:pPr>
      <w:r>
        <w:rPr>
          <w:b/>
          <w:lang w:val="sr-Cyrl-CS"/>
        </w:rPr>
        <w:t xml:space="preserve">                                              </w:t>
      </w:r>
    </w:p>
    <w:p w:rsidR="00C5217C" w:rsidRDefault="00C5217C" w:rsidP="00C5217C">
      <w:pPr>
        <w:rPr>
          <w:b/>
          <w:lang/>
        </w:rPr>
      </w:pPr>
      <w:r>
        <w:rPr>
          <w:b/>
          <w:lang w:val="sr-Cyrl-CS"/>
        </w:rPr>
        <w:lastRenderedPageBreak/>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C5217C" w:rsidRPr="005E6A60" w:rsidRDefault="00C5217C" w:rsidP="00C5217C">
      <w:pPr>
        <w:rPr>
          <w:b/>
          <w:lang/>
        </w:rPr>
      </w:pPr>
    </w:p>
    <w:p w:rsidR="00C43DA1" w:rsidRDefault="00C5217C" w:rsidP="006B713F">
      <w:pPr>
        <w:rPr>
          <w:rFonts w:ascii="Times New Roman" w:hAnsi="Times New Roman"/>
          <w:sz w:val="24"/>
          <w:szCs w:val="24"/>
        </w:rPr>
      </w:pPr>
      <w:r>
        <w:rPr>
          <w:lang w:val="sr-Cyrl-CS"/>
        </w:rPr>
        <w:t xml:space="preserve">     </w:t>
      </w:r>
      <w:r w:rsidRPr="005E6A60">
        <w:rPr>
          <w:lang w:val="sr-Cyrl-CS"/>
        </w:rPr>
        <w:t>Не</w:t>
      </w:r>
    </w:p>
    <w:sectPr w:rsidR="00C43DA1" w:rsidSect="001E6C9D">
      <w:headerReference w:type="even" r:id="rId7"/>
      <w:headerReference w:type="default" r:id="rId8"/>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F2F" w:rsidRDefault="00F73F2F">
      <w:r>
        <w:separator/>
      </w:r>
    </w:p>
  </w:endnote>
  <w:endnote w:type="continuationSeparator" w:id="0">
    <w:p w:rsidR="00F73F2F" w:rsidRDefault="00F73F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F2F" w:rsidRDefault="00F73F2F">
      <w:r>
        <w:separator/>
      </w:r>
    </w:p>
  </w:footnote>
  <w:footnote w:type="continuationSeparator" w:id="0">
    <w:p w:rsidR="00F73F2F" w:rsidRDefault="00F73F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A1" w:rsidRDefault="00BA0784" w:rsidP="00B44371">
    <w:pPr>
      <w:pStyle w:val="Header"/>
      <w:framePr w:wrap="around" w:vAnchor="text" w:hAnchor="margin" w:xAlign="center" w:y="1"/>
      <w:rPr>
        <w:rStyle w:val="PageNumber"/>
      </w:rPr>
    </w:pPr>
    <w:r>
      <w:rPr>
        <w:rStyle w:val="PageNumber"/>
      </w:rPr>
      <w:fldChar w:fldCharType="begin"/>
    </w:r>
    <w:r w:rsidR="00C43DA1">
      <w:rPr>
        <w:rStyle w:val="PageNumber"/>
      </w:rPr>
      <w:instrText xml:space="preserve">PAGE  </w:instrText>
    </w:r>
    <w:r>
      <w:rPr>
        <w:rStyle w:val="PageNumber"/>
      </w:rPr>
      <w:fldChar w:fldCharType="end"/>
    </w:r>
  </w:p>
  <w:p w:rsidR="00C43DA1" w:rsidRDefault="00C43D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DA1" w:rsidRDefault="00BA0784" w:rsidP="00B44371">
    <w:pPr>
      <w:pStyle w:val="Header"/>
      <w:framePr w:wrap="around" w:vAnchor="text" w:hAnchor="margin" w:xAlign="center" w:y="1"/>
      <w:rPr>
        <w:rStyle w:val="PageNumber"/>
      </w:rPr>
    </w:pPr>
    <w:r>
      <w:rPr>
        <w:rStyle w:val="PageNumber"/>
      </w:rPr>
      <w:fldChar w:fldCharType="begin"/>
    </w:r>
    <w:r w:rsidR="00C43DA1">
      <w:rPr>
        <w:rStyle w:val="PageNumber"/>
      </w:rPr>
      <w:instrText xml:space="preserve">PAGE  </w:instrText>
    </w:r>
    <w:r>
      <w:rPr>
        <w:rStyle w:val="PageNumber"/>
      </w:rPr>
      <w:fldChar w:fldCharType="separate"/>
    </w:r>
    <w:r w:rsidR="006B713F">
      <w:rPr>
        <w:rStyle w:val="PageNumber"/>
        <w:noProof/>
      </w:rPr>
      <w:t>12</w:t>
    </w:r>
    <w:r>
      <w:rPr>
        <w:rStyle w:val="PageNumber"/>
      </w:rPr>
      <w:fldChar w:fldCharType="end"/>
    </w:r>
  </w:p>
  <w:p w:rsidR="00C43DA1" w:rsidRDefault="00C43D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A660B"/>
    <w:multiLevelType w:val="hybridMultilevel"/>
    <w:tmpl w:val="1514E22A"/>
    <w:lvl w:ilvl="0" w:tplc="DAB036B4">
      <w:start w:val="1"/>
      <w:numFmt w:val="decimal"/>
      <w:lvlText w:val="%1."/>
      <w:lvlJc w:val="left"/>
      <w:pPr>
        <w:ind w:left="1080" w:hanging="72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7C03F0"/>
    <w:rsid w:val="00004D50"/>
    <w:rsid w:val="0001241A"/>
    <w:rsid w:val="0002118A"/>
    <w:rsid w:val="00031773"/>
    <w:rsid w:val="00063613"/>
    <w:rsid w:val="00065596"/>
    <w:rsid w:val="0007646E"/>
    <w:rsid w:val="000774CB"/>
    <w:rsid w:val="00087740"/>
    <w:rsid w:val="000C5A34"/>
    <w:rsid w:val="000F5275"/>
    <w:rsid w:val="000F5E2E"/>
    <w:rsid w:val="0010200B"/>
    <w:rsid w:val="00120FDF"/>
    <w:rsid w:val="00151FBB"/>
    <w:rsid w:val="00164CA4"/>
    <w:rsid w:val="00175C59"/>
    <w:rsid w:val="001B1303"/>
    <w:rsid w:val="001E6C9D"/>
    <w:rsid w:val="002044C9"/>
    <w:rsid w:val="0022116A"/>
    <w:rsid w:val="00232175"/>
    <w:rsid w:val="002340FA"/>
    <w:rsid w:val="00235CD4"/>
    <w:rsid w:val="0027541A"/>
    <w:rsid w:val="00280B76"/>
    <w:rsid w:val="00294F79"/>
    <w:rsid w:val="002B397D"/>
    <w:rsid w:val="002B6EC0"/>
    <w:rsid w:val="002C486B"/>
    <w:rsid w:val="002C4AEE"/>
    <w:rsid w:val="002F32F4"/>
    <w:rsid w:val="00315355"/>
    <w:rsid w:val="003178F7"/>
    <w:rsid w:val="00324787"/>
    <w:rsid w:val="00331827"/>
    <w:rsid w:val="00335FAD"/>
    <w:rsid w:val="0036294E"/>
    <w:rsid w:val="003663E1"/>
    <w:rsid w:val="003760C1"/>
    <w:rsid w:val="003C0757"/>
    <w:rsid w:val="003F2A87"/>
    <w:rsid w:val="003F6F3C"/>
    <w:rsid w:val="00403683"/>
    <w:rsid w:val="00405590"/>
    <w:rsid w:val="00412DA4"/>
    <w:rsid w:val="00423770"/>
    <w:rsid w:val="004740E2"/>
    <w:rsid w:val="00491BAA"/>
    <w:rsid w:val="004A08B7"/>
    <w:rsid w:val="004A5407"/>
    <w:rsid w:val="004B03A4"/>
    <w:rsid w:val="004C0D6B"/>
    <w:rsid w:val="004C7B1C"/>
    <w:rsid w:val="004D25AA"/>
    <w:rsid w:val="004D761D"/>
    <w:rsid w:val="00507DFA"/>
    <w:rsid w:val="005100C4"/>
    <w:rsid w:val="00521476"/>
    <w:rsid w:val="00527701"/>
    <w:rsid w:val="005607E9"/>
    <w:rsid w:val="00597076"/>
    <w:rsid w:val="005A1DE5"/>
    <w:rsid w:val="005A4CD2"/>
    <w:rsid w:val="005B2D36"/>
    <w:rsid w:val="005D50B3"/>
    <w:rsid w:val="0062553A"/>
    <w:rsid w:val="00627082"/>
    <w:rsid w:val="00662207"/>
    <w:rsid w:val="00665EB0"/>
    <w:rsid w:val="006B53EB"/>
    <w:rsid w:val="006B713F"/>
    <w:rsid w:val="006C0295"/>
    <w:rsid w:val="007044F2"/>
    <w:rsid w:val="007109F2"/>
    <w:rsid w:val="007261CD"/>
    <w:rsid w:val="007571F6"/>
    <w:rsid w:val="00761B5F"/>
    <w:rsid w:val="0077522A"/>
    <w:rsid w:val="00791FEE"/>
    <w:rsid w:val="00796E01"/>
    <w:rsid w:val="007A5386"/>
    <w:rsid w:val="007B186F"/>
    <w:rsid w:val="007B77BA"/>
    <w:rsid w:val="007C03F0"/>
    <w:rsid w:val="007F25CE"/>
    <w:rsid w:val="00800707"/>
    <w:rsid w:val="00827987"/>
    <w:rsid w:val="008432DB"/>
    <w:rsid w:val="00843F19"/>
    <w:rsid w:val="00851528"/>
    <w:rsid w:val="00857BCD"/>
    <w:rsid w:val="008716FB"/>
    <w:rsid w:val="008F7A7F"/>
    <w:rsid w:val="00907F69"/>
    <w:rsid w:val="009167CF"/>
    <w:rsid w:val="00936F41"/>
    <w:rsid w:val="00937AC4"/>
    <w:rsid w:val="0095547C"/>
    <w:rsid w:val="00977F8C"/>
    <w:rsid w:val="009810D8"/>
    <w:rsid w:val="009B02A9"/>
    <w:rsid w:val="009B236D"/>
    <w:rsid w:val="009C165A"/>
    <w:rsid w:val="009C6672"/>
    <w:rsid w:val="009C726B"/>
    <w:rsid w:val="009D2DC4"/>
    <w:rsid w:val="009F150F"/>
    <w:rsid w:val="00A00EC8"/>
    <w:rsid w:val="00A34FE1"/>
    <w:rsid w:val="00AA321D"/>
    <w:rsid w:val="00AC05F1"/>
    <w:rsid w:val="00AC70F2"/>
    <w:rsid w:val="00AD41B1"/>
    <w:rsid w:val="00AF1586"/>
    <w:rsid w:val="00B1660D"/>
    <w:rsid w:val="00B25ED8"/>
    <w:rsid w:val="00B31921"/>
    <w:rsid w:val="00B338E2"/>
    <w:rsid w:val="00B44371"/>
    <w:rsid w:val="00B4447E"/>
    <w:rsid w:val="00B715BE"/>
    <w:rsid w:val="00B77A70"/>
    <w:rsid w:val="00B84E39"/>
    <w:rsid w:val="00B876A8"/>
    <w:rsid w:val="00B87CB1"/>
    <w:rsid w:val="00B950C7"/>
    <w:rsid w:val="00BA0784"/>
    <w:rsid w:val="00BA1D9B"/>
    <w:rsid w:val="00BB6BD5"/>
    <w:rsid w:val="00BC35CF"/>
    <w:rsid w:val="00BC47A7"/>
    <w:rsid w:val="00BD225B"/>
    <w:rsid w:val="00BD2503"/>
    <w:rsid w:val="00BD5527"/>
    <w:rsid w:val="00C00BB3"/>
    <w:rsid w:val="00C31FD7"/>
    <w:rsid w:val="00C43DA1"/>
    <w:rsid w:val="00C5217C"/>
    <w:rsid w:val="00C711CA"/>
    <w:rsid w:val="00C7135F"/>
    <w:rsid w:val="00C83000"/>
    <w:rsid w:val="00CA0CC6"/>
    <w:rsid w:val="00CB0ADA"/>
    <w:rsid w:val="00CC277A"/>
    <w:rsid w:val="00CE51C1"/>
    <w:rsid w:val="00CF20FC"/>
    <w:rsid w:val="00CF489B"/>
    <w:rsid w:val="00D0053E"/>
    <w:rsid w:val="00D265A2"/>
    <w:rsid w:val="00D309DD"/>
    <w:rsid w:val="00D40C13"/>
    <w:rsid w:val="00D716A6"/>
    <w:rsid w:val="00DF01E3"/>
    <w:rsid w:val="00DF0F6A"/>
    <w:rsid w:val="00E323BB"/>
    <w:rsid w:val="00E33B40"/>
    <w:rsid w:val="00E47DD1"/>
    <w:rsid w:val="00E570F4"/>
    <w:rsid w:val="00E67278"/>
    <w:rsid w:val="00E70761"/>
    <w:rsid w:val="00E76BD1"/>
    <w:rsid w:val="00E8742E"/>
    <w:rsid w:val="00EB0FB8"/>
    <w:rsid w:val="00EE27C6"/>
    <w:rsid w:val="00F12B3C"/>
    <w:rsid w:val="00F237C5"/>
    <w:rsid w:val="00F314D8"/>
    <w:rsid w:val="00F32F3E"/>
    <w:rsid w:val="00F73F2F"/>
    <w:rsid w:val="00F90135"/>
    <w:rsid w:val="00FA218B"/>
    <w:rsid w:val="00FC6EFF"/>
    <w:rsid w:val="00FD30D2"/>
    <w:rsid w:val="00FE04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13"/>
    <w:pPr>
      <w:spacing w:after="160" w:line="259"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C6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C6672"/>
    <w:rPr>
      <w:rFonts w:ascii="Segoe UI" w:hAnsi="Segoe UI" w:cs="Segoe UI"/>
      <w:sz w:val="18"/>
      <w:szCs w:val="18"/>
    </w:rPr>
  </w:style>
  <w:style w:type="paragraph" w:styleId="ListParagraph">
    <w:name w:val="List Paragraph"/>
    <w:basedOn w:val="Normal"/>
    <w:uiPriority w:val="34"/>
    <w:qFormat/>
    <w:rsid w:val="00CA0CC6"/>
    <w:pPr>
      <w:spacing w:after="0" w:line="240" w:lineRule="auto"/>
      <w:ind w:left="720"/>
    </w:pPr>
  </w:style>
  <w:style w:type="character" w:styleId="CommentReference">
    <w:name w:val="annotation reference"/>
    <w:basedOn w:val="DefaultParagraphFont"/>
    <w:uiPriority w:val="99"/>
    <w:semiHidden/>
    <w:rsid w:val="0010200B"/>
    <w:rPr>
      <w:rFonts w:cs="Times New Roman"/>
      <w:sz w:val="16"/>
      <w:szCs w:val="16"/>
    </w:rPr>
  </w:style>
  <w:style w:type="paragraph" w:styleId="CommentText">
    <w:name w:val="annotation text"/>
    <w:basedOn w:val="Normal"/>
    <w:link w:val="CommentTextChar"/>
    <w:uiPriority w:val="99"/>
    <w:semiHidden/>
    <w:rsid w:val="0010200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0200B"/>
    <w:rPr>
      <w:rFonts w:cs="Times New Roman"/>
      <w:sz w:val="20"/>
      <w:szCs w:val="20"/>
    </w:rPr>
  </w:style>
  <w:style w:type="paragraph" w:styleId="CommentSubject">
    <w:name w:val="annotation subject"/>
    <w:basedOn w:val="CommentText"/>
    <w:next w:val="CommentText"/>
    <w:link w:val="CommentSubjectChar"/>
    <w:uiPriority w:val="99"/>
    <w:semiHidden/>
    <w:rsid w:val="0010200B"/>
    <w:rPr>
      <w:b/>
      <w:bCs/>
    </w:rPr>
  </w:style>
  <w:style w:type="character" w:customStyle="1" w:styleId="CommentSubjectChar">
    <w:name w:val="Comment Subject Char"/>
    <w:basedOn w:val="CommentTextChar"/>
    <w:link w:val="CommentSubject"/>
    <w:uiPriority w:val="99"/>
    <w:semiHidden/>
    <w:locked/>
    <w:rsid w:val="0010200B"/>
    <w:rPr>
      <w:rFonts w:cs="Times New Roman"/>
      <w:b/>
      <w:bCs/>
      <w:sz w:val="20"/>
      <w:szCs w:val="20"/>
    </w:rPr>
  </w:style>
  <w:style w:type="paragraph" w:styleId="Header">
    <w:name w:val="header"/>
    <w:basedOn w:val="Normal"/>
    <w:link w:val="HeaderChar"/>
    <w:uiPriority w:val="99"/>
    <w:rsid w:val="001E6C9D"/>
    <w:pPr>
      <w:tabs>
        <w:tab w:val="center" w:pos="4535"/>
        <w:tab w:val="right" w:pos="9071"/>
      </w:tabs>
    </w:pPr>
  </w:style>
  <w:style w:type="character" w:customStyle="1" w:styleId="HeaderChar">
    <w:name w:val="Header Char"/>
    <w:basedOn w:val="DefaultParagraphFont"/>
    <w:link w:val="Header"/>
    <w:uiPriority w:val="99"/>
    <w:semiHidden/>
    <w:rsid w:val="002A2DFE"/>
    <w:rPr>
      <w:lang w:val="en-US" w:eastAsia="en-US"/>
    </w:rPr>
  </w:style>
  <w:style w:type="character" w:styleId="PageNumber">
    <w:name w:val="page number"/>
    <w:basedOn w:val="DefaultParagraphFont"/>
    <w:uiPriority w:val="99"/>
    <w:rsid w:val="001E6C9D"/>
    <w:rPr>
      <w:rFonts w:cs="Times New Roman"/>
    </w:rPr>
  </w:style>
  <w:style w:type="paragraph" w:styleId="FootnoteText">
    <w:name w:val="footnote text"/>
    <w:basedOn w:val="Normal"/>
    <w:link w:val="FootnoteTextChar"/>
    <w:semiHidden/>
    <w:rsid w:val="00C5217C"/>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C5217C"/>
    <w:rPr>
      <w:rFonts w:ascii="Times New Roman" w:eastAsia="Times New Roman" w:hAnsi="Times New Roman"/>
      <w:sz w:val="24"/>
      <w:szCs w:val="20"/>
      <w:lang w:val="hu-HU"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13"/>
    <w:pPr>
      <w:spacing w:after="160" w:line="259"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C6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C6672"/>
    <w:rPr>
      <w:rFonts w:ascii="Segoe UI" w:hAnsi="Segoe UI" w:cs="Segoe UI"/>
      <w:sz w:val="18"/>
      <w:szCs w:val="18"/>
    </w:rPr>
  </w:style>
  <w:style w:type="paragraph" w:styleId="ListParagraph">
    <w:name w:val="List Paragraph"/>
    <w:basedOn w:val="Normal"/>
    <w:uiPriority w:val="34"/>
    <w:qFormat/>
    <w:rsid w:val="00CA0CC6"/>
    <w:pPr>
      <w:spacing w:after="0" w:line="240" w:lineRule="auto"/>
      <w:ind w:left="720"/>
    </w:pPr>
  </w:style>
  <w:style w:type="character" w:styleId="CommentReference">
    <w:name w:val="annotation reference"/>
    <w:basedOn w:val="DefaultParagraphFont"/>
    <w:uiPriority w:val="99"/>
    <w:semiHidden/>
    <w:rsid w:val="0010200B"/>
    <w:rPr>
      <w:rFonts w:cs="Times New Roman"/>
      <w:sz w:val="16"/>
      <w:szCs w:val="16"/>
    </w:rPr>
  </w:style>
  <w:style w:type="paragraph" w:styleId="CommentText">
    <w:name w:val="annotation text"/>
    <w:basedOn w:val="Normal"/>
    <w:link w:val="CommentTextChar"/>
    <w:uiPriority w:val="99"/>
    <w:semiHidden/>
    <w:rsid w:val="0010200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10200B"/>
    <w:rPr>
      <w:rFonts w:cs="Times New Roman"/>
      <w:sz w:val="20"/>
      <w:szCs w:val="20"/>
    </w:rPr>
  </w:style>
  <w:style w:type="paragraph" w:styleId="CommentSubject">
    <w:name w:val="annotation subject"/>
    <w:basedOn w:val="CommentText"/>
    <w:next w:val="CommentText"/>
    <w:link w:val="CommentSubjectChar"/>
    <w:uiPriority w:val="99"/>
    <w:semiHidden/>
    <w:rsid w:val="0010200B"/>
    <w:rPr>
      <w:b/>
      <w:bCs/>
    </w:rPr>
  </w:style>
  <w:style w:type="character" w:customStyle="1" w:styleId="CommentSubjectChar">
    <w:name w:val="Comment Subject Char"/>
    <w:basedOn w:val="CommentTextChar"/>
    <w:link w:val="CommentSubject"/>
    <w:uiPriority w:val="99"/>
    <w:semiHidden/>
    <w:locked/>
    <w:rsid w:val="0010200B"/>
    <w:rPr>
      <w:rFonts w:cs="Times New Roman"/>
      <w:b/>
      <w:bCs/>
      <w:sz w:val="20"/>
      <w:szCs w:val="20"/>
    </w:rPr>
  </w:style>
  <w:style w:type="paragraph" w:styleId="Header">
    <w:name w:val="header"/>
    <w:basedOn w:val="Normal"/>
    <w:link w:val="HeaderChar"/>
    <w:uiPriority w:val="99"/>
    <w:rsid w:val="001E6C9D"/>
    <w:pPr>
      <w:tabs>
        <w:tab w:val="center" w:pos="4535"/>
        <w:tab w:val="right" w:pos="9071"/>
      </w:tabs>
    </w:pPr>
  </w:style>
  <w:style w:type="character" w:customStyle="1" w:styleId="HeaderChar">
    <w:name w:val="Header Char"/>
    <w:basedOn w:val="DefaultParagraphFont"/>
    <w:link w:val="Header"/>
    <w:uiPriority w:val="99"/>
    <w:semiHidden/>
    <w:rsid w:val="002A2DFE"/>
    <w:rPr>
      <w:lang w:val="en-US" w:eastAsia="en-US"/>
    </w:rPr>
  </w:style>
  <w:style w:type="character" w:styleId="PageNumber">
    <w:name w:val="page number"/>
    <w:basedOn w:val="DefaultParagraphFont"/>
    <w:uiPriority w:val="99"/>
    <w:rsid w:val="001E6C9D"/>
    <w:rPr>
      <w:rFonts w:cs="Times New Roman"/>
    </w:rPr>
  </w:style>
  <w:style w:type="paragraph" w:styleId="FootnoteText">
    <w:name w:val="footnote text"/>
    <w:basedOn w:val="Normal"/>
    <w:link w:val="FootnoteTextChar"/>
    <w:semiHidden/>
    <w:rsid w:val="00C5217C"/>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C5217C"/>
    <w:rPr>
      <w:rFonts w:ascii="Times New Roman" w:eastAsia="Times New Roman" w:hAnsi="Times New Roman"/>
      <w:sz w:val="24"/>
      <w:szCs w:val="20"/>
      <w:lang w:val="hu-HU" w:eastAsia="hr-HR"/>
    </w:rPr>
  </w:style>
</w:styles>
</file>

<file path=word/webSettings.xml><?xml version="1.0" encoding="utf-8"?>
<w:webSettings xmlns:r="http://schemas.openxmlformats.org/officeDocument/2006/relationships" xmlns:w="http://schemas.openxmlformats.org/wordprocessingml/2006/main">
  <w:divs>
    <w:div w:id="816000257">
      <w:marLeft w:val="0"/>
      <w:marRight w:val="0"/>
      <w:marTop w:val="0"/>
      <w:marBottom w:val="0"/>
      <w:divBdr>
        <w:top w:val="none" w:sz="0" w:space="0" w:color="auto"/>
        <w:left w:val="none" w:sz="0" w:space="0" w:color="auto"/>
        <w:bottom w:val="none" w:sz="0" w:space="0" w:color="auto"/>
        <w:right w:val="none" w:sz="0" w:space="0" w:color="auto"/>
      </w:divBdr>
    </w:div>
    <w:div w:id="816000258">
      <w:marLeft w:val="0"/>
      <w:marRight w:val="0"/>
      <w:marTop w:val="0"/>
      <w:marBottom w:val="0"/>
      <w:divBdr>
        <w:top w:val="none" w:sz="0" w:space="0" w:color="auto"/>
        <w:left w:val="none" w:sz="0" w:space="0" w:color="auto"/>
        <w:bottom w:val="none" w:sz="0" w:space="0" w:color="auto"/>
        <w:right w:val="none" w:sz="0" w:space="0" w:color="auto"/>
      </w:divBdr>
    </w:div>
    <w:div w:id="180492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3088</Words>
  <Characters>17606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20653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adamnjanovic</dc:creator>
  <cp:lastModifiedBy>jovan</cp:lastModifiedBy>
  <cp:revision>2</cp:revision>
  <cp:lastPrinted>2015-12-01T12:32:00Z</cp:lastPrinted>
  <dcterms:created xsi:type="dcterms:W3CDTF">2015-12-04T11:16:00Z</dcterms:created>
  <dcterms:modified xsi:type="dcterms:W3CDTF">2015-12-04T11:16:00Z</dcterms:modified>
</cp:coreProperties>
</file>