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B77A1B" w:rsidRPr="009C3C2F" w:rsidTr="004E460E">
        <w:trPr>
          <w:jc w:val="center"/>
        </w:trPr>
        <w:tc>
          <w:tcPr>
            <w:tcW w:w="3841" w:type="pct"/>
            <w:shd w:val="clear" w:color="auto" w:fill="D9D9D9"/>
          </w:tcPr>
          <w:p w:rsidR="00B77A1B" w:rsidRPr="009C3C2F" w:rsidRDefault="00B77A1B" w:rsidP="004E460E">
            <w:pPr>
              <w:spacing w:before="120" w:after="120"/>
              <w:jc w:val="both"/>
              <w:rPr>
                <w:rFonts w:ascii="Times New Roman" w:hAnsi="Times New Roman" w:cs="Times New Roman"/>
                <w:sz w:val="18"/>
                <w:szCs w:val="18"/>
                <w:lang w:val="sr-Cyrl-CS"/>
              </w:rPr>
            </w:pPr>
            <w:bookmarkStart w:id="0" w:name="_GoBack"/>
            <w:bookmarkEnd w:id="0"/>
            <w:r w:rsidRPr="009C3C2F">
              <w:rPr>
                <w:rFonts w:ascii="Times New Roman" w:hAnsi="Times New Roman" w:cs="Times New Roman"/>
                <w:sz w:val="18"/>
                <w:szCs w:val="18"/>
                <w:lang w:val="sr-Cyrl-CS"/>
              </w:rPr>
              <w:t>1. Назив прописа Eвропске уније</w:t>
            </w:r>
            <w:r w:rsidRPr="009C3C2F" w:rsidDel="00C32699">
              <w:rPr>
                <w:rFonts w:ascii="Times New Roman" w:hAnsi="Times New Roman" w:cs="Times New Roman"/>
                <w:sz w:val="18"/>
                <w:szCs w:val="18"/>
                <w:lang w:val="sr-Cyrl-CS"/>
              </w:rPr>
              <w:t xml:space="preserve"> </w:t>
            </w:r>
            <w:r w:rsidRPr="009C3C2F">
              <w:rPr>
                <w:rFonts w:ascii="Times New Roman" w:hAnsi="Times New Roman" w:cs="Times New Roman"/>
                <w:sz w:val="18"/>
                <w:szCs w:val="18"/>
                <w:lang w:val="sr-Cyrl-CS"/>
              </w:rPr>
              <w:t xml:space="preserve">: </w:t>
            </w:r>
          </w:p>
          <w:p w:rsidR="00B77A1B" w:rsidRPr="009C3C2F" w:rsidRDefault="00B77A1B" w:rsidP="00D97225">
            <w:pPr>
              <w:autoSpaceDE w:val="0"/>
              <w:autoSpaceDN w:val="0"/>
              <w:adjustRightInd w:val="0"/>
              <w:jc w:val="both"/>
              <w:rPr>
                <w:rFonts w:ascii="Times New Roman" w:hAnsi="Times New Roman" w:cs="Times New Roman"/>
                <w:b/>
                <w:bCs/>
                <w:color w:val="000000"/>
                <w:sz w:val="18"/>
                <w:szCs w:val="18"/>
                <w:lang w:val="sr-Cyrl-CS"/>
              </w:rPr>
            </w:pPr>
            <w:r w:rsidRPr="009C3C2F">
              <w:rPr>
                <w:rFonts w:ascii="Times New Roman" w:hAnsi="Times New Roman" w:cs="Times New Roman"/>
                <w:b/>
                <w:bCs/>
                <w:color w:val="000000"/>
                <w:sz w:val="18"/>
                <w:szCs w:val="18"/>
                <w:lang w:val="sr-Cyrl-CS"/>
              </w:rPr>
              <w:t xml:space="preserve">Директива 2006/22/ЕЗ европског парламента и већа </w:t>
            </w:r>
            <w:r w:rsidRPr="009C3C2F">
              <w:rPr>
                <w:rFonts w:ascii="Times New Roman" w:hAnsi="Times New Roman" w:cs="Times New Roman"/>
                <w:b/>
                <w:color w:val="000000"/>
                <w:sz w:val="18"/>
                <w:szCs w:val="18"/>
                <w:lang w:val="sr-Cyrl-CS"/>
              </w:rPr>
              <w:t xml:space="preserve"> </w:t>
            </w:r>
            <w:r w:rsidRPr="009C3C2F">
              <w:rPr>
                <w:rFonts w:ascii="Times New Roman" w:hAnsi="Times New Roman" w:cs="Times New Roman"/>
                <w:b/>
                <w:bCs/>
                <w:color w:val="000000"/>
                <w:sz w:val="18"/>
                <w:szCs w:val="18"/>
                <w:lang w:val="sr-Cyrl-CS"/>
              </w:rPr>
              <w:t>од 15. марта 2006.  о минималним условима за спровођење Уредбе Већа (ЕЕЗ) бр. 3820/85 и (ЕЕЗ) бр. 3821/85 о социјалном законодавству које се односи на активности друмског превоза и стављању изван снаге Директиву Већа 88/599/ЕЕЗ</w:t>
            </w:r>
          </w:p>
          <w:p w:rsidR="00B77A1B" w:rsidRPr="009C3C2F" w:rsidRDefault="00B77A1B" w:rsidP="00D97225">
            <w:pPr>
              <w:autoSpaceDE w:val="0"/>
              <w:autoSpaceDN w:val="0"/>
              <w:adjustRightInd w:val="0"/>
              <w:jc w:val="both"/>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 xml:space="preserve">               </w:t>
            </w:r>
          </w:p>
          <w:p w:rsidR="00B77A1B" w:rsidRPr="009C3C2F" w:rsidRDefault="00B77A1B" w:rsidP="00D97225">
            <w:pPr>
              <w:autoSpaceDE w:val="0"/>
              <w:autoSpaceDN w:val="0"/>
              <w:adjustRightInd w:val="0"/>
              <w:jc w:val="both"/>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Directive 2006/22/EC of the european parliament and of the council of 15 March 2006 on minimum conditions for the implementation of Council Regulations (EEC) No 3820/85 and (EEC) No 3821/85 concerning social legislation relating to road transport activities and repealing Council Directive 88/599/EEC (</w:t>
            </w:r>
            <w:r w:rsidRPr="009C3C2F">
              <w:rPr>
                <w:rFonts w:ascii="Times New Roman" w:hAnsi="Times New Roman" w:cs="Times New Roman"/>
                <w:b/>
                <w:color w:val="000000"/>
                <w:sz w:val="18"/>
                <w:szCs w:val="18"/>
                <w:lang w:val="sr-Cyrl-CS"/>
              </w:rPr>
              <w:t>Amended by:</w:t>
            </w:r>
            <w:r w:rsidRPr="009C3C2F">
              <w:rPr>
                <w:rFonts w:ascii="Times New Roman" w:hAnsi="Times New Roman" w:cs="Times New Roman"/>
                <w:b/>
                <w:bCs/>
                <w:sz w:val="18"/>
                <w:szCs w:val="18"/>
                <w:lang w:val="sr-Cyrl-CS"/>
              </w:rPr>
              <w:t xml:space="preserve"> </w:t>
            </w:r>
            <w:r w:rsidRPr="009C3C2F">
              <w:rPr>
                <w:rFonts w:ascii="Times New Roman" w:hAnsi="Times New Roman" w:cs="Times New Roman"/>
                <w:b/>
                <w:sz w:val="18"/>
                <w:szCs w:val="18"/>
                <w:lang w:val="sr-Cyrl-CS"/>
              </w:rPr>
              <w:t xml:space="preserve"> 32009L0005; 32009L0004)</w:t>
            </w:r>
          </w:p>
        </w:tc>
        <w:tc>
          <w:tcPr>
            <w:tcW w:w="1159" w:type="pct"/>
            <w:shd w:val="clear" w:color="auto" w:fill="D9D9D9"/>
          </w:tcPr>
          <w:p w:rsidR="00B77A1B" w:rsidRPr="009C3C2F" w:rsidRDefault="00B77A1B" w:rsidP="004E460E">
            <w:pPr>
              <w:spacing w:before="120" w:after="120"/>
              <w:jc w:val="both"/>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2. „CELEX” ознака ЕУ прописа</w:t>
            </w:r>
          </w:p>
          <w:p w:rsidR="00B77A1B" w:rsidRPr="009C3C2F" w:rsidRDefault="00B77A1B" w:rsidP="004E460E">
            <w:pPr>
              <w:spacing w:before="120" w:after="120"/>
              <w:jc w:val="both"/>
              <w:rPr>
                <w:rFonts w:ascii="Times New Roman" w:hAnsi="Times New Roman" w:cs="Times New Roman"/>
                <w:b/>
                <w:sz w:val="18"/>
                <w:szCs w:val="18"/>
                <w:lang w:val="sr-Cyrl-CS"/>
              </w:rPr>
            </w:pPr>
            <w:r w:rsidRPr="009C3C2F">
              <w:rPr>
                <w:rFonts w:ascii="Times New Roman" w:hAnsi="Times New Roman" w:cs="Times New Roman"/>
                <w:b/>
                <w:sz w:val="18"/>
                <w:szCs w:val="18"/>
                <w:lang w:val="sr-Cyrl-CS"/>
              </w:rPr>
              <w:t xml:space="preserve">    32006L0022</w:t>
            </w:r>
          </w:p>
          <w:p w:rsidR="00B77A1B" w:rsidRPr="009C3C2F" w:rsidRDefault="00B77A1B" w:rsidP="004E460E">
            <w:pPr>
              <w:spacing w:before="120" w:after="120"/>
              <w:jc w:val="both"/>
              <w:rPr>
                <w:rFonts w:ascii="Times New Roman" w:hAnsi="Times New Roman" w:cs="Times New Roman"/>
                <w:b/>
                <w:iCs/>
                <w:sz w:val="18"/>
                <w:szCs w:val="18"/>
                <w:lang w:val="sr-Cyrl-CS"/>
              </w:rPr>
            </w:pPr>
            <w:r w:rsidRPr="009C3C2F">
              <w:rPr>
                <w:rFonts w:ascii="Times New Roman" w:hAnsi="Times New Roman" w:cs="Times New Roman"/>
                <w:iCs/>
                <w:sz w:val="18"/>
                <w:szCs w:val="18"/>
                <w:lang w:val="sr-Cyrl-CS"/>
              </w:rPr>
              <w:t xml:space="preserve">    </w:t>
            </w:r>
            <w:r w:rsidRPr="009C3C2F">
              <w:rPr>
                <w:rFonts w:ascii="Times New Roman" w:hAnsi="Times New Roman" w:cs="Times New Roman"/>
                <w:b/>
                <w:iCs/>
                <w:sz w:val="18"/>
                <w:szCs w:val="18"/>
                <w:lang w:val="sr-Cyrl-CS"/>
              </w:rPr>
              <w:t>32009L0004</w:t>
            </w:r>
          </w:p>
          <w:p w:rsidR="00B77A1B" w:rsidRPr="009C3C2F" w:rsidRDefault="00B77A1B" w:rsidP="004E460E">
            <w:pPr>
              <w:spacing w:before="120" w:after="120"/>
              <w:jc w:val="both"/>
              <w:rPr>
                <w:rFonts w:ascii="Times New Roman" w:hAnsi="Times New Roman" w:cs="Times New Roman"/>
                <w:iCs/>
                <w:sz w:val="18"/>
                <w:szCs w:val="18"/>
                <w:lang w:val="sr-Cyrl-CS"/>
              </w:rPr>
            </w:pPr>
            <w:r w:rsidRPr="009C3C2F">
              <w:rPr>
                <w:rFonts w:ascii="Times New Roman" w:hAnsi="Times New Roman" w:cs="Times New Roman"/>
                <w:b/>
                <w:iCs/>
                <w:sz w:val="18"/>
                <w:szCs w:val="18"/>
                <w:lang w:val="sr-Cyrl-CS"/>
              </w:rPr>
              <w:t xml:space="preserve">    32009L0005</w:t>
            </w:r>
          </w:p>
        </w:tc>
      </w:tr>
      <w:tr w:rsidR="00B77A1B" w:rsidRPr="009C3C2F" w:rsidTr="004E460E">
        <w:trPr>
          <w:jc w:val="center"/>
        </w:trPr>
        <w:tc>
          <w:tcPr>
            <w:tcW w:w="3841" w:type="pct"/>
          </w:tcPr>
          <w:p w:rsidR="00B77A1B" w:rsidRPr="009C3C2F" w:rsidRDefault="00B77A1B" w:rsidP="004E460E">
            <w:p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3. Орган државне управе, односно други овлашћени предлагач прописа - Влада </w:t>
            </w:r>
          </w:p>
          <w:p w:rsidR="00B77A1B" w:rsidRPr="009C3C2F" w:rsidRDefault="00B77A1B" w:rsidP="004E460E">
            <w:pPr>
              <w:rPr>
                <w:rFonts w:ascii="Times New Roman" w:hAnsi="Times New Roman" w:cs="Times New Roman"/>
                <w:sz w:val="18"/>
                <w:szCs w:val="18"/>
                <w:lang w:val="sr-Cyrl-CS"/>
              </w:rPr>
            </w:pPr>
          </w:p>
          <w:p w:rsidR="00B77A1B" w:rsidRPr="009C3C2F" w:rsidRDefault="00B77A1B" w:rsidP="004E460E">
            <w:pPr>
              <w:rPr>
                <w:rFonts w:ascii="Times New Roman" w:hAnsi="Times New Roman" w:cs="Times New Roman"/>
                <w:sz w:val="18"/>
                <w:szCs w:val="18"/>
                <w:lang w:val="sr-Cyrl-CS"/>
              </w:rPr>
            </w:pPr>
            <w:r w:rsidRPr="009C3C2F">
              <w:rPr>
                <w:rFonts w:ascii="Times New Roman" w:hAnsi="Times New Roman" w:cs="Times New Roman"/>
                <w:b/>
                <w:sz w:val="18"/>
                <w:szCs w:val="18"/>
                <w:lang w:val="sr-Cyrl-CS"/>
              </w:rPr>
              <w:t xml:space="preserve">   Обрађивач - Министарство грађевинарства, саобраћаја и инфраструктуре</w:t>
            </w:r>
          </w:p>
        </w:tc>
        <w:tc>
          <w:tcPr>
            <w:tcW w:w="1159" w:type="pct"/>
          </w:tcPr>
          <w:p w:rsidR="00B77A1B" w:rsidRPr="009C3C2F" w:rsidRDefault="00B77A1B" w:rsidP="004E460E">
            <w:pPr>
              <w:jc w:val="both"/>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4. Датум израде табеле:</w:t>
            </w:r>
          </w:p>
          <w:p w:rsidR="00B77A1B" w:rsidRPr="009C3C2F" w:rsidRDefault="00B77A1B" w:rsidP="004E460E">
            <w:pPr>
              <w:jc w:val="both"/>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 xml:space="preserve"> </w:t>
            </w:r>
          </w:p>
          <w:p w:rsidR="00B77A1B" w:rsidRPr="009C3C2F" w:rsidRDefault="00B77A1B" w:rsidP="004E460E">
            <w:pPr>
              <w:jc w:val="both"/>
              <w:rPr>
                <w:rFonts w:ascii="Times New Roman" w:hAnsi="Times New Roman" w:cs="Times New Roman"/>
                <w:iCs/>
                <w:sz w:val="18"/>
                <w:szCs w:val="18"/>
                <w:lang w:val="sr-Cyrl-CS"/>
              </w:rPr>
            </w:pPr>
            <w:r w:rsidRPr="009C3C2F">
              <w:rPr>
                <w:rFonts w:ascii="Times New Roman" w:hAnsi="Times New Roman" w:cs="Times New Roman"/>
                <w:b/>
                <w:iCs/>
                <w:sz w:val="18"/>
                <w:szCs w:val="18"/>
                <w:lang w:val="sr-Cyrl-CS"/>
              </w:rPr>
              <w:t xml:space="preserve">    </w:t>
            </w:r>
            <w:r w:rsidRPr="009C3C2F">
              <w:rPr>
                <w:rFonts w:ascii="Times New Roman" w:hAnsi="Times New Roman" w:cs="Times New Roman"/>
                <w:b/>
                <w:sz w:val="18"/>
                <w:szCs w:val="18"/>
                <w:lang w:val="sr-Cyrl-CS"/>
              </w:rPr>
              <w:t>29.10.2015.  године</w:t>
            </w:r>
          </w:p>
        </w:tc>
      </w:tr>
      <w:tr w:rsidR="00B77A1B" w:rsidRPr="009C3C2F" w:rsidTr="004E460E">
        <w:trPr>
          <w:trHeight w:val="917"/>
          <w:jc w:val="center"/>
        </w:trPr>
        <w:tc>
          <w:tcPr>
            <w:tcW w:w="3841" w:type="pct"/>
          </w:tcPr>
          <w:p w:rsidR="00B77A1B" w:rsidRPr="009C3C2F" w:rsidRDefault="00B77A1B" w:rsidP="0025042A">
            <w:pPr>
              <w:spacing w:before="120" w:after="120"/>
              <w:jc w:val="both"/>
              <w:rPr>
                <w:rStyle w:val="hps"/>
                <w:rFonts w:ascii="Times New Roman" w:hAnsi="Times New Roman"/>
                <w:sz w:val="18"/>
                <w:szCs w:val="18"/>
                <w:lang w:val="sr-Cyrl-CS"/>
              </w:rPr>
            </w:pPr>
            <w:r w:rsidRPr="009C3C2F">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9C3C2F">
              <w:rPr>
                <w:rStyle w:val="hps"/>
                <w:rFonts w:ascii="Times New Roman" w:hAnsi="Times New Roman"/>
                <w:sz w:val="18"/>
                <w:szCs w:val="18"/>
                <w:lang w:val="sr-Cyrl-CS"/>
              </w:rPr>
              <w:t>:</w:t>
            </w:r>
          </w:p>
          <w:p w:rsidR="00B77A1B" w:rsidRPr="009C3C2F" w:rsidRDefault="00B77A1B" w:rsidP="00AA0F0C">
            <w:pPr>
              <w:spacing w:before="120" w:after="120"/>
              <w:jc w:val="both"/>
              <w:rPr>
                <w:rFonts w:ascii="Times New Roman" w:hAnsi="Times New Roman" w:cs="Times New Roman"/>
                <w:b/>
                <w:sz w:val="18"/>
                <w:szCs w:val="18"/>
                <w:lang w:val="sr-Cyrl-CS"/>
              </w:rPr>
            </w:pPr>
            <w:r w:rsidRPr="009C3C2F">
              <w:rPr>
                <w:rFonts w:ascii="Times New Roman" w:hAnsi="Times New Roman" w:cs="Times New Roman"/>
                <w:b/>
                <w:sz w:val="18"/>
                <w:szCs w:val="18"/>
                <w:lang w:val="sr-Cyrl-CS"/>
              </w:rPr>
              <w:t xml:space="preserve">   </w:t>
            </w:r>
            <w:r>
              <w:rPr>
                <w:rFonts w:ascii="Times New Roman" w:hAnsi="Times New Roman" w:cs="Times New Roman"/>
                <w:b/>
                <w:sz w:val="18"/>
                <w:szCs w:val="18"/>
                <w:lang w:val="sr-Cyrl-CS"/>
              </w:rPr>
              <w:t>Предлог</w:t>
            </w:r>
            <w:r w:rsidRPr="009C3C2F">
              <w:rPr>
                <w:rFonts w:ascii="Times New Roman" w:hAnsi="Times New Roman" w:cs="Times New Roman"/>
                <w:b/>
                <w:sz w:val="18"/>
                <w:szCs w:val="18"/>
                <w:lang w:val="sr-Cyrl-CS"/>
              </w:rPr>
              <w:t xml:space="preserve"> закона о радном времену посаде возила у друмском превозу и тахографима</w:t>
            </w:r>
          </w:p>
          <w:p w:rsidR="00B77A1B" w:rsidRPr="009C3C2F" w:rsidRDefault="00B77A1B" w:rsidP="00AA0F0C">
            <w:pPr>
              <w:spacing w:before="120" w:after="120"/>
              <w:jc w:val="both"/>
              <w:rPr>
                <w:rFonts w:ascii="Times New Roman" w:hAnsi="Times New Roman" w:cs="Times New Roman"/>
                <w:b/>
                <w:sz w:val="18"/>
                <w:szCs w:val="18"/>
                <w:lang w:val="sr-Cyrl-CS"/>
              </w:rPr>
            </w:pPr>
            <w:r w:rsidRPr="009C3C2F">
              <w:rPr>
                <w:rFonts w:ascii="Times New Roman" w:hAnsi="Times New Roman" w:cs="Times New Roman"/>
                <w:b/>
                <w:noProof/>
                <w:sz w:val="18"/>
                <w:szCs w:val="18"/>
                <w:lang w:val="sr-Cyrl-CS"/>
              </w:rPr>
              <w:t xml:space="preserve">   Draft law on working time of mobile worker vehicles in road transport and tachographs</w:t>
            </w:r>
          </w:p>
        </w:tc>
        <w:tc>
          <w:tcPr>
            <w:tcW w:w="1159" w:type="pct"/>
          </w:tcPr>
          <w:p w:rsidR="00B77A1B" w:rsidRPr="009C3C2F" w:rsidRDefault="00B77A1B" w:rsidP="0025042A">
            <w:pPr>
              <w:spacing w:before="120" w:after="120"/>
              <w:jc w:val="both"/>
              <w:rPr>
                <w:rStyle w:val="hps"/>
                <w:rFonts w:ascii="Times New Roman" w:hAnsi="Times New Roman"/>
                <w:iCs/>
                <w:sz w:val="18"/>
                <w:szCs w:val="18"/>
                <w:lang w:val="sr-Cyrl-CS"/>
              </w:rPr>
            </w:pPr>
            <w:r w:rsidRPr="009C3C2F">
              <w:rPr>
                <w:rFonts w:ascii="Times New Roman" w:hAnsi="Times New Roman" w:cs="Times New Roman"/>
                <w:iCs/>
                <w:sz w:val="18"/>
                <w:szCs w:val="18"/>
                <w:lang w:val="sr-Cyrl-CS"/>
              </w:rPr>
              <w:t>6. Бројчане ознаке (шифре) планираних прописа из базе НПAA</w:t>
            </w:r>
            <w:r w:rsidRPr="009C3C2F">
              <w:rPr>
                <w:rStyle w:val="hps"/>
                <w:rFonts w:ascii="Times New Roman" w:hAnsi="Times New Roman"/>
                <w:iCs/>
                <w:sz w:val="18"/>
                <w:szCs w:val="18"/>
                <w:lang w:val="sr-Cyrl-CS"/>
              </w:rPr>
              <w:t>:</w:t>
            </w:r>
          </w:p>
          <w:p w:rsidR="00B77A1B" w:rsidRPr="009C3C2F" w:rsidRDefault="00B77A1B" w:rsidP="0025042A">
            <w:pPr>
              <w:spacing w:before="120" w:after="120"/>
              <w:jc w:val="both"/>
              <w:rPr>
                <w:rFonts w:ascii="Times New Roman" w:hAnsi="Times New Roman" w:cs="Times New Roman"/>
                <w:iCs/>
                <w:sz w:val="18"/>
                <w:szCs w:val="18"/>
                <w:lang w:val="sr-Cyrl-CS"/>
              </w:rPr>
            </w:pPr>
            <w:r w:rsidRPr="009C3C2F">
              <w:rPr>
                <w:rFonts w:ascii="Times New Roman" w:hAnsi="Times New Roman" w:cs="Times New Roman"/>
                <w:b/>
                <w:sz w:val="18"/>
                <w:szCs w:val="18"/>
                <w:lang w:val="sr-Cyrl-CS"/>
              </w:rPr>
              <w:t xml:space="preserve">     2012-519</w:t>
            </w:r>
          </w:p>
        </w:tc>
      </w:tr>
      <w:tr w:rsidR="00B77A1B" w:rsidRPr="009C3C2F" w:rsidTr="004E460E">
        <w:trPr>
          <w:jc w:val="center"/>
        </w:trPr>
        <w:tc>
          <w:tcPr>
            <w:tcW w:w="5000" w:type="pct"/>
            <w:gridSpan w:val="2"/>
          </w:tcPr>
          <w:p w:rsidR="00B77A1B" w:rsidRPr="009C3C2F" w:rsidRDefault="00B77A1B" w:rsidP="004E460E">
            <w:pPr>
              <w:spacing w:before="120" w:after="120"/>
              <w:jc w:val="both"/>
              <w:rPr>
                <w:rFonts w:ascii="Times New Roman" w:hAnsi="Times New Roman" w:cs="Times New Roman"/>
                <w:sz w:val="18"/>
                <w:szCs w:val="18"/>
                <w:lang w:val="sr-Cyrl-CS"/>
              </w:rPr>
            </w:pPr>
            <w:r w:rsidRPr="009C3C2F">
              <w:rPr>
                <w:rFonts w:ascii="Times New Roman" w:hAnsi="Times New Roman" w:cs="Times New Roman"/>
                <w:sz w:val="18"/>
                <w:szCs w:val="18"/>
                <w:lang w:val="sr-Cyrl-CS"/>
              </w:rPr>
              <w:t>7. Усклађеност одредби прописа са одредбама прописа ЕУ:</w:t>
            </w:r>
          </w:p>
        </w:tc>
      </w:tr>
    </w:tbl>
    <w:p w:rsidR="00B77A1B" w:rsidRPr="009C3C2F" w:rsidRDefault="00B77A1B">
      <w:pPr>
        <w:rPr>
          <w:rFonts w:ascii="Times New Roman" w:hAnsi="Times New Roman" w:cs="Times New Roman"/>
          <w:sz w:val="6"/>
          <w:szCs w:val="6"/>
          <w:lang w:val="sr-Cyrl-CS"/>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B77A1B" w:rsidRPr="009C3C2F" w:rsidTr="000044DA">
        <w:trPr>
          <w:trHeight w:val="652"/>
          <w:tblHeader/>
          <w:jc w:val="center"/>
        </w:trPr>
        <w:tc>
          <w:tcPr>
            <w:tcW w:w="308" w:type="pct"/>
            <w:shd w:val="clear" w:color="auto" w:fill="D9D9D9"/>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а)</w:t>
            </w:r>
          </w:p>
        </w:tc>
        <w:tc>
          <w:tcPr>
            <w:tcW w:w="1380" w:type="pct"/>
            <w:shd w:val="clear" w:color="auto" w:fill="D9D9D9"/>
            <w:vAlign w:val="center"/>
          </w:tcPr>
          <w:p w:rsidR="00B77A1B" w:rsidRPr="009C3C2F" w:rsidRDefault="00B77A1B" w:rsidP="004E460E">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а1)</w:t>
            </w:r>
          </w:p>
        </w:tc>
        <w:tc>
          <w:tcPr>
            <w:tcW w:w="311" w:type="pct"/>
            <w:vAlign w:val="center"/>
          </w:tcPr>
          <w:p w:rsidR="00B77A1B" w:rsidRPr="009C3C2F" w:rsidRDefault="00B77A1B" w:rsidP="000044DA">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б)</w:t>
            </w:r>
          </w:p>
        </w:tc>
        <w:tc>
          <w:tcPr>
            <w:tcW w:w="1376" w:type="pct"/>
            <w:vAlign w:val="center"/>
          </w:tcPr>
          <w:p w:rsidR="00B77A1B" w:rsidRPr="009C3C2F" w:rsidRDefault="00B77A1B" w:rsidP="004E460E">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б1)</w:t>
            </w:r>
          </w:p>
        </w:tc>
        <w:tc>
          <w:tcPr>
            <w:tcW w:w="228" w:type="pct"/>
            <w:vAlign w:val="center"/>
          </w:tcPr>
          <w:p w:rsidR="00B77A1B" w:rsidRPr="009C3C2F" w:rsidRDefault="00B77A1B" w:rsidP="000044DA">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в)</w:t>
            </w:r>
          </w:p>
        </w:tc>
        <w:tc>
          <w:tcPr>
            <w:tcW w:w="872" w:type="pct"/>
            <w:vAlign w:val="center"/>
          </w:tcPr>
          <w:p w:rsidR="00B77A1B" w:rsidRPr="009C3C2F" w:rsidRDefault="00B77A1B" w:rsidP="004E460E">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г)</w:t>
            </w:r>
          </w:p>
        </w:tc>
        <w:tc>
          <w:tcPr>
            <w:tcW w:w="525" w:type="pct"/>
            <w:vAlign w:val="center"/>
          </w:tcPr>
          <w:p w:rsidR="00B77A1B" w:rsidRPr="009C3C2F" w:rsidRDefault="00B77A1B" w:rsidP="004E460E">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д)</w:t>
            </w:r>
          </w:p>
        </w:tc>
      </w:tr>
      <w:tr w:rsidR="00B77A1B" w:rsidRPr="009C3C2F" w:rsidTr="000044DA">
        <w:trPr>
          <w:trHeight w:val="966"/>
          <w:jc w:val="center"/>
        </w:trPr>
        <w:tc>
          <w:tcPr>
            <w:tcW w:w="308" w:type="pct"/>
            <w:shd w:val="clear" w:color="auto" w:fill="D9D9D9"/>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Одредба прописа ЕУ</w:t>
            </w:r>
          </w:p>
        </w:tc>
        <w:tc>
          <w:tcPr>
            <w:tcW w:w="1380" w:type="pct"/>
            <w:shd w:val="clear" w:color="auto" w:fill="D9D9D9"/>
            <w:vAlign w:val="center"/>
          </w:tcPr>
          <w:p w:rsidR="00B77A1B" w:rsidRPr="009C3C2F" w:rsidRDefault="00B77A1B" w:rsidP="004E460E">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Садржина одредбе</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Одредбе прописа Р. Србије</w:t>
            </w:r>
          </w:p>
        </w:tc>
        <w:tc>
          <w:tcPr>
            <w:tcW w:w="1376" w:type="pct"/>
            <w:vAlign w:val="center"/>
          </w:tcPr>
          <w:p w:rsidR="00B77A1B" w:rsidRPr="009C3C2F" w:rsidRDefault="00B77A1B" w:rsidP="004E460E">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Садржина одредбе</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Усклађеност</w:t>
            </w:r>
            <w:r w:rsidRPr="009C3C2F">
              <w:rPr>
                <w:rStyle w:val="FootnoteReference"/>
                <w:rFonts w:ascii="Times New Roman" w:hAnsi="Times New Roman"/>
                <w:sz w:val="18"/>
                <w:szCs w:val="18"/>
                <w:lang w:val="sr-Cyrl-CS"/>
              </w:rPr>
              <w:footnoteReference w:id="1"/>
            </w:r>
          </w:p>
        </w:tc>
        <w:tc>
          <w:tcPr>
            <w:tcW w:w="872" w:type="pct"/>
            <w:vAlign w:val="center"/>
          </w:tcPr>
          <w:p w:rsidR="00B77A1B" w:rsidRPr="009C3C2F" w:rsidRDefault="00B77A1B" w:rsidP="004E460E">
            <w:pPr>
              <w:spacing w:before="120" w:after="120"/>
              <w:ind w:firstLine="21"/>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Разлози за делимичну усклађеност, неусклађеност или непреносивост</w:t>
            </w:r>
          </w:p>
        </w:tc>
        <w:tc>
          <w:tcPr>
            <w:tcW w:w="525" w:type="pct"/>
            <w:vAlign w:val="center"/>
          </w:tcPr>
          <w:p w:rsidR="00B77A1B" w:rsidRPr="009C3C2F" w:rsidRDefault="00B77A1B" w:rsidP="004E460E">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Напомена о усклађености</w:t>
            </w:r>
          </w:p>
        </w:tc>
      </w:tr>
      <w:tr w:rsidR="00B77A1B" w:rsidRPr="009C3C2F" w:rsidTr="005D0DEF">
        <w:trPr>
          <w:jc w:val="center"/>
        </w:trPr>
        <w:tc>
          <w:tcPr>
            <w:tcW w:w="308" w:type="pct"/>
            <w:shd w:val="clear" w:color="auto" w:fill="D9D9D9"/>
            <w:vAlign w:val="center"/>
          </w:tcPr>
          <w:p w:rsidR="00B77A1B" w:rsidRPr="009C3C2F" w:rsidRDefault="00B77A1B" w:rsidP="000044DA">
            <w:pPr>
              <w:jc w:val="center"/>
              <w:rPr>
                <w:rFonts w:ascii="Times New Roman" w:hAnsi="Times New Roman" w:cs="Times New Roman"/>
                <w:sz w:val="18"/>
                <w:szCs w:val="18"/>
                <w:lang w:val="sr-Cyrl-CS"/>
              </w:rPr>
            </w:pPr>
            <w:r w:rsidRPr="009C3C2F">
              <w:rPr>
                <w:rFonts w:ascii="Times New Roman" w:hAnsi="Times New Roman" w:cs="Times New Roman"/>
                <w:iCs/>
                <w:sz w:val="18"/>
                <w:szCs w:val="18"/>
                <w:lang w:val="sr-Cyrl-CS"/>
              </w:rPr>
              <w:t>1.</w:t>
            </w: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Subject-matter</w:t>
            </w:r>
          </w:p>
          <w:p w:rsidR="00B77A1B" w:rsidRPr="009C3C2F" w:rsidRDefault="00B77A1B" w:rsidP="006509E0">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This Directive lays down minimum conditions for the implementation of Regulations (EEC) No 3820/85 and (EEC) No 3821/85.</w:t>
            </w:r>
          </w:p>
        </w:tc>
        <w:tc>
          <w:tcPr>
            <w:tcW w:w="311" w:type="pct"/>
            <w:vAlign w:val="center"/>
          </w:tcPr>
          <w:p w:rsidR="00B77A1B" w:rsidRPr="009C3C2F" w:rsidRDefault="00B77A1B" w:rsidP="000044DA">
            <w:pPr>
              <w:pStyle w:val="NoSpacing"/>
              <w:jc w:val="center"/>
              <w:rPr>
                <w:rFonts w:ascii="Times New Roman" w:hAnsi="Times New Roman" w:cs="Times New Roman"/>
                <w:sz w:val="18"/>
                <w:szCs w:val="18"/>
                <w:lang w:val="sr-Cyrl-CS"/>
              </w:rPr>
            </w:pPr>
          </w:p>
        </w:tc>
        <w:tc>
          <w:tcPr>
            <w:tcW w:w="1376" w:type="pct"/>
            <w:vAlign w:val="center"/>
          </w:tcPr>
          <w:p w:rsidR="00B77A1B" w:rsidRPr="009C3C2F" w:rsidRDefault="00B77A1B" w:rsidP="005D0DEF">
            <w:pPr>
              <w:pStyle w:val="NoSpacing"/>
              <w:jc w:val="center"/>
              <w:rPr>
                <w:rFonts w:ascii="Times New Roman" w:hAnsi="Times New Roman" w:cs="Times New Roman"/>
                <w:color w:val="A6A6A6"/>
                <w:sz w:val="18"/>
                <w:szCs w:val="18"/>
                <w:lang w:val="sr-Cyrl-CS"/>
              </w:rPr>
            </w:pPr>
            <w:r w:rsidRPr="009C3C2F">
              <w:rPr>
                <w:rFonts w:ascii="Times New Roman" w:hAnsi="Times New Roman" w:cs="Times New Roman"/>
                <w:color w:val="A6A6A6"/>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tcPr>
          <w:p w:rsidR="00B77A1B" w:rsidRPr="009C3C2F" w:rsidRDefault="00B77A1B" w:rsidP="008A7382">
            <w:pPr>
              <w:pStyle w:val="NoSpacing"/>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Објашњење у вези имплементације Регулатива 3820/85 и 3821/85.</w:t>
            </w:r>
          </w:p>
        </w:tc>
        <w:tc>
          <w:tcPr>
            <w:tcW w:w="525" w:type="pct"/>
          </w:tcPr>
          <w:p w:rsidR="00B77A1B" w:rsidRPr="009C3C2F" w:rsidRDefault="00B77A1B" w:rsidP="00811CA4">
            <w:pPr>
              <w:pStyle w:val="NoSpacing"/>
              <w:rPr>
                <w:rFonts w:ascii="Times New Roman" w:hAnsi="Times New Roman" w:cs="Times New Roman"/>
                <w:sz w:val="18"/>
                <w:szCs w:val="18"/>
                <w:lang w:val="sr-Cyrl-CS"/>
              </w:rPr>
            </w:pPr>
          </w:p>
        </w:tc>
      </w:tr>
      <w:tr w:rsidR="00B77A1B" w:rsidRPr="009C3C2F" w:rsidTr="008860ED">
        <w:trPr>
          <w:jc w:val="center"/>
        </w:trPr>
        <w:tc>
          <w:tcPr>
            <w:tcW w:w="308" w:type="pct"/>
            <w:shd w:val="clear" w:color="auto" w:fill="D9D9D9"/>
            <w:vAlign w:val="center"/>
          </w:tcPr>
          <w:p w:rsidR="00B77A1B" w:rsidRPr="009C3C2F" w:rsidRDefault="00B77A1B" w:rsidP="000044DA">
            <w:pPr>
              <w:autoSpaceDE w:val="0"/>
              <w:autoSpaceDN w:val="0"/>
              <w:adjustRightInd w:val="0"/>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2.1.</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Checking systems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organise a system of appropriate and regular checks on correct and consistent implementation, as referred to in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Article 1, both at the roadside and at premises of undertakings of all transport categories.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These checks shall cover each year a large and representative crosssection of mobile workers, drivers, undertakings and vehicles of all transport categories falling within the scope of Regulations (EEC)</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No 3820/85 and (EEC) No 3821/85.</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ensure that a coherent national enforcement strategy is applied on their territory. For this purpose, Member States may designate a body for the coordination of actions taken under Articles 4 and 6, in which case the Commission and the other</w:t>
            </w:r>
          </w:p>
          <w:p w:rsidR="00B77A1B" w:rsidRPr="009C3C2F" w:rsidRDefault="00B77A1B" w:rsidP="000044DA">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be informed thereof.</w:t>
            </w:r>
          </w:p>
        </w:tc>
        <w:tc>
          <w:tcPr>
            <w:tcW w:w="311" w:type="pct"/>
          </w:tcPr>
          <w:p w:rsidR="00B77A1B" w:rsidRPr="009C3C2F" w:rsidRDefault="00B77A1B" w:rsidP="008860ED">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w:t>
            </w:r>
          </w:p>
          <w:p w:rsidR="00B77A1B" w:rsidRPr="009C3C2F" w:rsidRDefault="00B77A1B" w:rsidP="008860ED">
            <w:pPr>
              <w:spacing w:before="120" w:after="120"/>
              <w:ind w:firstLine="5"/>
              <w:jc w:val="center"/>
              <w:rPr>
                <w:rFonts w:ascii="Times New Roman" w:hAnsi="Times New Roman" w:cs="Times New Roman"/>
                <w:sz w:val="18"/>
                <w:szCs w:val="18"/>
                <w:lang w:val="sr-Cyrl-CS"/>
              </w:rPr>
            </w:pPr>
          </w:p>
          <w:p w:rsidR="00B77A1B" w:rsidRPr="009C3C2F" w:rsidRDefault="00B77A1B" w:rsidP="008860ED">
            <w:pPr>
              <w:spacing w:before="120" w:after="120"/>
              <w:ind w:firstLine="5"/>
              <w:jc w:val="center"/>
              <w:rPr>
                <w:rFonts w:ascii="Times New Roman" w:hAnsi="Times New Roman" w:cs="Times New Roman"/>
                <w:sz w:val="18"/>
                <w:szCs w:val="18"/>
                <w:lang w:val="sr-Cyrl-CS"/>
              </w:rPr>
            </w:pPr>
          </w:p>
          <w:p w:rsidR="00B77A1B" w:rsidRPr="009C3C2F" w:rsidRDefault="00B77A1B" w:rsidP="008860ED">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43.5.</w:t>
            </w:r>
          </w:p>
          <w:p w:rsidR="00B77A1B" w:rsidRPr="009C3C2F" w:rsidRDefault="00B77A1B" w:rsidP="008860ED">
            <w:pPr>
              <w:spacing w:before="120" w:after="120"/>
              <w:ind w:firstLine="5"/>
              <w:jc w:val="center"/>
              <w:rPr>
                <w:rFonts w:ascii="Times New Roman" w:hAnsi="Times New Roman" w:cs="Times New Roman"/>
                <w:sz w:val="18"/>
                <w:szCs w:val="18"/>
                <w:lang w:val="sr-Cyrl-CS"/>
              </w:rPr>
            </w:pPr>
          </w:p>
          <w:p w:rsidR="00B77A1B" w:rsidRPr="009C3C2F" w:rsidRDefault="00B77A1B" w:rsidP="008860ED">
            <w:pPr>
              <w:spacing w:before="120" w:after="120"/>
              <w:ind w:firstLine="5"/>
              <w:jc w:val="center"/>
              <w:rPr>
                <w:rFonts w:ascii="Times New Roman" w:hAnsi="Times New Roman" w:cs="Times New Roman"/>
                <w:sz w:val="18"/>
                <w:szCs w:val="18"/>
                <w:lang w:val="sr-Cyrl-CS"/>
              </w:rPr>
            </w:pPr>
          </w:p>
          <w:p w:rsidR="00B77A1B" w:rsidRPr="009C3C2F" w:rsidRDefault="00B77A1B" w:rsidP="008860ED">
            <w:pPr>
              <w:spacing w:before="120" w:after="120"/>
              <w:ind w:firstLine="5"/>
              <w:jc w:val="center"/>
              <w:rPr>
                <w:rFonts w:ascii="Times New Roman" w:hAnsi="Times New Roman" w:cs="Times New Roman"/>
                <w:sz w:val="18"/>
                <w:szCs w:val="18"/>
                <w:lang w:val="sr-Cyrl-CS"/>
              </w:rPr>
            </w:pPr>
          </w:p>
          <w:p w:rsidR="00B77A1B" w:rsidRPr="009C3C2F" w:rsidRDefault="00B77A1B" w:rsidP="008860ED">
            <w:pPr>
              <w:spacing w:before="120" w:after="120"/>
              <w:ind w:firstLine="5"/>
              <w:jc w:val="center"/>
              <w:rPr>
                <w:rFonts w:ascii="Times New Roman" w:hAnsi="Times New Roman" w:cs="Times New Roman"/>
                <w:sz w:val="18"/>
                <w:szCs w:val="18"/>
                <w:lang w:val="sr-Cyrl-CS"/>
              </w:rPr>
            </w:pPr>
          </w:p>
        </w:tc>
        <w:tc>
          <w:tcPr>
            <w:tcW w:w="1376" w:type="pct"/>
          </w:tcPr>
          <w:p w:rsidR="00B77A1B" w:rsidRPr="009C3C2F" w:rsidRDefault="00B77A1B" w:rsidP="003653FE">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Овим законом уређују се: службене евиденције и надзор над спровођењем овог закона у циљу повећања безбедности саобраћаја на путевима, </w:t>
            </w:r>
          </w:p>
          <w:p w:rsidR="00B77A1B" w:rsidRPr="009C3C2F" w:rsidRDefault="00B77A1B" w:rsidP="008860ED">
            <w:pPr>
              <w:pStyle w:val="Stav"/>
              <w:numPr>
                <w:ilvl w:val="0"/>
                <w:numId w:val="0"/>
              </w:numPr>
              <w:ind w:left="360" w:firstLine="354"/>
              <w:rPr>
                <w:rFonts w:ascii="Times New Roman" w:hAnsi="Times New Roman" w:cs="Times New Roman"/>
                <w:sz w:val="18"/>
                <w:szCs w:val="18"/>
                <w:lang w:val="sr-Cyrl-CS"/>
              </w:rPr>
            </w:pPr>
          </w:p>
          <w:p w:rsidR="00B77A1B" w:rsidRPr="009C3C2F" w:rsidRDefault="00B77A1B" w:rsidP="008860ED">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Послове координације надзора обавља Министарство надлежно за послове саобраћаја.</w:t>
            </w:r>
          </w:p>
          <w:p w:rsidR="00B77A1B" w:rsidRPr="009C3C2F" w:rsidRDefault="00B77A1B" w:rsidP="00811CA4">
            <w:pPr>
              <w:spacing w:before="120" w:after="120"/>
              <w:rPr>
                <w:rFonts w:ascii="Times New Roman" w:hAnsi="Times New Roman" w:cs="Times New Roman"/>
                <w:sz w:val="18"/>
                <w:szCs w:val="18"/>
                <w:lang w:val="sr-Cyrl-CS"/>
              </w:rPr>
            </w:pP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4E0AB1">
        <w:trPr>
          <w:jc w:val="center"/>
        </w:trPr>
        <w:tc>
          <w:tcPr>
            <w:tcW w:w="308" w:type="pct"/>
            <w:shd w:val="clear" w:color="auto" w:fill="D9D9D9"/>
            <w:vAlign w:val="center"/>
          </w:tcPr>
          <w:p w:rsidR="00B77A1B" w:rsidRPr="009C3C2F" w:rsidRDefault="00B77A1B" w:rsidP="000044DA">
            <w:pPr>
              <w:autoSpaceDE w:val="0"/>
              <w:autoSpaceDN w:val="0"/>
              <w:adjustRightInd w:val="0"/>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2.2.</w:t>
            </w: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In so far as this is not already the case, Member States shall, not later than 1 May 2007, provide authorised inspecting officers with appropriate legal powers to enable them correctly to discharge their inspection obligations as required by this Directive.</w:t>
            </w:r>
          </w:p>
        </w:tc>
        <w:tc>
          <w:tcPr>
            <w:tcW w:w="311" w:type="pct"/>
          </w:tcPr>
          <w:p w:rsidR="00B77A1B" w:rsidRPr="009C3C2F" w:rsidRDefault="00B77A1B" w:rsidP="004E0AB1">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43.2.</w:t>
            </w:r>
          </w:p>
          <w:p w:rsidR="00B77A1B" w:rsidRPr="009C3C2F" w:rsidRDefault="00B77A1B" w:rsidP="004E0AB1">
            <w:pPr>
              <w:spacing w:before="120" w:after="120"/>
              <w:ind w:firstLine="5"/>
              <w:jc w:val="center"/>
              <w:rPr>
                <w:rFonts w:ascii="Times New Roman" w:hAnsi="Times New Roman" w:cs="Times New Roman"/>
                <w:sz w:val="18"/>
                <w:szCs w:val="18"/>
                <w:lang w:val="sr-Cyrl-CS"/>
              </w:rPr>
            </w:pPr>
          </w:p>
          <w:p w:rsidR="00B77A1B" w:rsidRPr="009C3C2F" w:rsidRDefault="00B77A1B" w:rsidP="004E0AB1">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43.3.</w:t>
            </w:r>
          </w:p>
          <w:p w:rsidR="00B77A1B" w:rsidRPr="009C3C2F" w:rsidRDefault="00B77A1B" w:rsidP="004E0AB1">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43.4.</w:t>
            </w:r>
          </w:p>
        </w:tc>
        <w:tc>
          <w:tcPr>
            <w:tcW w:w="1376" w:type="pct"/>
            <w:vAlign w:val="center"/>
          </w:tcPr>
          <w:p w:rsidR="00B77A1B" w:rsidRPr="009C3C2F" w:rsidRDefault="00B77A1B" w:rsidP="00704364">
            <w:pPr>
              <w:pStyle w:val="Stav"/>
              <w:numPr>
                <w:ilvl w:val="0"/>
                <w:numId w:val="0"/>
              </w:numPr>
              <w:jc w:val="left"/>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 путу врше Министарство надлежно за послове саобраћаја и Министарство унутрашњих послова.</w:t>
            </w:r>
          </w:p>
          <w:p w:rsidR="00B77A1B" w:rsidRPr="009C3C2F" w:rsidRDefault="00B77A1B" w:rsidP="00704364">
            <w:pPr>
              <w:pStyle w:val="Stav"/>
              <w:numPr>
                <w:ilvl w:val="0"/>
                <w:numId w:val="0"/>
              </w:numPr>
              <w:jc w:val="left"/>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у просторијама превозника врше Министарство надлежно за послове саобраћаја и Министарство унутрашњих послова.</w:t>
            </w:r>
          </w:p>
          <w:p w:rsidR="00B77A1B" w:rsidRPr="009C3C2F" w:rsidRDefault="00B77A1B" w:rsidP="00065D64">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над радом радионице за тахографе врши Министарство надлежно за послове саобраћаја, а стручни надзор над радом радионице за тахографе врши Агенција.</w:t>
            </w:r>
          </w:p>
          <w:p w:rsidR="00B77A1B" w:rsidRPr="009C3C2F" w:rsidRDefault="00B77A1B" w:rsidP="00704364">
            <w:pPr>
              <w:pStyle w:val="Stav"/>
              <w:numPr>
                <w:ilvl w:val="0"/>
                <w:numId w:val="0"/>
              </w:numPr>
              <w:jc w:val="left"/>
              <w:rPr>
                <w:rFonts w:ascii="Times New Roman" w:hAnsi="Times New Roman" w:cs="Times New Roman"/>
                <w:sz w:val="18"/>
                <w:szCs w:val="18"/>
                <w:lang w:val="sr-Cyrl-CS"/>
              </w:rPr>
            </w:pP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70436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autoSpaceDE w:val="0"/>
              <w:autoSpaceDN w:val="0"/>
              <w:adjustRightInd w:val="0"/>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2.3.</w:t>
            </w:r>
          </w:p>
        </w:tc>
        <w:tc>
          <w:tcPr>
            <w:tcW w:w="1380" w:type="pct"/>
            <w:shd w:val="clear" w:color="auto" w:fill="D9D9D9"/>
          </w:tcPr>
          <w:p w:rsidR="00B77A1B" w:rsidRPr="009C3C2F" w:rsidRDefault="00B77A1B" w:rsidP="000044DA">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Each Member State shall organise checks in such a way that, as from 1 May 2006, 1 % of days worked by drivers of vehicles falling within the scope of Regulations (EEC) No 3820/85 and (EEC)</w:t>
            </w:r>
          </w:p>
          <w:p w:rsidR="00B77A1B" w:rsidRPr="009C3C2F" w:rsidRDefault="00B77A1B" w:rsidP="000044DA">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No 3821/85 are checked. This percentage will increase to at least 2 % from 1 January 2008 and to at least 3 % from 1 January 2010. From 1 January 2012 this minimum percentage may be increased to 4 % by the Commission, in accordance with the procedure referred to in Article 12(2), provided that the statistics collected pursuant to  Article 3 show that, on average, more than 90 % of all vehicles checked are equipped with a digital tachograph. In making its decision, the</w:t>
            </w:r>
          </w:p>
          <w:p w:rsidR="00B77A1B" w:rsidRPr="009C3C2F" w:rsidRDefault="00B77A1B" w:rsidP="000044DA">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Commission shall also take into account the effectiveness of existing enforcement measures, in particular the availability of digital tachograph</w:t>
            </w:r>
          </w:p>
          <w:p w:rsidR="00B77A1B" w:rsidRPr="009C3C2F" w:rsidRDefault="00B77A1B" w:rsidP="000044DA">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data at the premises of undertakings.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Not less than 15 % of the total number of the working days checked shall be checked at the roadside and not less than 30 % at the premises of undertakings. From 1 January 2008 not less than 30 % of the total number of the working days checked shall be checked at the roadside and not less than 50 % shall be checked at the premises of undertakings.</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44.1.</w:t>
            </w:r>
          </w:p>
          <w:p w:rsidR="00B77A1B" w:rsidRPr="009C3C2F" w:rsidRDefault="00B77A1B" w:rsidP="000044DA">
            <w:pPr>
              <w:spacing w:before="120" w:after="120"/>
              <w:ind w:firstLine="5"/>
              <w:jc w:val="center"/>
              <w:rPr>
                <w:rFonts w:ascii="Times New Roman" w:hAnsi="Times New Roman" w:cs="Times New Roman"/>
                <w:sz w:val="18"/>
                <w:szCs w:val="18"/>
                <w:lang w:val="sr-Cyrl-CS"/>
              </w:rPr>
            </w:pPr>
          </w:p>
          <w:p w:rsidR="00B77A1B" w:rsidRPr="009C3C2F" w:rsidRDefault="00B77A1B" w:rsidP="000044DA">
            <w:pPr>
              <w:spacing w:before="120" w:after="120"/>
              <w:ind w:firstLine="5"/>
              <w:jc w:val="center"/>
              <w:rPr>
                <w:rFonts w:ascii="Times New Roman" w:hAnsi="Times New Roman" w:cs="Times New Roman"/>
                <w:sz w:val="18"/>
                <w:szCs w:val="18"/>
                <w:lang w:val="sr-Cyrl-CS"/>
              </w:rPr>
            </w:pPr>
          </w:p>
          <w:p w:rsidR="00B77A1B" w:rsidRPr="009C3C2F" w:rsidRDefault="00B77A1B" w:rsidP="000044DA">
            <w:pPr>
              <w:spacing w:before="120" w:after="120"/>
              <w:ind w:firstLine="5"/>
              <w:jc w:val="center"/>
              <w:rPr>
                <w:rFonts w:ascii="Times New Roman" w:hAnsi="Times New Roman" w:cs="Times New Roman"/>
                <w:sz w:val="18"/>
                <w:szCs w:val="18"/>
                <w:lang w:val="sr-Cyrl-CS"/>
              </w:rPr>
            </w:pPr>
          </w:p>
          <w:p w:rsidR="00B77A1B" w:rsidRPr="009C3C2F" w:rsidRDefault="00B77A1B" w:rsidP="000044DA">
            <w:pPr>
              <w:spacing w:before="120" w:after="120"/>
              <w:ind w:firstLine="5"/>
              <w:jc w:val="center"/>
              <w:rPr>
                <w:rFonts w:ascii="Times New Roman" w:hAnsi="Times New Roman" w:cs="Times New Roman"/>
                <w:sz w:val="18"/>
                <w:szCs w:val="18"/>
                <w:lang w:val="sr-Cyrl-CS"/>
              </w:rPr>
            </w:pPr>
          </w:p>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44.2.</w:t>
            </w:r>
          </w:p>
        </w:tc>
        <w:tc>
          <w:tcPr>
            <w:tcW w:w="1376" w:type="pct"/>
          </w:tcPr>
          <w:p w:rsidR="00B77A1B" w:rsidRPr="009C3C2F" w:rsidRDefault="00B77A1B" w:rsidP="000044DA">
            <w:pPr>
              <w:pStyle w:val="Stav"/>
              <w:numPr>
                <w:ilvl w:val="0"/>
                <w:numId w:val="0"/>
              </w:numPr>
              <w:rPr>
                <w:rFonts w:ascii="Times New Roman" w:hAnsi="Times New Roman" w:cs="Times New Roman"/>
                <w:sz w:val="18"/>
                <w:szCs w:val="18"/>
                <w:lang w:val="sr-Cyrl-CS"/>
              </w:rPr>
            </w:pPr>
          </w:p>
          <w:p w:rsidR="00B77A1B" w:rsidRPr="009C3C2F" w:rsidRDefault="00B77A1B" w:rsidP="000044DA">
            <w:pPr>
              <w:pStyle w:val="Stav"/>
              <w:numPr>
                <w:ilvl w:val="0"/>
                <w:numId w:val="0"/>
              </w:numPr>
              <w:rPr>
                <w:rFonts w:ascii="Times New Roman" w:hAnsi="Times New Roman" w:cs="Times New Roman"/>
                <w:sz w:val="18"/>
                <w:szCs w:val="18"/>
                <w:lang w:val="sr-Cyrl-CS"/>
              </w:rPr>
            </w:pPr>
          </w:p>
          <w:p w:rsidR="00B77A1B" w:rsidRPr="009C3C2F" w:rsidRDefault="00B77A1B" w:rsidP="000044DA">
            <w:pPr>
              <w:pStyle w:val="Stav"/>
              <w:numPr>
                <w:ilvl w:val="0"/>
                <w:numId w:val="0"/>
              </w:numPr>
              <w:rPr>
                <w:rFonts w:ascii="Times New Roman" w:hAnsi="Times New Roman" w:cs="Times New Roman"/>
                <w:sz w:val="18"/>
                <w:szCs w:val="18"/>
                <w:lang w:val="sr-Cyrl-CS"/>
              </w:rPr>
            </w:pPr>
          </w:p>
          <w:p w:rsidR="00B77A1B" w:rsidRPr="009C3C2F" w:rsidRDefault="00B77A1B" w:rsidP="000044DA">
            <w:pPr>
              <w:pStyle w:val="Stav"/>
              <w:numPr>
                <w:ilvl w:val="0"/>
                <w:numId w:val="0"/>
              </w:numPr>
              <w:rPr>
                <w:rFonts w:ascii="Times New Roman" w:hAnsi="Times New Roman" w:cs="Times New Roman"/>
                <w:sz w:val="18"/>
                <w:szCs w:val="18"/>
                <w:lang w:val="sr-Cyrl-CS"/>
              </w:rPr>
            </w:pPr>
          </w:p>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над радом посаде возила и превозника се врши на путу и у просторијама превозника и обухвата најмање 3% од укупног броја дана рада возача на које се овај закон односи у превозу путника и терета, од чега се најмање 30% контролише на путу, а најмање 50% у просторијама превозника.</w:t>
            </w:r>
          </w:p>
          <w:p w:rsidR="00B77A1B" w:rsidRPr="009C3C2F" w:rsidRDefault="00B77A1B" w:rsidP="000044DA">
            <w:pPr>
              <w:pStyle w:val="Stav"/>
              <w:numPr>
                <w:ilvl w:val="0"/>
                <w:numId w:val="0"/>
              </w:numPr>
              <w:rPr>
                <w:rFonts w:ascii="Times New Roman" w:hAnsi="Times New Roman" w:cs="Times New Roman"/>
                <w:sz w:val="18"/>
                <w:szCs w:val="18"/>
                <w:lang w:val="sr-Cyrl-CS"/>
              </w:rPr>
            </w:pPr>
          </w:p>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О спроведеном надзору доставља се годишњи извештај Агенцији, најкасније до 15. марта текуће године за претходну годину, која припрема извештај о спроведеним надзорима и доставља га Министарству надлежном за послове саобраћаја. </w:t>
            </w:r>
          </w:p>
          <w:p w:rsidR="00B77A1B" w:rsidRPr="009C3C2F" w:rsidRDefault="00B77A1B" w:rsidP="00811CA4">
            <w:pPr>
              <w:spacing w:before="120" w:after="120"/>
              <w:rPr>
                <w:rFonts w:ascii="Times New Roman" w:hAnsi="Times New Roman" w:cs="Times New Roman"/>
                <w:sz w:val="18"/>
                <w:szCs w:val="18"/>
                <w:lang w:val="sr-Cyrl-CS"/>
              </w:rPr>
            </w:pP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3F42D6">
        <w:trPr>
          <w:jc w:val="center"/>
        </w:trPr>
        <w:tc>
          <w:tcPr>
            <w:tcW w:w="308" w:type="pct"/>
            <w:shd w:val="clear" w:color="auto" w:fill="D9D9D9"/>
            <w:vAlign w:val="center"/>
          </w:tcPr>
          <w:p w:rsidR="00B77A1B" w:rsidRPr="009C3C2F" w:rsidRDefault="00B77A1B" w:rsidP="000044DA">
            <w:pPr>
              <w:autoSpaceDE w:val="0"/>
              <w:autoSpaceDN w:val="0"/>
              <w:adjustRightInd w:val="0"/>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2.4.</w:t>
            </w: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sz w:val="18"/>
                <w:szCs w:val="18"/>
                <w:lang w:val="sr-Cyrl-CS"/>
              </w:rPr>
              <w:t>The information submitted to the Commission in accordance with Article 16(2) of Regulation (EEC) No 3820/85 shall include the number of drivers checked at the roadside, the number of checks at the premises of undertakings, the number of working days checked and the number and type of infringements reported, together with a record of whether passengers or goods were transported.</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3F42D6">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990E29">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3.</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Statistics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ensure that statistics collected from the checks organised in accordance with Article 2(1) and (3) are broken down into the following categories:</w:t>
            </w:r>
          </w:p>
          <w:p w:rsidR="00B77A1B" w:rsidRPr="009C3C2F" w:rsidRDefault="00B77A1B" w:rsidP="00811CA4">
            <w:pPr>
              <w:autoSpaceDE w:val="0"/>
              <w:autoSpaceDN w:val="0"/>
              <w:adjustRightInd w:val="0"/>
              <w:rPr>
                <w:rFonts w:ascii="Times New Roman" w:hAnsi="Times New Roman" w:cs="Times New Roman"/>
                <w:sz w:val="18"/>
                <w:szCs w:val="18"/>
                <w:lang w:val="sr-Cyrl-CS"/>
              </w:rPr>
            </w:pP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 for roadside checks: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 type of road, namely whether it is a motorway, a national or a secondary road, and country of registration of the vehicle inspected, in order to avoid discrimination;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(ii) type of tachograph: analogue or digital;</w:t>
            </w:r>
          </w:p>
          <w:p w:rsidR="00B77A1B" w:rsidRPr="009C3C2F" w:rsidRDefault="00B77A1B" w:rsidP="00811CA4">
            <w:pPr>
              <w:autoSpaceDE w:val="0"/>
              <w:autoSpaceDN w:val="0"/>
              <w:adjustRightInd w:val="0"/>
              <w:rPr>
                <w:rFonts w:ascii="Times New Roman" w:hAnsi="Times New Roman" w:cs="Times New Roman"/>
                <w:sz w:val="18"/>
                <w:szCs w:val="18"/>
                <w:lang w:val="sr-Cyrl-CS"/>
              </w:rPr>
            </w:pP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(b) for checks at the premises: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 type of transport activity, namely whether the activity is international or domestic, passenger or freight, own account or for hire or reward;</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(ii) size of company fleet;</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(iii) type of tachograph: analogue or digital.</w:t>
            </w:r>
          </w:p>
          <w:p w:rsidR="00B77A1B" w:rsidRPr="009C3C2F" w:rsidRDefault="00B77A1B" w:rsidP="006509E0">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45.</w:t>
            </w:r>
          </w:p>
        </w:tc>
        <w:tc>
          <w:tcPr>
            <w:tcW w:w="1376" w:type="pct"/>
          </w:tcPr>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Извештај из члана 44. садржи податке о броју контролисаних возача на путу, броју извршених надзора у просторијама превозника, броју контролисаних радних дана, као и броју и врсти откривених прекршаја, разврстано у зависности од тога да ли се ради о превозу путника или терета.</w:t>
            </w:r>
          </w:p>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Подаци у извештају разврставају се: </w:t>
            </w:r>
          </w:p>
          <w:p w:rsidR="00B77A1B" w:rsidRPr="009C3C2F" w:rsidRDefault="00B77A1B" w:rsidP="000044DA">
            <w:pPr>
              <w:pStyle w:val="Tacka"/>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1) за надзор на путу по:</w:t>
            </w:r>
          </w:p>
          <w:p w:rsidR="00B77A1B" w:rsidRPr="009C3C2F" w:rsidRDefault="00B77A1B" w:rsidP="00A409C1">
            <w:pPr>
              <w:pStyle w:val="Podtacka"/>
              <w:numPr>
                <w:ilvl w:val="0"/>
                <w:numId w:val="0"/>
              </w:numPr>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(1) категорији пута, односно да ли се ради о аутопуту, осталим путевима првог реда или путу другог реда, локалним путевима и улицама;</w:t>
            </w:r>
          </w:p>
          <w:p w:rsidR="00B77A1B" w:rsidRPr="009C3C2F" w:rsidRDefault="00B77A1B" w:rsidP="00A409C1">
            <w:pPr>
              <w:pStyle w:val="Podtacka"/>
              <w:numPr>
                <w:ilvl w:val="0"/>
                <w:numId w:val="0"/>
              </w:numPr>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(2) држави у којој је регистровано возило;</w:t>
            </w:r>
          </w:p>
          <w:p w:rsidR="00B77A1B" w:rsidRPr="009C3C2F" w:rsidRDefault="00B77A1B" w:rsidP="00A409C1">
            <w:pPr>
              <w:pStyle w:val="Podtacka"/>
              <w:numPr>
                <w:ilvl w:val="0"/>
                <w:numId w:val="0"/>
              </w:numPr>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(3) врсти тахографа: аналогни или дигитални;</w:t>
            </w:r>
          </w:p>
          <w:p w:rsidR="00B77A1B" w:rsidRPr="009C3C2F" w:rsidRDefault="00B77A1B" w:rsidP="000044DA">
            <w:pPr>
              <w:pStyle w:val="Tacka"/>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2)  за надзор у просторијама превозника по:</w:t>
            </w:r>
          </w:p>
          <w:p w:rsidR="00B77A1B" w:rsidRPr="009C3C2F" w:rsidRDefault="00B77A1B" w:rsidP="00A409C1">
            <w:pPr>
              <w:pStyle w:val="Podtacka"/>
              <w:numPr>
                <w:ilvl w:val="0"/>
                <w:numId w:val="0"/>
              </w:numPr>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(1) врсти превоза, односно да ли се ради о међународном или превозу који се обавља у целини на територији Републике Србије, превозу путника или терета, превозу за сопствене потребе или јавном превозу;</w:t>
            </w:r>
          </w:p>
          <w:p w:rsidR="00B77A1B" w:rsidRPr="009C3C2F" w:rsidRDefault="00B77A1B" w:rsidP="00A409C1">
            <w:pPr>
              <w:pStyle w:val="Podtacka"/>
              <w:numPr>
                <w:ilvl w:val="0"/>
                <w:numId w:val="0"/>
              </w:numPr>
              <w:ind w:left="367" w:hanging="36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(2) величини возног парка превозника;</w:t>
            </w:r>
          </w:p>
          <w:p w:rsidR="00B77A1B" w:rsidRPr="009C3C2F" w:rsidRDefault="00B77A1B" w:rsidP="00A409C1">
            <w:pPr>
              <w:pStyle w:val="Podtacka"/>
              <w:numPr>
                <w:ilvl w:val="0"/>
                <w:numId w:val="0"/>
              </w:numPr>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(3) врсти тахографа: аналогни или дигитални.</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3C5B0E">
        <w:trPr>
          <w:trHeight w:val="992"/>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3.</w:t>
            </w:r>
          </w:p>
        </w:tc>
        <w:tc>
          <w:tcPr>
            <w:tcW w:w="1380" w:type="pct"/>
            <w:shd w:val="clear" w:color="auto" w:fill="D9D9D9"/>
          </w:tcPr>
          <w:p w:rsidR="00B77A1B" w:rsidRPr="009C3C2F" w:rsidRDefault="00B77A1B" w:rsidP="00A409C1">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These statistics shall be submitted biennially to the Commission and shall be published in a report.</w:t>
            </w:r>
          </w:p>
          <w:p w:rsidR="00B77A1B" w:rsidRPr="009C3C2F" w:rsidRDefault="00B77A1B" w:rsidP="00A409C1">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sz w:val="18"/>
                <w:szCs w:val="18"/>
                <w:lang w:val="sr-Cyrl-CS"/>
              </w:rPr>
              <w:t>The competent authorities in the Member States shall keep a record of the data collected for the previous year.</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tcPr>
          <w:p w:rsidR="00B77A1B" w:rsidRPr="009C3C2F" w:rsidRDefault="00B77A1B" w:rsidP="000044DA">
            <w:pPr>
              <w:pStyle w:val="Stav"/>
              <w:numPr>
                <w:ilvl w:val="0"/>
                <w:numId w:val="0"/>
              </w:numPr>
              <w:rPr>
                <w:rFonts w:ascii="Times New Roman" w:hAnsi="Times New Roman" w:cs="Times New Roman"/>
                <w:sz w:val="18"/>
                <w:szCs w:val="18"/>
                <w:lang w:val="sr-Cyrl-CS"/>
              </w:rPr>
            </w:pP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A409C1">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EA14D7">
        <w:trPr>
          <w:trHeight w:val="227"/>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3.</w:t>
            </w:r>
          </w:p>
        </w:tc>
        <w:tc>
          <w:tcPr>
            <w:tcW w:w="1380" w:type="pct"/>
            <w:shd w:val="clear" w:color="auto" w:fill="D9D9D9"/>
          </w:tcPr>
          <w:p w:rsidR="00B77A1B" w:rsidRPr="009C3C2F" w:rsidRDefault="00B77A1B" w:rsidP="00A409C1">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Undertakings responsible for drivers shall keep, for a period of one year, the documents, records of results and other relevant data passed to them by the enforcement authorities concerning checks carried out on them at their premises and/or on their drivers at the roadside.</w:t>
            </w:r>
          </w:p>
        </w:tc>
        <w:tc>
          <w:tcPr>
            <w:tcW w:w="311" w:type="pct"/>
          </w:tcPr>
          <w:p w:rsidR="00B77A1B" w:rsidRPr="009C3C2F" w:rsidRDefault="00B77A1B" w:rsidP="00EA14D7">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15.3.</w:t>
            </w:r>
          </w:p>
          <w:p w:rsidR="00B77A1B" w:rsidRPr="009C3C2F" w:rsidRDefault="00B77A1B" w:rsidP="00EA14D7">
            <w:pPr>
              <w:spacing w:before="120" w:after="120"/>
              <w:ind w:firstLine="5"/>
              <w:jc w:val="center"/>
              <w:rPr>
                <w:rFonts w:ascii="Times New Roman" w:hAnsi="Times New Roman" w:cs="Times New Roman"/>
                <w:sz w:val="18"/>
                <w:szCs w:val="18"/>
                <w:lang w:val="sr-Cyrl-CS"/>
              </w:rPr>
            </w:pPr>
          </w:p>
          <w:p w:rsidR="00B77A1B" w:rsidRPr="009C3C2F" w:rsidRDefault="00B77A1B" w:rsidP="00EA14D7">
            <w:pPr>
              <w:spacing w:before="120" w:after="120"/>
              <w:ind w:firstLine="5"/>
              <w:jc w:val="center"/>
              <w:rPr>
                <w:rFonts w:ascii="Times New Roman" w:hAnsi="Times New Roman" w:cs="Times New Roman"/>
                <w:sz w:val="18"/>
                <w:szCs w:val="18"/>
                <w:lang w:val="sr-Cyrl-CS"/>
              </w:rPr>
            </w:pPr>
          </w:p>
          <w:p w:rsidR="00B77A1B" w:rsidRPr="009C3C2F" w:rsidRDefault="00B77A1B" w:rsidP="00EA14D7">
            <w:pPr>
              <w:spacing w:before="120" w:after="12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15.7.</w:t>
            </w:r>
          </w:p>
        </w:tc>
        <w:tc>
          <w:tcPr>
            <w:tcW w:w="1376" w:type="pct"/>
          </w:tcPr>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Превозник чува тахографске листиће и исписе по хронолошком реду и у читљивом облику годину дана након датума њиховог коришћења и дужан је да, на захтев надлежног органа, исте пружи на увид.</w:t>
            </w:r>
          </w:p>
          <w:p w:rsidR="00B77A1B" w:rsidRPr="009C3C2F" w:rsidRDefault="00B77A1B" w:rsidP="00065D64">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Превозник је дужан да чува годину дана записнике и друге релевантне податке добијене од надзорних органа у вези са обављеним надзором у просторијама превозника и на путу.</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vAlign w:val="center"/>
          </w:tcPr>
          <w:p w:rsidR="00B77A1B" w:rsidRPr="009C3C2F" w:rsidRDefault="00B77A1B" w:rsidP="00A409C1">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3C5B0E">
        <w:trPr>
          <w:trHeight w:val="794"/>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3.</w:t>
            </w:r>
          </w:p>
        </w:tc>
        <w:tc>
          <w:tcPr>
            <w:tcW w:w="1380" w:type="pct"/>
            <w:shd w:val="clear" w:color="auto" w:fill="D9D9D9"/>
          </w:tcPr>
          <w:p w:rsidR="00B77A1B" w:rsidRPr="009C3C2F" w:rsidRDefault="00B77A1B" w:rsidP="00A409C1">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Any further clarification required of the definitions of the categories mentioned under (a) and (b) shall be established by the Commission, in accordance with the procedure referred to in Article 12(2).</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tcPr>
          <w:p w:rsidR="00B77A1B" w:rsidRPr="009C3C2F" w:rsidRDefault="00B77A1B" w:rsidP="000044DA">
            <w:pPr>
              <w:pStyle w:val="Stav"/>
              <w:numPr>
                <w:ilvl w:val="0"/>
                <w:numId w:val="0"/>
              </w:numPr>
              <w:rPr>
                <w:rFonts w:ascii="Times New Roman" w:hAnsi="Times New Roman" w:cs="Times New Roman"/>
                <w:sz w:val="18"/>
                <w:szCs w:val="18"/>
                <w:lang w:val="sr-Cyrl-CS"/>
              </w:rPr>
            </w:pPr>
          </w:p>
        </w:tc>
        <w:tc>
          <w:tcPr>
            <w:tcW w:w="228" w:type="pct"/>
            <w:vAlign w:val="center"/>
          </w:tcPr>
          <w:p w:rsidR="00B77A1B" w:rsidRPr="009C3C2F" w:rsidRDefault="00B77A1B" w:rsidP="00065D64">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065D64">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4.1.</w:t>
            </w:r>
          </w:p>
        </w:tc>
        <w:tc>
          <w:tcPr>
            <w:tcW w:w="1380" w:type="pct"/>
            <w:shd w:val="clear" w:color="auto" w:fill="D9D9D9"/>
          </w:tcPr>
          <w:p w:rsidR="00B77A1B" w:rsidRPr="009C3C2F" w:rsidRDefault="00B77A1B" w:rsidP="00E61DDC">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Roadside checks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Roadside checks shall be organised in various places and at any time and shall cover a sufficiently extensive part of the road network to make it difficult to avoid checkpoints.</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47.1.</w:t>
            </w:r>
          </w:p>
        </w:tc>
        <w:tc>
          <w:tcPr>
            <w:tcW w:w="1376" w:type="pct"/>
          </w:tcPr>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 путу се организује на различитим локацијама и у различито време тако да се покрије довољан проценат путне мреже како би се спречило избегавање надзора.</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F62AE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4.2.</w:t>
            </w:r>
          </w:p>
        </w:tc>
        <w:tc>
          <w:tcPr>
            <w:tcW w:w="1380" w:type="pct"/>
            <w:shd w:val="clear" w:color="auto" w:fill="D9D9D9"/>
          </w:tcPr>
          <w:p w:rsidR="00B77A1B" w:rsidRPr="009C3C2F" w:rsidRDefault="00B77A1B" w:rsidP="00E61DDC">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ensure that:</w:t>
            </w:r>
          </w:p>
          <w:p w:rsidR="00B77A1B" w:rsidRPr="009C3C2F" w:rsidRDefault="00B77A1B" w:rsidP="00E61DDC">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 sufficient provision is made for checkpoints on or nearby existing and planned roads and, if necessary, that service stations and other safe locations along motorways can function as checkpoints;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(b) checks are carried out following a random rotation system, with an appropriate geographical balance.</w:t>
            </w:r>
          </w:p>
        </w:tc>
        <w:tc>
          <w:tcPr>
            <w:tcW w:w="311" w:type="pct"/>
          </w:tcPr>
          <w:p w:rsidR="00B77A1B" w:rsidRPr="009C3C2F" w:rsidRDefault="00B77A1B" w:rsidP="00F62AE2">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47.1.</w:t>
            </w:r>
          </w:p>
          <w:p w:rsidR="00B77A1B" w:rsidRPr="009C3C2F" w:rsidRDefault="00B77A1B" w:rsidP="00F62AE2">
            <w:pPr>
              <w:spacing w:before="120" w:after="120"/>
              <w:ind w:firstLine="5"/>
              <w:jc w:val="center"/>
              <w:rPr>
                <w:rFonts w:ascii="Times New Roman" w:hAnsi="Times New Roman" w:cs="Times New Roman"/>
                <w:sz w:val="18"/>
                <w:szCs w:val="18"/>
                <w:lang w:val="sr-Cyrl-CS"/>
              </w:rPr>
            </w:pPr>
          </w:p>
          <w:p w:rsidR="00B77A1B" w:rsidRPr="009C3C2F" w:rsidRDefault="00B77A1B" w:rsidP="00F62AE2">
            <w:pPr>
              <w:spacing w:before="120" w:after="120"/>
              <w:ind w:firstLine="5"/>
              <w:jc w:val="center"/>
              <w:rPr>
                <w:rFonts w:ascii="Times New Roman" w:hAnsi="Times New Roman" w:cs="Times New Roman"/>
                <w:sz w:val="18"/>
                <w:szCs w:val="18"/>
                <w:lang w:val="sr-Cyrl-CS"/>
              </w:rPr>
            </w:pPr>
          </w:p>
          <w:p w:rsidR="00B77A1B" w:rsidRPr="009C3C2F" w:rsidRDefault="00B77A1B" w:rsidP="00F62AE2">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44.1.</w:t>
            </w:r>
          </w:p>
        </w:tc>
        <w:tc>
          <w:tcPr>
            <w:tcW w:w="1376" w:type="pct"/>
          </w:tcPr>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 путу се организује на различитим локацијама и у различито време тако да се покрије довољан проценат путне мреже како би се спречило избегавање надзора.</w:t>
            </w:r>
          </w:p>
          <w:p w:rsidR="00B77A1B" w:rsidRPr="009C3C2F" w:rsidRDefault="00B77A1B" w:rsidP="000044D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над радом посаде возила и превозника се врши на путу и у просторијама превозника и обухвата најмање 3% од укупног броја дана рада возача на које се овај закон односи у превозу путника и терета, од чега се најмање 30% контролише на путу, а најмање 50% у просторијама превозника.</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4.3.</w:t>
            </w:r>
          </w:p>
        </w:tc>
        <w:tc>
          <w:tcPr>
            <w:tcW w:w="1380" w:type="pct"/>
            <w:shd w:val="clear" w:color="auto" w:fill="D9D9D9"/>
          </w:tcPr>
          <w:p w:rsidR="00B77A1B" w:rsidRPr="009C3C2F" w:rsidRDefault="00B77A1B" w:rsidP="00E61DDC">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 points to be verified at roadside checks are set out in Part A of Annex I. Checks may focus on a specific point if the situation so requires.</w:t>
            </w:r>
          </w:p>
        </w:tc>
        <w:tc>
          <w:tcPr>
            <w:tcW w:w="311" w:type="pct"/>
            <w:vAlign w:val="center"/>
          </w:tcPr>
          <w:p w:rsidR="00B77A1B" w:rsidRPr="009C3C2F" w:rsidRDefault="00B77A1B" w:rsidP="00F94624">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47.3.</w:t>
            </w:r>
          </w:p>
        </w:tc>
        <w:tc>
          <w:tcPr>
            <w:tcW w:w="1376" w:type="pct"/>
          </w:tcPr>
          <w:p w:rsidR="00B77A1B" w:rsidRPr="009C3C2F" w:rsidRDefault="00B77A1B" w:rsidP="00F94624">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Надзор на путу може да се усмери на поједине тачке из става 2. овог члана. </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ПУ </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4.4.</w:t>
            </w:r>
          </w:p>
        </w:tc>
        <w:tc>
          <w:tcPr>
            <w:tcW w:w="1380" w:type="pct"/>
            <w:shd w:val="clear" w:color="auto" w:fill="D9D9D9"/>
          </w:tcPr>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Without prejudice to Article 9(2), roadside checks shall be carried out without discrimination. </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In particular, enforcement officers shall not</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discriminate on any of the following grounds:</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 country of registration of vehicle;</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(b) country of residence of driver; </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(c) country of establishment of undertaking;</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(d) origin and destination of journey;</w:t>
            </w:r>
          </w:p>
          <w:p w:rsidR="00B77A1B" w:rsidRPr="009C3C2F" w:rsidRDefault="00B77A1B" w:rsidP="00E61DDC">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(e) type of tachograph: analogue or digital.</w:t>
            </w:r>
          </w:p>
        </w:tc>
        <w:tc>
          <w:tcPr>
            <w:tcW w:w="311" w:type="pct"/>
            <w:vAlign w:val="center"/>
          </w:tcPr>
          <w:p w:rsidR="00B77A1B" w:rsidRPr="009C3C2F" w:rsidRDefault="00B77A1B" w:rsidP="00F94624">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47.5.</w:t>
            </w:r>
          </w:p>
        </w:tc>
        <w:tc>
          <w:tcPr>
            <w:tcW w:w="1376" w:type="pct"/>
          </w:tcPr>
          <w:p w:rsidR="00B77A1B" w:rsidRPr="009C3C2F" w:rsidRDefault="00B77A1B" w:rsidP="003B6C0E">
            <w:pPr>
              <w:pStyle w:val="Stav"/>
              <w:numPr>
                <w:ilvl w:val="0"/>
                <w:numId w:val="0"/>
              </w:numPr>
              <w:ind w:left="360" w:hanging="36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Приликом надзора на путу утврђује се: </w:t>
            </w:r>
          </w:p>
          <w:p w:rsidR="00B77A1B" w:rsidRPr="009C3C2F" w:rsidRDefault="00B77A1B" w:rsidP="003B6C0E">
            <w:pPr>
              <w:pStyle w:val="Tacka"/>
              <w:numPr>
                <w:ilvl w:val="1"/>
                <w:numId w:val="5"/>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држава регистрације возила,</w:t>
            </w:r>
          </w:p>
          <w:p w:rsidR="00B77A1B" w:rsidRPr="009C3C2F" w:rsidRDefault="00B77A1B" w:rsidP="003B6C0E">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држава пребивалишта возача,</w:t>
            </w:r>
          </w:p>
          <w:p w:rsidR="00B77A1B" w:rsidRPr="009C3C2F" w:rsidRDefault="00B77A1B" w:rsidP="003B6C0E">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држава седишта превозника,</w:t>
            </w:r>
          </w:p>
          <w:p w:rsidR="00B77A1B" w:rsidRPr="009C3C2F" w:rsidRDefault="00B77A1B" w:rsidP="003B6C0E">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место почетка и краја путовања,</w:t>
            </w:r>
          </w:p>
          <w:p w:rsidR="00B77A1B" w:rsidRPr="009C3C2F" w:rsidRDefault="00B77A1B" w:rsidP="003B6C0E">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врста тахографа </w:t>
            </w:r>
          </w:p>
          <w:p w:rsidR="00B77A1B" w:rsidRPr="009C3C2F" w:rsidRDefault="00B77A1B" w:rsidP="003B6C0E">
            <w:pPr>
              <w:pStyle w:val="Tacka"/>
              <w:numPr>
                <w:ilvl w:val="0"/>
                <w:numId w:val="0"/>
              </w:numPr>
              <w:ind w:left="36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(аналогни или дигитални).</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4.5.</w:t>
            </w:r>
          </w:p>
        </w:tc>
        <w:tc>
          <w:tcPr>
            <w:tcW w:w="1380" w:type="pct"/>
            <w:shd w:val="clear" w:color="auto" w:fill="D9D9D9"/>
          </w:tcPr>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Enforcement officers shall be provided with:</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 a list of the principal points to be checked, as set out in Part A of Annex I;</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(b) standard checking equipment, as set out in </w:t>
            </w:r>
          </w:p>
          <w:p w:rsidR="00B77A1B" w:rsidRPr="009C3C2F" w:rsidRDefault="00B77A1B" w:rsidP="003B6C0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Annex II.</w:t>
            </w:r>
          </w:p>
        </w:tc>
        <w:tc>
          <w:tcPr>
            <w:tcW w:w="311" w:type="pct"/>
            <w:vAlign w:val="center"/>
          </w:tcPr>
          <w:p w:rsidR="00B77A1B" w:rsidRPr="009C3C2F" w:rsidRDefault="00B77A1B" w:rsidP="00F94624">
            <w:pPr>
              <w:spacing w:before="120" w:after="12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47.6.</w:t>
            </w:r>
          </w:p>
          <w:p w:rsidR="00B77A1B" w:rsidRPr="009C3C2F" w:rsidRDefault="00B77A1B" w:rsidP="00F94624">
            <w:pPr>
              <w:spacing w:before="120" w:after="120"/>
              <w:ind w:firstLine="5"/>
              <w:jc w:val="center"/>
              <w:rPr>
                <w:rFonts w:ascii="Times New Roman" w:hAnsi="Times New Roman" w:cs="Times New Roman"/>
                <w:sz w:val="18"/>
                <w:szCs w:val="18"/>
                <w:lang w:val="sr-Cyrl-CS"/>
              </w:rPr>
            </w:pPr>
          </w:p>
        </w:tc>
        <w:tc>
          <w:tcPr>
            <w:tcW w:w="1376" w:type="pct"/>
          </w:tcPr>
          <w:p w:rsidR="00B77A1B" w:rsidRPr="009C3C2F" w:rsidRDefault="00B77A1B" w:rsidP="00F94624">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Надзорни органи се оспособљавају и опремају за вршење надзора на путу и у просторијама превозника. </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Листа опреме за контролу је дата у анексу ове Уредбе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196CC4">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4.6.</w:t>
            </w: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If, in a Member State, the findings of a roadside check on the driver of a vehicle registered in another Member State afford grounds for believing that infringements have been committed which cannot be</w:t>
            </w:r>
          </w:p>
          <w:p w:rsidR="00B77A1B" w:rsidRPr="009C3C2F" w:rsidRDefault="00B77A1B" w:rsidP="006509E0">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established during the check owing to a lack of necessary data, the competent authorities of the Member States concerned shall assist each other in clarifying the situation.</w:t>
            </w:r>
          </w:p>
        </w:tc>
        <w:tc>
          <w:tcPr>
            <w:tcW w:w="311" w:type="pct"/>
            <w:vAlign w:val="center"/>
          </w:tcPr>
          <w:p w:rsidR="00B77A1B" w:rsidRPr="009C3C2F" w:rsidRDefault="00B77A1B" w:rsidP="00196CC4">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47.8.</w:t>
            </w:r>
          </w:p>
        </w:tc>
        <w:tc>
          <w:tcPr>
            <w:tcW w:w="1376" w:type="pct"/>
          </w:tcPr>
          <w:p w:rsidR="00B77A1B" w:rsidRPr="009C3C2F" w:rsidRDefault="00B77A1B" w:rsidP="003B6C0E">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надзорни органи предметних држава се међусобно испомажу у циљу разјашњења ситуације.</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290461">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5.</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Concerted checks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at least six times per year, undertake concerted roadside checks on drivers and vehicles falling within the scope of Regulations (EEC) No 3820/85 and (EEC) No 3821/85. Such checks</w:t>
            </w:r>
          </w:p>
          <w:p w:rsidR="00B77A1B" w:rsidRPr="009C3C2F" w:rsidRDefault="00B77A1B" w:rsidP="006509E0">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shall be undertaken at the same time by the enforcement authorities of two or more Member States, each operating in its own territory. </w:t>
            </w:r>
          </w:p>
        </w:tc>
        <w:tc>
          <w:tcPr>
            <w:tcW w:w="311" w:type="pct"/>
          </w:tcPr>
          <w:p w:rsidR="00B77A1B" w:rsidRPr="009C3C2F" w:rsidRDefault="00B77A1B" w:rsidP="00290461">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47.7.</w:t>
            </w:r>
          </w:p>
          <w:p w:rsidR="00B77A1B" w:rsidRPr="009C3C2F" w:rsidRDefault="00B77A1B" w:rsidP="00290461">
            <w:pPr>
              <w:spacing w:before="120" w:after="120"/>
              <w:ind w:firstLine="5"/>
              <w:jc w:val="center"/>
              <w:rPr>
                <w:rFonts w:ascii="Times New Roman" w:hAnsi="Times New Roman" w:cs="Times New Roman"/>
                <w:sz w:val="18"/>
                <w:szCs w:val="18"/>
                <w:lang w:val="sr-Cyrl-CS"/>
              </w:rPr>
            </w:pPr>
          </w:p>
          <w:p w:rsidR="00B77A1B" w:rsidRPr="009C3C2F" w:rsidRDefault="00B77A1B" w:rsidP="00290461">
            <w:pPr>
              <w:spacing w:before="120" w:after="120"/>
              <w:ind w:firstLine="5"/>
              <w:jc w:val="center"/>
              <w:rPr>
                <w:rFonts w:ascii="Times New Roman" w:hAnsi="Times New Roman" w:cs="Times New Roman"/>
                <w:sz w:val="18"/>
                <w:szCs w:val="18"/>
                <w:lang w:val="sr-Cyrl-CS"/>
              </w:rPr>
            </w:pPr>
          </w:p>
          <w:p w:rsidR="00B77A1B" w:rsidRPr="009C3C2F" w:rsidRDefault="00B77A1B" w:rsidP="00290461">
            <w:pPr>
              <w:spacing w:before="120" w:after="120"/>
              <w:ind w:firstLine="5"/>
              <w:jc w:val="center"/>
              <w:rPr>
                <w:rFonts w:ascii="Times New Roman" w:hAnsi="Times New Roman" w:cs="Times New Roman"/>
                <w:sz w:val="18"/>
                <w:szCs w:val="18"/>
                <w:lang w:val="sr-Cyrl-CS"/>
              </w:rPr>
            </w:pPr>
          </w:p>
          <w:p w:rsidR="00B77A1B" w:rsidRPr="009C3C2F" w:rsidRDefault="00B77A1B" w:rsidP="00290461">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47.8.</w:t>
            </w:r>
          </w:p>
        </w:tc>
        <w:tc>
          <w:tcPr>
            <w:tcW w:w="1376" w:type="pct"/>
          </w:tcPr>
          <w:p w:rsidR="00B77A1B" w:rsidRPr="009C3C2F" w:rsidRDefault="00B77A1B" w:rsidP="00290461">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Надзорни органи, најмање шест пута годишње, учествују у вршењу заједничких надзора на путу возача и возила обухваћених овим законом. Заједнички надзор на путу врше истовремено надзорни органи две или више држава, сваки на територији своје државе.</w:t>
            </w:r>
          </w:p>
          <w:p w:rsidR="00B77A1B" w:rsidRPr="009C3C2F" w:rsidRDefault="00B77A1B" w:rsidP="00290461">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надзорни органи предметних држава се међусобно испомажу у циљу разјашњења ситуације.</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6.</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Checks at the premises of undertakings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Checks at premises shall be planned in the light of past experience in relation to the various types of transport and undertakings. They shall also be carried out if serious infringements of Regulations (EEC) No 3820/85 or (EEC) No 3821/85 have been detected at the roadside.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Checks at premises shall cover the points listed in Part A and Part B of Annex I.</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3. Enforcement officers shall be provided with:</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 a list of the principal points to be checked, as set out in Parts A and B of Annex I;</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(b) standard checking equipment, as set out in Annex II.</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4. Enforcement officers in a Member State shall, in the course of the check take into account any information provided by the designated liaison body of another Member State, as referred to in Article 7(1), concerning the activities of the undertaking in question in that other Member State.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5. For the purposes of paragraphs 1 to 4, checks carried out at the premises of the competent authorities, on the basis of relevant documents or data handed over by undertakings at the request of the</w:t>
            </w:r>
          </w:p>
          <w:p w:rsidR="00B77A1B" w:rsidRPr="009C3C2F" w:rsidRDefault="00B77A1B" w:rsidP="00AE7DA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said authorities, shall have the same status as checks carried out at the premises of undertakings.</w:t>
            </w:r>
          </w:p>
        </w:tc>
        <w:tc>
          <w:tcPr>
            <w:tcW w:w="311"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50.</w:t>
            </w:r>
          </w:p>
        </w:tc>
        <w:tc>
          <w:tcPr>
            <w:tcW w:w="1376" w:type="pct"/>
          </w:tcPr>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у просторијама превозника, поред надзора из члана 47. став 2. овог закона обухвата и надзор:</w:t>
            </w:r>
          </w:p>
          <w:p w:rsidR="00B77A1B" w:rsidRPr="009C3C2F" w:rsidRDefault="00B77A1B" w:rsidP="004C13EA">
            <w:pPr>
              <w:pStyle w:val="Tacka"/>
              <w:numPr>
                <w:ilvl w:val="1"/>
                <w:numId w:val="6"/>
              </w:numPr>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недељних одмора и времена управљања возилом између недељних одмора;</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придржавања ограничења времена управљања возилом током две узастопне недеље;</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радних времена чланова посаде возила;</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тахографских листића, података и штампаних исписа са дигиталног тахографа и са картице возача;</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потврда о активностима возача.</w:t>
            </w:r>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w:t>
            </w:r>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Надзорни органи су дужни да приликом надзора у просторијама превозника узму у обзир све информације добијене од надлежних органа других држава о почињеним прекршајима одредаба овог закона односно AETR споразума који се односе на датог превозника или његове возаче.</w:t>
            </w:r>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који се врши у просторијама надзорних органа на основу тражених докумената, исправа или података које је превозник предао на захтев надзорног органа сматра се надзором у просторијама превозника.</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pStyle w:val="NoSpacing"/>
              <w:rPr>
                <w:rFonts w:ascii="Times New Roman" w:hAnsi="Times New Roman" w:cs="Times New Roman"/>
                <w:sz w:val="18"/>
                <w:szCs w:val="18"/>
                <w:lang w:val="sr-Cyrl-CS"/>
              </w:rPr>
            </w:pPr>
          </w:p>
        </w:tc>
        <w:tc>
          <w:tcPr>
            <w:tcW w:w="525" w:type="pct"/>
          </w:tcPr>
          <w:p w:rsidR="00B77A1B" w:rsidRPr="009C3C2F" w:rsidRDefault="00B77A1B" w:rsidP="00811CA4">
            <w:pPr>
              <w:pStyle w:val="NoSpacing"/>
              <w:rPr>
                <w:rFonts w:ascii="Times New Roman" w:hAnsi="Times New Roman" w:cs="Times New Roman"/>
                <w:sz w:val="18"/>
                <w:szCs w:val="18"/>
                <w:lang w:val="sr-Cyrl-CS"/>
              </w:rPr>
            </w:pPr>
          </w:p>
        </w:tc>
      </w:tr>
      <w:tr w:rsidR="00B77A1B" w:rsidRPr="009C3C2F" w:rsidTr="004D405B">
        <w:trPr>
          <w:trHeight w:val="2912"/>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7.1.</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Intracommunity liaison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designate a body which shall have the following tasks: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(a) to ensure coordination with equivalent bodies in the other Member States concerned as regards actions taken under Article 5; </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(b) to forward the biennial statistical returns to the Commission under Article 16(2) of Regulation (EEC) No 3820/85;</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(c) to be primarily responsible for assisting the competent authorities of other Member States pursuant to Article 4(6).</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 body shall be represented on the Committee referred to in Article 12(1).</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43.</w:t>
            </w:r>
          </w:p>
        </w:tc>
        <w:tc>
          <w:tcPr>
            <w:tcW w:w="1376" w:type="pct"/>
          </w:tcPr>
          <w:p w:rsidR="00B77A1B" w:rsidRPr="009C3C2F" w:rsidRDefault="00B77A1B" w:rsidP="004D405B">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над спровођењем овог закона и прописа донетих на основу овог закона врше Министарство надлежно за послове саобраћаја и Министарство унутрашњих послова, свако у оквиру свог делокруга.</w:t>
            </w:r>
          </w:p>
          <w:p w:rsidR="00B77A1B" w:rsidRPr="009C3C2F" w:rsidRDefault="00B77A1B" w:rsidP="004D405B">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 путу врше Министарство надлежно за послове саобраћаја и Министарство унутрашњих послова.</w:t>
            </w:r>
          </w:p>
          <w:p w:rsidR="00B77A1B" w:rsidRPr="009C3C2F" w:rsidRDefault="00B77A1B" w:rsidP="004D405B">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у просторијама превозника врше Министарство надлежно за послове саобраћаја и Министарство унутрашњих послова.</w:t>
            </w:r>
          </w:p>
          <w:p w:rsidR="00B77A1B" w:rsidRPr="009C3C2F" w:rsidRDefault="00B77A1B" w:rsidP="004D405B">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над радом радионице за тахографе врши Министарство надлежно за послове саобраћаја, а стручни надзор над радом радионице за тхографе врши Агенција.</w:t>
            </w:r>
          </w:p>
          <w:p w:rsidR="00B77A1B" w:rsidRPr="009C3C2F" w:rsidRDefault="00B77A1B" w:rsidP="004D405B">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Послове координације надзора обавља Министарство надлежно за послове саобраћаја.</w:t>
            </w:r>
          </w:p>
          <w:p w:rsidR="00B77A1B" w:rsidRPr="009C3C2F" w:rsidRDefault="00B77A1B" w:rsidP="0028689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над радом Агенције обавља министарство надлежно за послове саобраћаја.</w:t>
            </w:r>
          </w:p>
          <w:p w:rsidR="00B77A1B" w:rsidRPr="009C3C2F" w:rsidRDefault="00B77A1B" w:rsidP="004D405B">
            <w:pPr>
              <w:pStyle w:val="Stav"/>
              <w:numPr>
                <w:ilvl w:val="0"/>
                <w:numId w:val="0"/>
              </w:numPr>
              <w:rPr>
                <w:rFonts w:ascii="Times New Roman" w:hAnsi="Times New Roman" w:cs="Times New Roman"/>
                <w:sz w:val="18"/>
                <w:szCs w:val="18"/>
                <w:lang w:val="sr-Cyrl-CS"/>
              </w:rPr>
            </w:pP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vAlign w:val="center"/>
          </w:tcPr>
          <w:p w:rsidR="00B77A1B" w:rsidRPr="009C3C2F" w:rsidRDefault="00B77A1B" w:rsidP="00A409C1">
            <w:pPr>
              <w:spacing w:before="120" w:after="120"/>
              <w:ind w:firstLine="21"/>
              <w:jc w:val="center"/>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4D405B">
        <w:trPr>
          <w:trHeight w:val="652"/>
          <w:jc w:val="center"/>
        </w:trPr>
        <w:tc>
          <w:tcPr>
            <w:tcW w:w="308" w:type="pct"/>
            <w:shd w:val="clear" w:color="auto" w:fill="D9D9D9"/>
            <w:vAlign w:val="center"/>
          </w:tcPr>
          <w:p w:rsidR="00B77A1B" w:rsidRPr="009C3C2F" w:rsidRDefault="00B77A1B" w:rsidP="000044DA">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7.2.</w:t>
            </w:r>
          </w:p>
        </w:tc>
        <w:tc>
          <w:tcPr>
            <w:tcW w:w="1380" w:type="pct"/>
            <w:shd w:val="clear" w:color="auto" w:fill="D9D9D9"/>
          </w:tcPr>
          <w:p w:rsidR="00B77A1B" w:rsidRPr="009C3C2F" w:rsidRDefault="00B77A1B" w:rsidP="00AE7DAE">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notify the Commission of the designation of this body and the Commission shall advise the other Member States accordingly.</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tcPr>
          <w:p w:rsidR="00B77A1B" w:rsidRPr="009C3C2F" w:rsidRDefault="00B77A1B" w:rsidP="004D405B">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w:t>
            </w:r>
          </w:p>
          <w:p w:rsidR="00B77A1B" w:rsidRPr="009C3C2F" w:rsidRDefault="00B77A1B" w:rsidP="00811CA4">
            <w:pPr>
              <w:spacing w:before="120" w:after="120"/>
              <w:rPr>
                <w:rFonts w:ascii="Times New Roman" w:hAnsi="Times New Roman" w:cs="Times New Roman"/>
                <w:sz w:val="18"/>
                <w:szCs w:val="18"/>
                <w:lang w:val="sr-Cyrl-CS"/>
              </w:rPr>
            </w:pPr>
          </w:p>
        </w:tc>
        <w:tc>
          <w:tcPr>
            <w:tcW w:w="228" w:type="pct"/>
            <w:vAlign w:val="center"/>
          </w:tcPr>
          <w:p w:rsidR="00B77A1B" w:rsidRPr="009C3C2F" w:rsidRDefault="00B77A1B" w:rsidP="00065D64">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D63E6F">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земаља чланица ЕУ према ЕУ Комисији</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A409C1">
        <w:trPr>
          <w:trHeight w:val="1216"/>
          <w:jc w:val="center"/>
        </w:trPr>
        <w:tc>
          <w:tcPr>
            <w:tcW w:w="308" w:type="pct"/>
            <w:shd w:val="clear" w:color="auto" w:fill="D9D9D9"/>
            <w:vAlign w:val="center"/>
          </w:tcPr>
          <w:p w:rsidR="00B77A1B" w:rsidRPr="009C3C2F" w:rsidRDefault="00B77A1B" w:rsidP="000044DA">
            <w:pPr>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7.3.</w:t>
            </w:r>
          </w:p>
        </w:tc>
        <w:tc>
          <w:tcPr>
            <w:tcW w:w="1380" w:type="pct"/>
            <w:shd w:val="clear" w:color="auto" w:fill="D9D9D9"/>
          </w:tcPr>
          <w:p w:rsidR="00B77A1B" w:rsidRPr="009C3C2F" w:rsidRDefault="00B77A1B" w:rsidP="004D405B">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 exchange of data, of experience and of intelligence between Member States shall be actively promoted, primarily but not exclusively</w:t>
            </w:r>
          </w:p>
          <w:p w:rsidR="00B77A1B" w:rsidRPr="009C3C2F" w:rsidRDefault="00B77A1B" w:rsidP="004D405B">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through the Committee referred to in Article 12(1) and any such body as the Commission may designate in accordance with the procedure referred to in Article 12(2).</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44.3.</w:t>
            </w:r>
          </w:p>
        </w:tc>
        <w:tc>
          <w:tcPr>
            <w:tcW w:w="1376" w:type="pct"/>
          </w:tcPr>
          <w:p w:rsidR="00B77A1B" w:rsidRPr="009C3C2F" w:rsidRDefault="00B77A1B" w:rsidP="00305D41">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Министарство надлежно за послове саобраћаја размењује податке прикупљене из надзора с надлежним надзорним органима и органима надлежним за послове саобраћаја других држава.</w:t>
            </w:r>
          </w:p>
          <w:p w:rsidR="00B77A1B" w:rsidRPr="009C3C2F" w:rsidRDefault="00B77A1B" w:rsidP="004D405B">
            <w:pPr>
              <w:pStyle w:val="Stav"/>
              <w:numPr>
                <w:ilvl w:val="0"/>
                <w:numId w:val="0"/>
              </w:numPr>
              <w:rPr>
                <w:rFonts w:ascii="Times New Roman" w:hAnsi="Times New Roman" w:cs="Times New Roman"/>
                <w:sz w:val="18"/>
                <w:szCs w:val="18"/>
                <w:lang w:val="sr-Cyrl-CS"/>
              </w:rPr>
            </w:pP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vAlign w:val="center"/>
          </w:tcPr>
          <w:p w:rsidR="00B77A1B" w:rsidRPr="009C3C2F" w:rsidRDefault="00B77A1B" w:rsidP="00A409C1">
            <w:pPr>
              <w:spacing w:before="120" w:after="120"/>
              <w:ind w:firstLine="21"/>
              <w:jc w:val="center"/>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A409C1">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8.</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Exchange of information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Information made available bilaterally under Article 17(3) of Regulation (EEC) No 3820/85 or Article 19(3) of Regulation (EEC) No 3821/85 shall be exchanged between the designated bodies notified to the Commission in accordance with Article 7(2):</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 at least once every six months after the entry into force of this Directive;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(b) upon specific request by a Member State in individual cases.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Member States shall seek to establish systems for the electronic exchange of information. In accordance with the procedure referred to in Article 12(2), the Commission shall define a common methodology</w:t>
            </w:r>
          </w:p>
          <w:p w:rsidR="00B77A1B" w:rsidRPr="009C3C2F" w:rsidRDefault="00B77A1B" w:rsidP="00811CA4">
            <w:pPr>
              <w:pStyle w:val="NoSpacing"/>
              <w:rPr>
                <w:rFonts w:ascii="Times New Roman" w:hAnsi="Times New Roman" w:cs="Times New Roman"/>
                <w:sz w:val="18"/>
                <w:szCs w:val="18"/>
                <w:lang w:val="sr-Cyrl-CS"/>
              </w:rPr>
            </w:pPr>
            <w:r w:rsidRPr="009C3C2F">
              <w:rPr>
                <w:rFonts w:ascii="Times New Roman" w:hAnsi="Times New Roman" w:cs="Times New Roman"/>
                <w:sz w:val="18"/>
                <w:szCs w:val="18"/>
                <w:lang w:val="sr-Cyrl-CS"/>
              </w:rPr>
              <w:t>for effective information exchange.</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A409C1">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9.</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Risk rating system</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Member States shall introduce a risk rating system for undertakings based on the relative number and severity of any infringements of Regulations (EEC) No 3820/85 or (EEC) No 3821/85 that an individual</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undertaking has committed. The Commission shall support dialogue between Member States to encourage consistency between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these risk rating systems.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Undertakings with a high risk rating shall be checked more closely and more often. The criteria and detailed rules for implementing such a system shall be discussed in the Committee referred to in Article 12, with a view to establishing a system for the exchange of information on best practices.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3. An initial list of infringements of Regulation (EEC) No 3820/85 and (EEC) No 3821/85 is set out in Annex III. With a view to giving guidelines on the weighting of infringements of Regulations (EEC) No 3820/85 and (EEC) No 3821/85, the Commission may, as appropriate, in accordance with the procedure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referred to in Article 12(2), adapt Annex III with a view to establishing guidelines on a common range of infringements, divided into categories according to their gravity. The category for the most serious infringements should include those where failure to comply with the relevant provisions of Regulations (EEC) No 3820/85 and (EEC) No 3821/85 create a serious risk of death or serious personal injury.</w:t>
            </w:r>
          </w:p>
        </w:tc>
        <w:tc>
          <w:tcPr>
            <w:tcW w:w="311"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53.</w:t>
            </w:r>
          </w:p>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tcPr>
          <w:p w:rsidR="00B77A1B" w:rsidRPr="009C3C2F" w:rsidRDefault="00B77A1B" w:rsidP="00256AEE">
            <w:pPr>
              <w:pStyle w:val="NoSpacing"/>
              <w:rPr>
                <w:rFonts w:ascii="Times New Roman" w:hAnsi="Times New Roman" w:cs="Times New Roman"/>
                <w:b/>
                <w:sz w:val="18"/>
                <w:szCs w:val="18"/>
                <w:lang w:val="sr-Cyrl-CS"/>
              </w:rPr>
            </w:pPr>
            <w:bookmarkStart w:id="1" w:name="_Toc331538990"/>
            <w:bookmarkStart w:id="2" w:name="_Toc408585882"/>
            <w:bookmarkStart w:id="3" w:name="_Toc409095043"/>
            <w:r w:rsidRPr="009C3C2F">
              <w:rPr>
                <w:rFonts w:ascii="Times New Roman" w:hAnsi="Times New Roman" w:cs="Times New Roman"/>
                <w:b/>
                <w:sz w:val="18"/>
                <w:szCs w:val="18"/>
                <w:lang w:val="sr-Cyrl-CS"/>
              </w:rPr>
              <w:t>Процена ризика</w:t>
            </w:r>
            <w:bookmarkEnd w:id="1"/>
            <w:bookmarkEnd w:id="2"/>
            <w:bookmarkEnd w:id="3"/>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Министарство надлежно за послове саобраћаја уводи критеријуме за процену ризика за превознике засноване на броју и озбиљности прекршаја овог закона које почини превозник односно његови возачи, као и информацијама о прекршајима добијеним од других држава.</w:t>
            </w:r>
          </w:p>
          <w:p w:rsidR="00B77A1B" w:rsidRPr="009C3C2F" w:rsidRDefault="00B77A1B" w:rsidP="004A69F4">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Систем за процену ризика искључиво садржи име, презиме, ЈМБГ, датум и место рођења члана посаде као податке о личности.</w:t>
            </w:r>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У сврху процене ризика користиће се категоризација прекршаја по озбиљности у складу са овим законом.</w:t>
            </w:r>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Ризик према степену може бити незнатан, низак, средњи, висок и критичан.</w:t>
            </w:r>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је сразмеран процењеном ризику, односно превозници који су високог и критичног степена ризика се контролишу чешће и детаљније.</w:t>
            </w:r>
          </w:p>
          <w:p w:rsidR="00B77A1B" w:rsidRPr="009C3C2F" w:rsidRDefault="00B77A1B" w:rsidP="00CD4376">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Критеријуме за процену ризика, поступак спровођења процене ризика и учесталост вршења инспекцијског надзора на основу процене ризика ближе уређује Министар</w:t>
            </w:r>
          </w:p>
          <w:p w:rsidR="00B77A1B" w:rsidRPr="009C3C2F" w:rsidRDefault="00B77A1B" w:rsidP="00811CA4">
            <w:pPr>
              <w:spacing w:before="120" w:after="120"/>
              <w:rPr>
                <w:rFonts w:ascii="Times New Roman" w:hAnsi="Times New Roman" w:cs="Times New Roman"/>
                <w:sz w:val="18"/>
                <w:szCs w:val="18"/>
                <w:lang w:val="sr-Cyrl-CS"/>
              </w:rPr>
            </w:pP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pStyle w:val="NoSpacing"/>
              <w:rPr>
                <w:rFonts w:ascii="Times New Roman" w:hAnsi="Times New Roman" w:cs="Times New Roman"/>
                <w:sz w:val="18"/>
                <w:szCs w:val="18"/>
                <w:lang w:val="sr-Cyrl-CS"/>
              </w:rPr>
            </w:pPr>
          </w:p>
        </w:tc>
        <w:tc>
          <w:tcPr>
            <w:tcW w:w="525" w:type="pct"/>
          </w:tcPr>
          <w:p w:rsidR="00B77A1B" w:rsidRPr="009C3C2F" w:rsidRDefault="00B77A1B" w:rsidP="00924909">
            <w:pPr>
              <w:pStyle w:val="NoSpacing"/>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10.</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Report</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By 1 May 2009 the Commission shall submit to the European Parliament and to the Council a report analysing the penalties for serious infringements provided for in the legislation of the Member</w:t>
            </w:r>
          </w:p>
          <w:p w:rsidR="00B77A1B" w:rsidRPr="009C3C2F" w:rsidRDefault="00B77A1B" w:rsidP="00811CA4">
            <w:pPr>
              <w:pStyle w:val="NoSpacing"/>
              <w:rPr>
                <w:rFonts w:ascii="Times New Roman" w:hAnsi="Times New Roman" w:cs="Times New Roman"/>
                <w:sz w:val="18"/>
                <w:szCs w:val="18"/>
                <w:lang w:val="sr-Cyrl-CS"/>
              </w:rPr>
            </w:pPr>
            <w:r w:rsidRPr="009C3C2F">
              <w:rPr>
                <w:rFonts w:ascii="Times New Roman" w:hAnsi="Times New Roman" w:cs="Times New Roman"/>
                <w:sz w:val="18"/>
                <w:szCs w:val="18"/>
                <w:lang w:val="sr-Cyrl-CS"/>
              </w:rPr>
              <w:t>States.</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11.</w:t>
            </w:r>
          </w:p>
          <w:p w:rsidR="00B77A1B" w:rsidRPr="009C3C2F" w:rsidRDefault="00B77A1B" w:rsidP="000044DA">
            <w:pPr>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Best practice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In accordance with the procedure referred to in Article 12(2), the Commission shall establish guidelines on best enforcement practice.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Those guidelines shall be published in a biennial report of the Commission.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Member States shall establish joint training programmes on best practice to be held at least once per year and shall facilitate exchanges, at least once per year, of staff of their respective bodies for intracommunity liaison with their counterparts in other Member States.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3. An electronic and printable form shall be drawn up by the Commission in accordance with the procedure referred to in Article 12(2), to be used when a driver has been on sick leave or on annual leave, or when the driver has driven another vehicle exempted from the scope of Regulation (EEC) No 3820/85, during the period mentioned in the first indent of the first subparagraph of Article 15(7) of Regulation (EEC) No 3821/85.</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4. Member States shall ensure that enforcement officers are well trained for the execution of their tasks.</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12.</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Committee procedure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The Commission shall be assisted by the Committee set up by Article 18(1) of Regulation (EEC) No 3821/85.</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Where reference is made to this paragraph, Articles 5 and 7 of Decision 1999/468/EC shall apply, having regard to the provisions of Article 8 thereof.</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 period laid down in Article 5(6) of Decision 1999/468/EC shall be set at three months.</w:t>
            </w:r>
          </w:p>
          <w:p w:rsidR="00B77A1B" w:rsidRPr="009C3C2F" w:rsidRDefault="00B77A1B" w:rsidP="00811CA4">
            <w:pPr>
              <w:pStyle w:val="NoSpacing"/>
              <w:rPr>
                <w:rFonts w:ascii="Times New Roman" w:hAnsi="Times New Roman" w:cs="Times New Roman"/>
                <w:b/>
                <w:bCs/>
                <w:sz w:val="18"/>
                <w:szCs w:val="18"/>
                <w:lang w:val="sr-Cyrl-CS"/>
              </w:rPr>
            </w:pPr>
            <w:r w:rsidRPr="009C3C2F">
              <w:rPr>
                <w:rFonts w:ascii="Times New Roman" w:hAnsi="Times New Roman" w:cs="Times New Roman"/>
                <w:sz w:val="18"/>
                <w:szCs w:val="18"/>
                <w:lang w:val="sr-Cyrl-CS"/>
              </w:rPr>
              <w:t>3. The Committee shall adopt its Rules of Procedure.</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13.</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Implementing measures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At the request of a Member State or on its own initiative the Commission shall, in accordance with the procedure referred to in Article 12(2), adopt implementing measures in particular with one of</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 following aims: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 to promote a common approach to the implementation of this Directive;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(b) to encourage a coherence of approach between enforcement authorities and a harmonised interpretation of Regulation (EEC) No 3820/85 between enforcement authorities;</w:t>
            </w:r>
          </w:p>
          <w:p w:rsidR="00B77A1B" w:rsidRPr="009C3C2F" w:rsidRDefault="00B77A1B" w:rsidP="00B116F6">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(c) to facilitate dialogue between the transport sector and enforcement authorities. </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14.</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Negotiations with third countries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Once this Directive has entered into force, the Community shall begin negotiations with the relevant third countries with a view to the application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of rules equivalent to those laid down in this Directive. Pending the conclusion of these negotiations, Member States shall include data on checks carried out on vehicles from third countries in</w:t>
            </w:r>
          </w:p>
          <w:p w:rsidR="00B77A1B" w:rsidRPr="009C3C2F" w:rsidRDefault="00B77A1B" w:rsidP="00B116F6">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their returns to the Commission as set out in Article 16(2) of Regulation (EEC) No 3820/85.</w:t>
            </w:r>
          </w:p>
        </w:tc>
        <w:tc>
          <w:tcPr>
            <w:tcW w:w="311" w:type="pct"/>
            <w:vAlign w:val="center"/>
          </w:tcPr>
          <w:p w:rsidR="00B77A1B" w:rsidRPr="009C3C2F" w:rsidRDefault="00B77A1B" w:rsidP="000044DA">
            <w:pPr>
              <w:autoSpaceDE w:val="0"/>
              <w:autoSpaceDN w:val="0"/>
              <w:adjustRightInd w:val="0"/>
              <w:jc w:val="center"/>
              <w:rPr>
                <w:rFonts w:ascii="Times New Roman" w:hAnsi="Times New Roman" w:cs="Times New Roman"/>
                <w:b/>
                <w:bCs/>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15.</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Updating of the Annexes</w:t>
            </w:r>
          </w:p>
          <w:p w:rsidR="00B77A1B" w:rsidRPr="009C3C2F" w:rsidRDefault="00B77A1B" w:rsidP="00B116F6">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Amendments to the Annexes which are necessary to adapt them to developments in best practice shall be adopted in accordance with the procedure referred to in Article 12(2).</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16.</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Transposition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Member States shall bring into force the laws, regulations and administrative provisions necessary to comply with this Directive by 1 April 2007. They shall forthwith communicate to the Commission the text of those provisions and a correlation table between those provisions and this Directive.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When Member States adopt these measures, they shall contain a reference to this Directive or be accompanied by such a reference on the occasion of their official publication. The methods of making such reference shall be laid down by Member States.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Member States shall communicate to the Commission the text of the main provisions of national law which they adopt in the field governed by this Directive.</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vAlign w:val="center"/>
          </w:tcPr>
          <w:p w:rsidR="00B77A1B" w:rsidRPr="009C3C2F" w:rsidRDefault="00B77A1B" w:rsidP="00663F22">
            <w:pPr>
              <w:spacing w:before="120" w:after="120"/>
              <w:ind w:firstLine="21"/>
              <w:rPr>
                <w:rFonts w:ascii="Times New Roman" w:hAnsi="Times New Roman" w:cs="Times New Roman"/>
                <w:sz w:val="18"/>
                <w:szCs w:val="18"/>
                <w:lang w:val="sr-Cyrl-CS"/>
              </w:rPr>
            </w:pPr>
            <w:r w:rsidRPr="009C3C2F">
              <w:rPr>
                <w:rFonts w:ascii="Times New Roman" w:hAnsi="Times New Roman" w:cs="Times New Roman"/>
                <w:sz w:val="18"/>
                <w:szCs w:val="18"/>
                <w:lang w:val="sr-Cyrl-CS"/>
              </w:rPr>
              <w:t>Обавеза ЕУ Комисије</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990E29">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17.</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Repeal</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Directive 88/599/EEC is hereby repealed.</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References made to the repealed Directive shall be construed as being made to this Directive.</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990E29">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НП</w:t>
            </w:r>
          </w:p>
        </w:tc>
        <w:tc>
          <w:tcPr>
            <w:tcW w:w="872" w:type="pct"/>
          </w:tcPr>
          <w:p w:rsidR="00B77A1B" w:rsidRPr="009C3C2F" w:rsidRDefault="00B77A1B" w:rsidP="00D63E6F">
            <w:pPr>
              <w:spacing w:before="120" w:after="120"/>
              <w:rPr>
                <w:rFonts w:ascii="Times New Roman" w:hAnsi="Times New Roman" w:cs="Times New Roman"/>
                <w:sz w:val="18"/>
                <w:szCs w:val="18"/>
                <w:lang w:val="sr-Cyrl-CS"/>
              </w:rPr>
            </w:pPr>
            <w:r w:rsidRPr="009C3C2F">
              <w:rPr>
                <w:rFonts w:ascii="Times New Roman" w:hAnsi="Times New Roman" w:cs="Times New Roman"/>
                <w:sz w:val="18"/>
                <w:szCs w:val="18"/>
                <w:lang w:val="sr-Cyrl-CS"/>
              </w:rPr>
              <w:t>Укидање Директиве 88/599/ЕЕЗ</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18.</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Entry into force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This Directive shall enter into force on the 20th day following its publication in the </w:t>
            </w:r>
            <w:r w:rsidRPr="009C3C2F">
              <w:rPr>
                <w:rFonts w:ascii="Times New Roman" w:hAnsi="Times New Roman" w:cs="Times New Roman"/>
                <w:iCs/>
                <w:sz w:val="18"/>
                <w:szCs w:val="18"/>
                <w:lang w:val="sr-Cyrl-CS"/>
              </w:rPr>
              <w:t>Official Journal of the European Union</w:t>
            </w:r>
            <w:r w:rsidRPr="009C3C2F">
              <w:rPr>
                <w:rFonts w:ascii="Times New Roman" w:hAnsi="Times New Roman" w:cs="Times New Roman"/>
                <w:sz w:val="18"/>
                <w:szCs w:val="18"/>
                <w:lang w:val="sr-Cyrl-CS"/>
              </w:rPr>
              <w:t>.</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b/>
                <w:sz w:val="18"/>
                <w:szCs w:val="18"/>
                <w:lang w:val="sr-Cyrl-CS"/>
              </w:rPr>
            </w:pPr>
            <w:r w:rsidRPr="009C3C2F">
              <w:rPr>
                <w:rFonts w:ascii="Times New Roman" w:hAnsi="Times New Roman" w:cs="Times New Roman"/>
                <w:sz w:val="18"/>
                <w:szCs w:val="18"/>
                <w:lang w:val="sr-Cyrl-CS"/>
              </w:rPr>
              <w:t>НП</w:t>
            </w:r>
          </w:p>
        </w:tc>
        <w:tc>
          <w:tcPr>
            <w:tcW w:w="872" w:type="pct"/>
          </w:tcPr>
          <w:p w:rsidR="00B77A1B" w:rsidRPr="009C3C2F" w:rsidRDefault="00B77A1B" w:rsidP="00990E29">
            <w:pPr>
              <w:spacing w:before="120" w:after="120"/>
              <w:rPr>
                <w:rFonts w:ascii="Times New Roman" w:hAnsi="Times New Roman" w:cs="Times New Roman"/>
                <w:sz w:val="18"/>
                <w:szCs w:val="18"/>
                <w:lang w:val="sr-Cyrl-CS"/>
              </w:rPr>
            </w:pPr>
            <w:r w:rsidRPr="009C3C2F">
              <w:rPr>
                <w:rFonts w:ascii="Times New Roman" w:hAnsi="Times New Roman" w:cs="Times New Roman"/>
                <w:sz w:val="18"/>
                <w:szCs w:val="18"/>
                <w:lang w:val="sr-Cyrl-CS"/>
              </w:rPr>
              <w:t>Применљиво само за земље чланице ЕУ</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663F22">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19.</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Addressees</w:t>
            </w:r>
          </w:p>
          <w:p w:rsidR="00B77A1B" w:rsidRPr="009C3C2F" w:rsidRDefault="00B77A1B" w:rsidP="00811CA4">
            <w:pPr>
              <w:pStyle w:val="CM4"/>
              <w:spacing w:before="60" w:after="60"/>
              <w:rPr>
                <w:color w:val="000000"/>
                <w:sz w:val="18"/>
                <w:szCs w:val="18"/>
                <w:lang w:val="sr-Cyrl-CS"/>
              </w:rPr>
            </w:pPr>
            <w:r w:rsidRPr="009C3C2F">
              <w:rPr>
                <w:sz w:val="18"/>
                <w:szCs w:val="18"/>
                <w:lang w:val="sr-Cyrl-CS"/>
              </w:rPr>
              <w:t xml:space="preserve">This Directive is addressed to the Member States. </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p>
        </w:tc>
        <w:tc>
          <w:tcPr>
            <w:tcW w:w="1376" w:type="pct"/>
            <w:vAlign w:val="center"/>
          </w:tcPr>
          <w:p w:rsidR="00B77A1B" w:rsidRPr="009C3C2F" w:rsidRDefault="00B77A1B" w:rsidP="00663F22">
            <w:pPr>
              <w:spacing w:before="120" w:after="120"/>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НП </w:t>
            </w:r>
          </w:p>
        </w:tc>
        <w:tc>
          <w:tcPr>
            <w:tcW w:w="872" w:type="pct"/>
          </w:tcPr>
          <w:p w:rsidR="00B77A1B" w:rsidRPr="009C3C2F" w:rsidRDefault="00B77A1B" w:rsidP="00990E29">
            <w:pPr>
              <w:spacing w:before="120" w:after="120"/>
              <w:rPr>
                <w:rFonts w:ascii="Times New Roman" w:hAnsi="Times New Roman" w:cs="Times New Roman"/>
                <w:sz w:val="18"/>
                <w:szCs w:val="18"/>
                <w:lang w:val="sr-Cyrl-CS"/>
              </w:rPr>
            </w:pPr>
            <w:r w:rsidRPr="009C3C2F">
              <w:rPr>
                <w:rFonts w:ascii="Times New Roman" w:hAnsi="Times New Roman" w:cs="Times New Roman"/>
                <w:sz w:val="18"/>
                <w:szCs w:val="18"/>
                <w:lang w:val="sr-Cyrl-CS"/>
              </w:rPr>
              <w:t>Применљиво само за земље чланице ЕУ</w:t>
            </w: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303A0A">
        <w:trPr>
          <w:jc w:val="center"/>
        </w:trPr>
        <w:tc>
          <w:tcPr>
            <w:tcW w:w="308" w:type="pct"/>
            <w:shd w:val="clear" w:color="auto" w:fill="D9D9D9"/>
            <w:vAlign w:val="center"/>
          </w:tcPr>
          <w:p w:rsidR="00B77A1B" w:rsidRPr="009C3C2F" w:rsidRDefault="00B77A1B" w:rsidP="00990E29">
            <w:pPr>
              <w:pStyle w:val="NoSpacing"/>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 xml:space="preserve">ANNEX </w:t>
            </w:r>
          </w:p>
          <w:p w:rsidR="00B77A1B" w:rsidRPr="009C3C2F" w:rsidRDefault="00B77A1B" w:rsidP="00990E29">
            <w:pPr>
              <w:pStyle w:val="NoSpacing"/>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 xml:space="preserve">I </w:t>
            </w:r>
          </w:p>
          <w:p w:rsidR="00B77A1B" w:rsidRPr="009C3C2F" w:rsidRDefault="00B77A1B" w:rsidP="00990E29">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PART A</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ROADSIDE CHECKS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 following points shall, in general, be covered by roadside checks: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daily and weekly driving times, breaks and daily and weekly rest periods;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also the preceding days' record sheets which have to be carried on board the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vehicle in accordance with Article 15(7) of Regulation (EEC) No 3821/85</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and/or the data stored for the same period on the driver card and/or in the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memory of the recording equipment in accordance with Annex ΙΙ to this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Directive and/or on printouts;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for the period referred to in Article 15(7) of Regulation (EEC) No 3821/85,</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any cases where the vehicle's authorised speed is exceeded, to be defined as being any periods of more than one minute during which the vehicle's speed</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exceeds 90 km/h for category N3 vehicles or 105 km/h for category M3 vehicles (categories N3 and M3 being defined in Annex II, Part A to Council Directive 70/156/EEC of 6 February 1970 on the approximation</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of the laws of the Member States relating to the type-approval of motor vehicles and their trailers (1);</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(3) where appropriate, momentary speeds attained by the vehicle as recorded by the recording equipment in no more than the previous 24 hours' use of the vehicle;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(4) the correct functioning of the recording equipment (determination of possible misuse of the equipment and/or the driver card and/or record sheets) or, where appropriate, presence of the documents referred to in Article 14(5) of Regulation (EEC) No 3820/85;</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(5) where appropriate, and with due regard to safety considerations, a verification of the recording equipment installed in vehicles in order to detect the installation and/or the use of any device, or devices, intended to destroy, suppress, manipulate or alter any data, or which is intended to interfere with any part of the electronic data exchange between  the</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component parts of recording equipment, or which inhibits or alters the data in such ways prior to encryption.</w:t>
            </w:r>
          </w:p>
        </w:tc>
        <w:tc>
          <w:tcPr>
            <w:tcW w:w="311" w:type="pct"/>
            <w:vAlign w:val="center"/>
          </w:tcPr>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47.2.-3.</w:t>
            </w: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p w:rsidR="00B77A1B" w:rsidRPr="009C3C2F" w:rsidRDefault="00B77A1B" w:rsidP="00303A0A">
            <w:pPr>
              <w:spacing w:before="120" w:after="120"/>
              <w:jc w:val="center"/>
              <w:rPr>
                <w:rFonts w:ascii="Times New Roman" w:hAnsi="Times New Roman" w:cs="Times New Roman"/>
                <w:sz w:val="18"/>
                <w:szCs w:val="18"/>
                <w:lang w:val="sr-Cyrl-CS"/>
              </w:rPr>
            </w:pPr>
          </w:p>
        </w:tc>
        <w:tc>
          <w:tcPr>
            <w:tcW w:w="1376" w:type="pct"/>
          </w:tcPr>
          <w:p w:rsidR="00B77A1B" w:rsidRPr="009C3C2F" w:rsidRDefault="00B77A1B" w:rsidP="000A25AF">
            <w:pPr>
              <w:pStyle w:val="Stav"/>
              <w:numPr>
                <w:ilvl w:val="0"/>
                <w:numId w:val="0"/>
              </w:numPr>
              <w:ind w:left="360" w:hanging="360"/>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на путу обухвата најмање:</w:t>
            </w:r>
          </w:p>
          <w:p w:rsidR="00B77A1B" w:rsidRPr="009C3C2F" w:rsidRDefault="00B77A1B" w:rsidP="00303A0A">
            <w:pPr>
              <w:pStyle w:val="Tacka"/>
              <w:numPr>
                <w:ilvl w:val="1"/>
                <w:numId w:val="7"/>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дневно и недељно време управљања возилом, паузе, дневно и недељно време одмора, евиденције које који се морају налазити у возилу, односно тахографске листиће, податке на картици возача у меморији тахографа, односно на штампаним исписима;</w:t>
            </w:r>
          </w:p>
          <w:p w:rsidR="00B77A1B" w:rsidRPr="009C3C2F" w:rsidRDefault="00B77A1B" w:rsidP="000A25AF">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сва прекорачења брзине возила евидентирана тахографом, током којих брзина возила прелази 90 km/h за возила врсте N3 или 100 km/h за возила врсте М3;</w:t>
            </w:r>
          </w:p>
          <w:p w:rsidR="00B77A1B" w:rsidRPr="009C3C2F" w:rsidRDefault="00B77A1B" w:rsidP="000A25AF">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ако је могуће, тренутне брзине возила које евидентира тахограф током највише 24 претходна часа коришћења возила;</w:t>
            </w:r>
          </w:p>
          <w:p w:rsidR="00B77A1B" w:rsidRPr="009C3C2F" w:rsidRDefault="00B77A1B" w:rsidP="000A25AF">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исправност тахографа односно постојање уређаја или направе за манипулацију са тахографом, тахографским листићем, исписом или картицом возача које могу да доведу до фалсификовања, брисања или уништавања меморисаних или евидентираних података, односно до ометања размене података између саставних делова тахографа или њихове измене.</w:t>
            </w:r>
          </w:p>
          <w:p w:rsidR="00B77A1B" w:rsidRPr="009C3C2F" w:rsidRDefault="00B77A1B" w:rsidP="000A25AF">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Надзор на путу може да се усмери на поједине тачке из става 2. овог члана. </w:t>
            </w:r>
          </w:p>
          <w:p w:rsidR="00B77A1B" w:rsidRPr="009C3C2F" w:rsidRDefault="00B77A1B" w:rsidP="00303A0A">
            <w:pPr>
              <w:pStyle w:val="Tacka"/>
              <w:numPr>
                <w:ilvl w:val="0"/>
                <w:numId w:val="0"/>
              </w:numPr>
              <w:ind w:left="720"/>
              <w:rPr>
                <w:rFonts w:ascii="Times New Roman" w:hAnsi="Times New Roman" w:cs="Times New Roman"/>
                <w:sz w:val="18"/>
                <w:szCs w:val="18"/>
                <w:lang w:val="sr-Cyrl-CS"/>
              </w:rPr>
            </w:pP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D63BB8">
            <w:pPr>
              <w:pStyle w:val="NoSpacing"/>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 xml:space="preserve">ANNEX </w:t>
            </w:r>
          </w:p>
          <w:p w:rsidR="00B77A1B" w:rsidRPr="009C3C2F" w:rsidRDefault="00B77A1B" w:rsidP="00D63BB8">
            <w:pPr>
              <w:pStyle w:val="NoSpacing"/>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 xml:space="preserve">I </w:t>
            </w:r>
          </w:p>
          <w:p w:rsidR="00B77A1B" w:rsidRPr="009C3C2F" w:rsidRDefault="00B77A1B" w:rsidP="00990E29">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  PART B</w:t>
            </w:r>
          </w:p>
          <w:p w:rsidR="00B77A1B" w:rsidRPr="009C3C2F" w:rsidRDefault="00B77A1B" w:rsidP="00D63BB8">
            <w:pPr>
              <w:pStyle w:val="NoSpacing"/>
              <w:jc w:val="center"/>
              <w:rPr>
                <w:rFonts w:ascii="Times New Roman" w:hAnsi="Times New Roman" w:cs="Times New Roman"/>
                <w:iCs/>
                <w:sz w:val="18"/>
                <w:szCs w:val="18"/>
                <w:lang w:val="sr-Cyrl-CS"/>
              </w:rPr>
            </w:pPr>
          </w:p>
        </w:tc>
        <w:tc>
          <w:tcPr>
            <w:tcW w:w="1380" w:type="pct"/>
            <w:shd w:val="clear" w:color="auto" w:fill="D9D9D9"/>
          </w:tcPr>
          <w:p w:rsidR="00B77A1B" w:rsidRPr="009C3C2F" w:rsidRDefault="00B77A1B" w:rsidP="00D63BB8">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CHECKS AT THE PREMISES OF UNDERTAKINGS</w:t>
            </w:r>
          </w:p>
          <w:p w:rsidR="00B77A1B" w:rsidRPr="009C3C2F" w:rsidRDefault="00B77A1B" w:rsidP="00D63BB8">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The following points shall be checked at the premises of undertakings, in addition to those set out in Part A:</w:t>
            </w:r>
          </w:p>
          <w:p w:rsidR="00B77A1B" w:rsidRPr="009C3C2F" w:rsidRDefault="00B77A1B" w:rsidP="00D63BB8">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weekly rest periods and driving times between these rest periods;</w:t>
            </w:r>
          </w:p>
          <w:p w:rsidR="00B77A1B" w:rsidRPr="009C3C2F" w:rsidRDefault="00B77A1B" w:rsidP="00D63BB8">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observance of the two-weekly limitation of driving times;</w:t>
            </w:r>
          </w:p>
          <w:p w:rsidR="00B77A1B" w:rsidRPr="009C3C2F" w:rsidRDefault="00B77A1B" w:rsidP="00D63BB8">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(3) record sheets, vehicle unit and driver card data and printouts.</w:t>
            </w:r>
          </w:p>
          <w:p w:rsidR="00B77A1B" w:rsidRPr="009C3C2F" w:rsidRDefault="00B77A1B" w:rsidP="00D63BB8">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may, if appropriate, check on the joint liability of other instigators or accessories in the transport chain, such as shippers, freight forwarders or</w:t>
            </w:r>
          </w:p>
          <w:p w:rsidR="00B77A1B" w:rsidRPr="009C3C2F" w:rsidRDefault="00B77A1B" w:rsidP="00D63BB8">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contractors, if an infringement is detected, including verification that contracts for the provision of transport permit compliance with Regulations (EEC) No 3820/85 and (EEC) No 3821/85. </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50.1.-2.</w:t>
            </w:r>
          </w:p>
        </w:tc>
        <w:tc>
          <w:tcPr>
            <w:tcW w:w="1376" w:type="pct"/>
          </w:tcPr>
          <w:p w:rsidR="00B77A1B" w:rsidRPr="009C3C2F" w:rsidRDefault="00B77A1B" w:rsidP="00303A0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 у просторијама превозника, поред надзора из члана 47. став 2. овог закона обухвата и надзор:</w:t>
            </w:r>
          </w:p>
          <w:p w:rsidR="00B77A1B" w:rsidRPr="009C3C2F" w:rsidRDefault="00B77A1B" w:rsidP="004C13EA">
            <w:pPr>
              <w:pStyle w:val="Tacka"/>
              <w:numPr>
                <w:ilvl w:val="1"/>
                <w:numId w:val="8"/>
              </w:numPr>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недељних одмора и времена управљања возилом између недељних одмора;</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придржавања ограничења времена управљања возилом током две узастопне недеље;</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радних времена чланова посаде возила;</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тахографских листића, података и штампаних исписа са дигиталног тахографа и са картице возача;</w:t>
            </w:r>
          </w:p>
          <w:p w:rsidR="00B77A1B" w:rsidRPr="009C3C2F" w:rsidRDefault="00B77A1B" w:rsidP="004C13EA">
            <w:pPr>
              <w:pStyle w:val="Tacka"/>
              <w:ind w:left="367"/>
              <w:rPr>
                <w:rFonts w:ascii="Times New Roman" w:hAnsi="Times New Roman" w:cs="Times New Roman"/>
                <w:sz w:val="18"/>
                <w:szCs w:val="18"/>
                <w:lang w:val="sr-Cyrl-CS"/>
              </w:rPr>
            </w:pPr>
            <w:r w:rsidRPr="009C3C2F">
              <w:rPr>
                <w:rFonts w:ascii="Times New Roman" w:hAnsi="Times New Roman" w:cs="Times New Roman"/>
                <w:sz w:val="18"/>
                <w:szCs w:val="18"/>
                <w:lang w:val="sr-Cyrl-CS"/>
              </w:rPr>
              <w:t>потврда о активностима возача.</w:t>
            </w:r>
          </w:p>
          <w:p w:rsidR="00B77A1B" w:rsidRPr="009C3C2F" w:rsidRDefault="00B77A1B" w:rsidP="00303A0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 </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iCs/>
                <w:sz w:val="18"/>
                <w:szCs w:val="18"/>
                <w:lang w:val="sr-Cyrl-CS"/>
              </w:rPr>
              <w:t>ANNEX II</w:t>
            </w: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Standard equipment to be available to enforcement units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Member States shall ensure that the following standard equipment is available to enforcement units carrying out the duties set out in Annex I:</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(1) equipment capable of downloading data from the vehicle unit and driver card of the digital tachograph, reading data, and analysing data and/or transmitting</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findings to a central database for analysis;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(2) equipment to check the tachograph sheets;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(3) specific analysis equipment, with appropriate software, to verify and confirm the digital signature attached to data, as well as specific analysis software to provide a detailed speed profile of vehicles prior to the inspection of their recording equipment.</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47.6.</w:t>
            </w:r>
          </w:p>
        </w:tc>
        <w:tc>
          <w:tcPr>
            <w:tcW w:w="1376" w:type="pct"/>
          </w:tcPr>
          <w:p w:rsidR="00B77A1B" w:rsidRPr="009C3C2F" w:rsidRDefault="00B77A1B" w:rsidP="00303A0A">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Надзорни органи се оспособљавају и опремају за вршење надзора на путу и у просторијама превозника. Опрема за надзор обухвата уређаје за:</w:t>
            </w:r>
          </w:p>
          <w:p w:rsidR="00B77A1B" w:rsidRPr="009C3C2F" w:rsidRDefault="00B77A1B" w:rsidP="00303A0A">
            <w:pPr>
              <w:pStyle w:val="Tacka"/>
              <w:numPr>
                <w:ilvl w:val="1"/>
                <w:numId w:val="9"/>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преузимање података са дигиталног тахографа и картице возача, учитавање, анализу односно пренос података у централну базу података ради анализе; </w:t>
            </w:r>
          </w:p>
          <w:p w:rsidR="00B77A1B" w:rsidRPr="009C3C2F" w:rsidRDefault="00B77A1B" w:rsidP="00303A0A">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проверу тахографских листића;</w:t>
            </w:r>
          </w:p>
          <w:p w:rsidR="00B77A1B" w:rsidRPr="009C3C2F" w:rsidRDefault="00B77A1B" w:rsidP="00303A0A">
            <w:pPr>
              <w:pStyle w:val="Tacka"/>
              <w:rPr>
                <w:rFonts w:ascii="Times New Roman" w:hAnsi="Times New Roman" w:cs="Times New Roman"/>
                <w:sz w:val="18"/>
                <w:szCs w:val="18"/>
                <w:lang w:val="sr-Cyrl-CS"/>
              </w:rPr>
            </w:pPr>
            <w:r w:rsidRPr="009C3C2F">
              <w:rPr>
                <w:rFonts w:ascii="Times New Roman" w:hAnsi="Times New Roman" w:cs="Times New Roman"/>
                <w:sz w:val="18"/>
                <w:szCs w:val="18"/>
                <w:lang w:val="sr-Cyrl-CS"/>
              </w:rPr>
              <w:t>анализу са програмском подршком за проверу и потврду дигиталног потписа електронских података, као и анализу детаљног профила брзине возила.</w:t>
            </w: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ПУ</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r w:rsidR="00B77A1B" w:rsidRPr="009C3C2F" w:rsidTr="000044DA">
        <w:trPr>
          <w:jc w:val="center"/>
        </w:trPr>
        <w:tc>
          <w:tcPr>
            <w:tcW w:w="308" w:type="pct"/>
            <w:shd w:val="clear" w:color="auto" w:fill="D9D9D9"/>
            <w:vAlign w:val="center"/>
          </w:tcPr>
          <w:p w:rsidR="00B77A1B" w:rsidRPr="009C3C2F" w:rsidRDefault="00B77A1B" w:rsidP="000044DA">
            <w:pPr>
              <w:autoSpaceDE w:val="0"/>
              <w:autoSpaceDN w:val="0"/>
              <w:adjustRightInd w:val="0"/>
              <w:jc w:val="center"/>
              <w:rPr>
                <w:rFonts w:ascii="Times New Roman" w:hAnsi="Times New Roman" w:cs="Times New Roman"/>
                <w:iCs/>
                <w:sz w:val="18"/>
                <w:szCs w:val="18"/>
                <w:lang w:val="sr-Cyrl-CS"/>
              </w:rPr>
            </w:pPr>
            <w:r w:rsidRPr="009C3C2F">
              <w:rPr>
                <w:rFonts w:ascii="Times New Roman" w:hAnsi="Times New Roman" w:cs="Times New Roman"/>
                <w:iCs/>
                <w:sz w:val="18"/>
                <w:szCs w:val="18"/>
                <w:lang w:val="sr-Cyrl-CS"/>
              </w:rPr>
              <w:t>ANNEX III</w:t>
            </w:r>
          </w:p>
          <w:p w:rsidR="00B77A1B" w:rsidRPr="009C3C2F" w:rsidRDefault="00B77A1B" w:rsidP="000044DA">
            <w:pPr>
              <w:pStyle w:val="NoSpacing"/>
              <w:jc w:val="center"/>
              <w:rPr>
                <w:rFonts w:ascii="Times New Roman" w:hAnsi="Times New Roman" w:cs="Times New Roman"/>
                <w:sz w:val="18"/>
                <w:szCs w:val="18"/>
                <w:lang w:val="sr-Cyrl-CS"/>
              </w:rPr>
            </w:pPr>
          </w:p>
        </w:tc>
        <w:tc>
          <w:tcPr>
            <w:tcW w:w="1380" w:type="pct"/>
            <w:shd w:val="clear" w:color="auto" w:fill="D9D9D9"/>
          </w:tcPr>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b/>
                <w:bCs/>
                <w:sz w:val="18"/>
                <w:szCs w:val="18"/>
                <w:lang w:val="sr-Cyrl-CS"/>
              </w:rPr>
              <w:t>Infringements</w:t>
            </w:r>
          </w:p>
          <w:p w:rsidR="00B77A1B" w:rsidRPr="009C3C2F" w:rsidRDefault="00B77A1B" w:rsidP="00811CA4">
            <w:pPr>
              <w:autoSpaceDE w:val="0"/>
              <w:autoSpaceDN w:val="0"/>
              <w:adjustRightInd w:val="0"/>
              <w:rPr>
                <w:rFonts w:ascii="Times New Roman" w:hAnsi="Times New Roman" w:cs="Times New Roman"/>
                <w:sz w:val="18"/>
                <w:szCs w:val="18"/>
                <w:lang w:val="sr-Cyrl-CS"/>
              </w:rPr>
            </w:pPr>
            <w:r w:rsidRPr="009C3C2F">
              <w:rPr>
                <w:rFonts w:ascii="Times New Roman" w:hAnsi="Times New Roman" w:cs="Times New Roman"/>
                <w:sz w:val="18"/>
                <w:szCs w:val="18"/>
                <w:lang w:val="sr-Cyrl-CS"/>
              </w:rPr>
              <w:t>In accordance with Article 9(3), the following table contains guidelines on a common range of infringements against Regulation (EC) No 561/2006 and Regulation (EEC) No 3821/85, divided into categories according to their gravity.</w:t>
            </w:r>
          </w:p>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sz w:val="18"/>
                <w:szCs w:val="18"/>
                <w:lang w:val="sr-Cyrl-CS"/>
              </w:rPr>
              <w:t xml:space="preserve">1. </w:t>
            </w:r>
            <w:r w:rsidRPr="009C3C2F">
              <w:rPr>
                <w:rFonts w:ascii="Times New Roman" w:hAnsi="Times New Roman" w:cs="Times New Roman"/>
                <w:b/>
                <w:bCs/>
                <w:sz w:val="18"/>
                <w:szCs w:val="18"/>
                <w:lang w:val="sr-Cyrl-CS"/>
              </w:rPr>
              <w:t>Groups of infringements against Regulation (EC) No 561/2006</w:t>
            </w:r>
          </w:p>
          <w:p w:rsidR="00B77A1B" w:rsidRPr="009C3C2F" w:rsidRDefault="00B77A1B" w:rsidP="00811CA4">
            <w:pPr>
              <w:autoSpaceDE w:val="0"/>
              <w:autoSpaceDN w:val="0"/>
              <w:adjustRightInd w:val="0"/>
              <w:rPr>
                <w:rFonts w:ascii="Times New Roman" w:hAnsi="Times New Roman" w:cs="Times New Roman"/>
                <w:b/>
                <w:bCs/>
                <w:sz w:val="18"/>
                <w:szCs w:val="18"/>
                <w:lang w:val="sr-Cyrl-CS"/>
              </w:rPr>
            </w:pPr>
            <w:r w:rsidRPr="009C3C2F">
              <w:rPr>
                <w:rFonts w:ascii="Times New Roman" w:hAnsi="Times New Roman" w:cs="Times New Roman"/>
                <w:sz w:val="18"/>
                <w:szCs w:val="18"/>
                <w:lang w:val="sr-Cyrl-CS"/>
              </w:rPr>
              <w:t xml:space="preserve">2. </w:t>
            </w:r>
            <w:r w:rsidRPr="009C3C2F">
              <w:rPr>
                <w:rFonts w:ascii="Times New Roman" w:hAnsi="Times New Roman" w:cs="Times New Roman"/>
                <w:b/>
                <w:bCs/>
                <w:sz w:val="18"/>
                <w:szCs w:val="18"/>
                <w:lang w:val="sr-Cyrl-CS"/>
              </w:rPr>
              <w:t>Groups of infringements against Regulation (EEC) No 3821/85</w:t>
            </w:r>
          </w:p>
        </w:tc>
        <w:tc>
          <w:tcPr>
            <w:tcW w:w="311" w:type="pct"/>
            <w:vAlign w:val="center"/>
          </w:tcPr>
          <w:p w:rsidR="00B77A1B" w:rsidRPr="009C3C2F" w:rsidRDefault="00B77A1B" w:rsidP="000044DA">
            <w:pPr>
              <w:spacing w:before="120" w:after="120"/>
              <w:ind w:firstLine="5"/>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54. – 67.</w:t>
            </w:r>
          </w:p>
        </w:tc>
        <w:tc>
          <w:tcPr>
            <w:tcW w:w="1376" w:type="pct"/>
          </w:tcPr>
          <w:p w:rsidR="00B77A1B" w:rsidRPr="009C3C2F" w:rsidRDefault="00B77A1B" w:rsidP="00A87190">
            <w:pPr>
              <w:pStyle w:val="Stav"/>
              <w:numPr>
                <w:ilvl w:val="0"/>
                <w:numId w:val="0"/>
              </w:numPr>
              <w:rPr>
                <w:rFonts w:ascii="Times New Roman" w:hAnsi="Times New Roman" w:cs="Times New Roman"/>
                <w:sz w:val="18"/>
                <w:szCs w:val="18"/>
                <w:lang w:val="sr-Cyrl-CS"/>
              </w:rPr>
            </w:pPr>
          </w:p>
          <w:p w:rsidR="00B77A1B" w:rsidRPr="009C3C2F" w:rsidRDefault="00B77A1B" w:rsidP="00A87190">
            <w:pPr>
              <w:pStyle w:val="Stav"/>
              <w:numPr>
                <w:ilvl w:val="0"/>
                <w:numId w:val="0"/>
              </w:numPr>
              <w:rPr>
                <w:rFonts w:ascii="Times New Roman" w:hAnsi="Times New Roman" w:cs="Times New Roman"/>
                <w:sz w:val="18"/>
                <w:szCs w:val="18"/>
                <w:lang w:val="sr-Cyrl-CS"/>
              </w:rPr>
            </w:pPr>
          </w:p>
          <w:p w:rsidR="00B77A1B" w:rsidRPr="009C3C2F" w:rsidRDefault="00B77A1B" w:rsidP="00A87190">
            <w:pPr>
              <w:pStyle w:val="Stav"/>
              <w:numPr>
                <w:ilvl w:val="0"/>
                <w:numId w:val="0"/>
              </w:numPr>
              <w:rPr>
                <w:rFonts w:ascii="Times New Roman" w:hAnsi="Times New Roman" w:cs="Times New Roman"/>
                <w:sz w:val="18"/>
                <w:szCs w:val="18"/>
                <w:lang w:val="sr-Cyrl-CS"/>
              </w:rPr>
            </w:pPr>
          </w:p>
          <w:p w:rsidR="00B77A1B" w:rsidRPr="009C3C2F" w:rsidRDefault="00B77A1B" w:rsidP="00A87190">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КАЗНЕНЕ ОДРЕДБЕ</w:t>
            </w:r>
          </w:p>
          <w:p w:rsidR="00B77A1B" w:rsidRPr="009C3C2F" w:rsidRDefault="00B77A1B" w:rsidP="00A87190">
            <w:pPr>
              <w:pStyle w:val="Stav"/>
              <w:numPr>
                <w:ilvl w:val="0"/>
                <w:numId w:val="0"/>
              </w:numPr>
              <w:rPr>
                <w:rFonts w:ascii="Times New Roman" w:hAnsi="Times New Roman" w:cs="Times New Roman"/>
                <w:sz w:val="18"/>
                <w:szCs w:val="18"/>
                <w:lang w:val="sr-Cyrl-CS"/>
              </w:rPr>
            </w:pPr>
            <w:r w:rsidRPr="009C3C2F">
              <w:rPr>
                <w:rFonts w:ascii="Times New Roman" w:hAnsi="Times New Roman" w:cs="Times New Roman"/>
                <w:sz w:val="18"/>
                <w:szCs w:val="18"/>
                <w:lang w:val="sr-Cyrl-CS"/>
              </w:rPr>
              <w:t>Новчаном казном у износу казниће се за прекршај правно лице или предузетник или физичко лице</w:t>
            </w:r>
          </w:p>
          <w:p w:rsidR="00B77A1B" w:rsidRPr="009C3C2F" w:rsidRDefault="00B77A1B" w:rsidP="00A87190">
            <w:pPr>
              <w:pStyle w:val="Stav"/>
              <w:numPr>
                <w:ilvl w:val="0"/>
                <w:numId w:val="0"/>
              </w:numPr>
              <w:rPr>
                <w:rFonts w:ascii="Times New Roman" w:hAnsi="Times New Roman" w:cs="Times New Roman"/>
                <w:sz w:val="18"/>
                <w:szCs w:val="18"/>
                <w:lang w:val="sr-Cyrl-CS"/>
              </w:rPr>
            </w:pPr>
          </w:p>
        </w:tc>
        <w:tc>
          <w:tcPr>
            <w:tcW w:w="228" w:type="pct"/>
            <w:vAlign w:val="center"/>
          </w:tcPr>
          <w:p w:rsidR="00B77A1B" w:rsidRPr="009C3C2F" w:rsidRDefault="00B77A1B" w:rsidP="000044DA">
            <w:pPr>
              <w:pStyle w:val="NoSpacing"/>
              <w:jc w:val="center"/>
              <w:rPr>
                <w:rFonts w:ascii="Times New Roman" w:hAnsi="Times New Roman" w:cs="Times New Roman"/>
                <w:sz w:val="18"/>
                <w:szCs w:val="18"/>
                <w:lang w:val="sr-Cyrl-CS"/>
              </w:rPr>
            </w:pPr>
            <w:r w:rsidRPr="009C3C2F">
              <w:rPr>
                <w:rFonts w:ascii="Times New Roman" w:hAnsi="Times New Roman" w:cs="Times New Roman"/>
                <w:sz w:val="18"/>
                <w:szCs w:val="18"/>
                <w:lang w:val="sr-Cyrl-CS"/>
              </w:rPr>
              <w:t xml:space="preserve">ПУ </w:t>
            </w:r>
          </w:p>
        </w:tc>
        <w:tc>
          <w:tcPr>
            <w:tcW w:w="872" w:type="pct"/>
          </w:tcPr>
          <w:p w:rsidR="00B77A1B" w:rsidRPr="009C3C2F" w:rsidRDefault="00B77A1B" w:rsidP="00811CA4">
            <w:pPr>
              <w:spacing w:before="120" w:after="120"/>
              <w:ind w:firstLine="21"/>
              <w:rPr>
                <w:rFonts w:ascii="Times New Roman" w:hAnsi="Times New Roman" w:cs="Times New Roman"/>
                <w:sz w:val="18"/>
                <w:szCs w:val="18"/>
                <w:lang w:val="sr-Cyrl-CS"/>
              </w:rPr>
            </w:pPr>
          </w:p>
        </w:tc>
        <w:tc>
          <w:tcPr>
            <w:tcW w:w="525" w:type="pct"/>
          </w:tcPr>
          <w:p w:rsidR="00B77A1B" w:rsidRPr="009C3C2F" w:rsidRDefault="00B77A1B" w:rsidP="00811CA4">
            <w:pPr>
              <w:spacing w:before="120" w:after="120"/>
              <w:rPr>
                <w:rFonts w:ascii="Times New Roman" w:hAnsi="Times New Roman" w:cs="Times New Roman"/>
                <w:sz w:val="18"/>
                <w:szCs w:val="18"/>
                <w:lang w:val="sr-Cyrl-CS"/>
              </w:rPr>
            </w:pPr>
          </w:p>
        </w:tc>
      </w:tr>
    </w:tbl>
    <w:p w:rsidR="00B77A1B" w:rsidRPr="009C3C2F" w:rsidRDefault="00B77A1B">
      <w:pPr>
        <w:rPr>
          <w:rFonts w:ascii="Times New Roman" w:hAnsi="Times New Roman" w:cs="Times New Roman"/>
          <w:sz w:val="18"/>
          <w:szCs w:val="18"/>
          <w:lang w:val="sr-Cyrl-CS"/>
        </w:rPr>
      </w:pPr>
    </w:p>
    <w:sectPr w:rsidR="00B77A1B" w:rsidRPr="009C3C2F" w:rsidSect="009C3C2F">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134" w:right="1134"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A1B" w:rsidRDefault="00B77A1B">
      <w:r>
        <w:separator/>
      </w:r>
    </w:p>
  </w:endnote>
  <w:endnote w:type="continuationSeparator" w:id="0">
    <w:p w:rsidR="00B77A1B" w:rsidRDefault="00B77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A1B" w:rsidRDefault="00B77A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A1B" w:rsidRDefault="00B77A1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A1B" w:rsidRDefault="00B77A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A1B" w:rsidRDefault="00B77A1B">
      <w:r>
        <w:separator/>
      </w:r>
    </w:p>
  </w:footnote>
  <w:footnote w:type="continuationSeparator" w:id="0">
    <w:p w:rsidR="00B77A1B" w:rsidRDefault="00B77A1B">
      <w:r>
        <w:continuationSeparator/>
      </w:r>
    </w:p>
  </w:footnote>
  <w:footnote w:id="1">
    <w:p w:rsidR="00B77A1B" w:rsidRDefault="00B77A1B">
      <w:pPr>
        <w:pStyle w:val="FootnoteText"/>
      </w:pPr>
      <w:r>
        <w:rPr>
          <w:rStyle w:val="FootnoteReference"/>
          <w:rFonts w:cs="Arial"/>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A1B" w:rsidRDefault="00B77A1B"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B77A1B" w:rsidRDefault="00B77A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A1B" w:rsidRDefault="00B77A1B"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B77A1B" w:rsidRDefault="00B77A1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A1B" w:rsidRDefault="00B77A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981340"/>
    <w:multiLevelType w:val="multilevel"/>
    <w:tmpl w:val="720468E6"/>
    <w:lvl w:ilvl="0">
      <w:start w:val="1"/>
      <w:numFmt w:val="decimal"/>
      <w:pStyle w:val="Stav"/>
      <w:isLgl/>
      <w:lvlText w:val="%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start w:val="1"/>
      <w:numFmt w:val="decimal"/>
      <w:pStyle w:val="Tacka"/>
      <w:isLgl/>
      <w:lvlText w:val="%2)"/>
      <w:lvlJc w:val="left"/>
      <w:pPr>
        <w:ind w:left="720" w:hanging="360"/>
      </w:pPr>
      <w:rPr>
        <w:rFonts w:cs="Times New Roman" w:hint="default"/>
      </w:rPr>
    </w:lvl>
    <w:lvl w:ilvl="2">
      <w:start w:val="1"/>
      <w:numFmt w:val="decimal"/>
      <w:pStyle w:val="Podtacka"/>
      <w:isLgl/>
      <w:lvlText w:val="(%3)"/>
      <w:lvlJc w:val="left"/>
      <w:pPr>
        <w:ind w:left="1070" w:hanging="360"/>
      </w:pPr>
      <w:rPr>
        <w:rFonts w:cs="Times New Roman" w:hint="default"/>
      </w:rPr>
    </w:lvl>
    <w:lvl w:ilvl="3">
      <w:start w:val="1"/>
      <w:numFmt w:val="bullet"/>
      <w:pStyle w:val="Alineja"/>
      <w:lvlText w:val="−"/>
      <w:lvlJc w:val="left"/>
      <w:pPr>
        <w:ind w:left="1440" w:hanging="360"/>
      </w:pPr>
      <w:rPr>
        <w:rFonts w:ascii="Arial" w:hAnsi="Arial"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
    <w:nsid w:val="77776060"/>
    <w:multiLevelType w:val="hybridMultilevel"/>
    <w:tmpl w:val="780A9B7A"/>
    <w:lvl w:ilvl="0" w:tplc="973A299A">
      <w:start w:val="1"/>
      <w:numFmt w:val="decimal"/>
      <w:lvlText w:val="%1."/>
      <w:lvlJc w:val="left"/>
      <w:pPr>
        <w:ind w:left="360" w:hanging="360"/>
      </w:pPr>
      <w:rPr>
        <w:rFonts w:cs="Times New Roman"/>
      </w:rPr>
    </w:lvl>
    <w:lvl w:ilvl="1" w:tplc="241A0019">
      <w:start w:val="1"/>
      <w:numFmt w:val="lowerLetter"/>
      <w:lvlText w:val="%2."/>
      <w:lvlJc w:val="left"/>
      <w:pPr>
        <w:ind w:left="1080" w:hanging="360"/>
      </w:pPr>
      <w:rPr>
        <w:rFonts w:cs="Times New Roman"/>
      </w:rPr>
    </w:lvl>
    <w:lvl w:ilvl="2" w:tplc="241A001B">
      <w:start w:val="1"/>
      <w:numFmt w:val="lowerRoman"/>
      <w:lvlText w:val="%3."/>
      <w:lvlJc w:val="right"/>
      <w:pPr>
        <w:ind w:left="1800" w:hanging="180"/>
      </w:pPr>
      <w:rPr>
        <w:rFonts w:cs="Times New Roman"/>
      </w:rPr>
    </w:lvl>
    <w:lvl w:ilvl="3" w:tplc="241A000F">
      <w:start w:val="1"/>
      <w:numFmt w:val="decimal"/>
      <w:lvlText w:val="%4."/>
      <w:lvlJc w:val="left"/>
      <w:pPr>
        <w:ind w:left="2520" w:hanging="360"/>
      </w:pPr>
      <w:rPr>
        <w:rFonts w:cs="Times New Roman"/>
      </w:rPr>
    </w:lvl>
    <w:lvl w:ilvl="4" w:tplc="241A0019">
      <w:start w:val="1"/>
      <w:numFmt w:val="lowerLetter"/>
      <w:lvlText w:val="%5."/>
      <w:lvlJc w:val="left"/>
      <w:pPr>
        <w:ind w:left="3240" w:hanging="360"/>
      </w:pPr>
      <w:rPr>
        <w:rFonts w:cs="Times New Roman"/>
      </w:rPr>
    </w:lvl>
    <w:lvl w:ilvl="5" w:tplc="241A001B">
      <w:start w:val="1"/>
      <w:numFmt w:val="lowerRoman"/>
      <w:lvlText w:val="%6."/>
      <w:lvlJc w:val="right"/>
      <w:pPr>
        <w:ind w:left="3960" w:hanging="180"/>
      </w:pPr>
      <w:rPr>
        <w:rFonts w:cs="Times New Roman"/>
      </w:rPr>
    </w:lvl>
    <w:lvl w:ilvl="6" w:tplc="241A000F">
      <w:start w:val="1"/>
      <w:numFmt w:val="decimal"/>
      <w:lvlText w:val="%7."/>
      <w:lvlJc w:val="left"/>
      <w:pPr>
        <w:ind w:left="4680" w:hanging="360"/>
      </w:pPr>
      <w:rPr>
        <w:rFonts w:cs="Times New Roman"/>
      </w:rPr>
    </w:lvl>
    <w:lvl w:ilvl="7" w:tplc="241A0019">
      <w:start w:val="1"/>
      <w:numFmt w:val="lowerLetter"/>
      <w:lvlText w:val="%8."/>
      <w:lvlJc w:val="left"/>
      <w:pPr>
        <w:ind w:left="5400" w:hanging="360"/>
      </w:pPr>
      <w:rPr>
        <w:rFonts w:cs="Times New Roman"/>
      </w:rPr>
    </w:lvl>
    <w:lvl w:ilvl="8" w:tplc="241A001B">
      <w:start w:val="1"/>
      <w:numFmt w:val="lowerRoman"/>
      <w:lvlText w:val="%9."/>
      <w:lvlJc w:val="right"/>
      <w:pPr>
        <w:ind w:left="6120" w:hanging="180"/>
      </w:pPr>
      <w:rPr>
        <w:rFonts w:cs="Times New Roman"/>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num>
  <w:num w:numId="5">
    <w:abstractNumId w:val="0"/>
    <w:lvlOverride w:ilvl="0">
      <w:startOverride w:val="1"/>
    </w:lvlOverride>
    <w:lvlOverride w:ilvl="1">
      <w:startOverride w:val="1"/>
    </w:lvlOverride>
  </w:num>
  <w:num w:numId="6">
    <w:abstractNumId w:val="0"/>
    <w:lvlOverride w:ilvl="0">
      <w:startOverride w:val="1"/>
    </w:lvlOverride>
    <w:lvlOverride w:ilvl="1">
      <w:startOverride w:val="1"/>
    </w:lvlOverride>
  </w:num>
  <w:num w:numId="7">
    <w:abstractNumId w:val="0"/>
    <w:lvlOverride w:ilvl="0">
      <w:startOverride w:val="1"/>
    </w:lvlOverride>
    <w:lvlOverride w:ilvl="1">
      <w:startOverride w:val="1"/>
    </w:lvlOverride>
  </w:num>
  <w:num w:numId="8">
    <w:abstractNumId w:val="0"/>
    <w:lvlOverride w:ilvl="0">
      <w:startOverride w:val="1"/>
    </w:lvlOverride>
    <w:lvlOverride w:ilvl="1">
      <w:startOverride w:val="1"/>
    </w:lvlOverride>
  </w:num>
  <w:num w:numId="9">
    <w:abstractNumId w:val="0"/>
    <w:lvlOverride w:ilvl="0">
      <w:startOverride w:val="1"/>
    </w:lvlOverride>
    <w:lvlOverride w:ilvl="1">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42A"/>
    <w:rsid w:val="000044DA"/>
    <w:rsid w:val="000549F4"/>
    <w:rsid w:val="00065D64"/>
    <w:rsid w:val="000A21AA"/>
    <w:rsid w:val="000A25AF"/>
    <w:rsid w:val="000E7925"/>
    <w:rsid w:val="001052B4"/>
    <w:rsid w:val="00196CC4"/>
    <w:rsid w:val="001A3133"/>
    <w:rsid w:val="001B61F4"/>
    <w:rsid w:val="00237460"/>
    <w:rsid w:val="0025042A"/>
    <w:rsid w:val="00256AEE"/>
    <w:rsid w:val="00274164"/>
    <w:rsid w:val="0028689A"/>
    <w:rsid w:val="00290461"/>
    <w:rsid w:val="002D15B0"/>
    <w:rsid w:val="00300BB6"/>
    <w:rsid w:val="003025F1"/>
    <w:rsid w:val="00303A0A"/>
    <w:rsid w:val="00303EB6"/>
    <w:rsid w:val="00305D41"/>
    <w:rsid w:val="00316F74"/>
    <w:rsid w:val="00323B15"/>
    <w:rsid w:val="003653FE"/>
    <w:rsid w:val="003B1EAA"/>
    <w:rsid w:val="003B6C0E"/>
    <w:rsid w:val="003C5B0E"/>
    <w:rsid w:val="003E69B2"/>
    <w:rsid w:val="003F42D6"/>
    <w:rsid w:val="00446A78"/>
    <w:rsid w:val="004516C8"/>
    <w:rsid w:val="004A69F4"/>
    <w:rsid w:val="004C13EA"/>
    <w:rsid w:val="004D405B"/>
    <w:rsid w:val="004E0AB1"/>
    <w:rsid w:val="004E460E"/>
    <w:rsid w:val="004F4A3D"/>
    <w:rsid w:val="005A0423"/>
    <w:rsid w:val="005D0DEF"/>
    <w:rsid w:val="005E56E7"/>
    <w:rsid w:val="006509E0"/>
    <w:rsid w:val="00663F22"/>
    <w:rsid w:val="006837FF"/>
    <w:rsid w:val="006F6B7A"/>
    <w:rsid w:val="00704364"/>
    <w:rsid w:val="00706035"/>
    <w:rsid w:val="00730E8E"/>
    <w:rsid w:val="007A2084"/>
    <w:rsid w:val="00811CA4"/>
    <w:rsid w:val="00822BC2"/>
    <w:rsid w:val="008860ED"/>
    <w:rsid w:val="008A7382"/>
    <w:rsid w:val="008D742B"/>
    <w:rsid w:val="00924909"/>
    <w:rsid w:val="0094618F"/>
    <w:rsid w:val="00990E29"/>
    <w:rsid w:val="009C3C2F"/>
    <w:rsid w:val="009D0DFE"/>
    <w:rsid w:val="009E28D0"/>
    <w:rsid w:val="009E42D6"/>
    <w:rsid w:val="00A0690C"/>
    <w:rsid w:val="00A409C1"/>
    <w:rsid w:val="00A43A6D"/>
    <w:rsid w:val="00A82ABA"/>
    <w:rsid w:val="00A87190"/>
    <w:rsid w:val="00AA0F0C"/>
    <w:rsid w:val="00AB2EBD"/>
    <w:rsid w:val="00AD76ED"/>
    <w:rsid w:val="00AE7DAE"/>
    <w:rsid w:val="00B116F6"/>
    <w:rsid w:val="00B31A3B"/>
    <w:rsid w:val="00B472F5"/>
    <w:rsid w:val="00B56C36"/>
    <w:rsid w:val="00B706CF"/>
    <w:rsid w:val="00B77A1B"/>
    <w:rsid w:val="00BB3067"/>
    <w:rsid w:val="00BD6C5D"/>
    <w:rsid w:val="00C32699"/>
    <w:rsid w:val="00C76DE6"/>
    <w:rsid w:val="00C857C4"/>
    <w:rsid w:val="00CA1FFA"/>
    <w:rsid w:val="00CC6EB1"/>
    <w:rsid w:val="00CD0A92"/>
    <w:rsid w:val="00CD4376"/>
    <w:rsid w:val="00CE6336"/>
    <w:rsid w:val="00D57C34"/>
    <w:rsid w:val="00D63BB8"/>
    <w:rsid w:val="00D63E6F"/>
    <w:rsid w:val="00D75C7E"/>
    <w:rsid w:val="00D94903"/>
    <w:rsid w:val="00D97225"/>
    <w:rsid w:val="00DA2F68"/>
    <w:rsid w:val="00DE1E76"/>
    <w:rsid w:val="00E12DE6"/>
    <w:rsid w:val="00E5573F"/>
    <w:rsid w:val="00E605F6"/>
    <w:rsid w:val="00E61DDC"/>
    <w:rsid w:val="00E711EC"/>
    <w:rsid w:val="00E853A6"/>
    <w:rsid w:val="00E96330"/>
    <w:rsid w:val="00EA14D7"/>
    <w:rsid w:val="00EB685C"/>
    <w:rsid w:val="00EE0AE4"/>
    <w:rsid w:val="00EE6CC6"/>
    <w:rsid w:val="00EF5589"/>
    <w:rsid w:val="00F35990"/>
    <w:rsid w:val="00F62AE2"/>
    <w:rsid w:val="00F63423"/>
    <w:rsid w:val="00F94624"/>
    <w:rsid w:val="00FF1D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hAnsi="Arial" w:cs="Arial"/>
    </w:rPr>
  </w:style>
  <w:style w:type="paragraph" w:styleId="Heading2">
    <w:name w:val="heading 2"/>
    <w:basedOn w:val="Normal"/>
    <w:next w:val="Normal"/>
    <w:link w:val="Heading2Char"/>
    <w:uiPriority w:val="99"/>
    <w:qFormat/>
    <w:rsid w:val="00256AEE"/>
    <w:pPr>
      <w:keepNext/>
      <w:spacing w:before="240" w:after="120" w:line="276" w:lineRule="auto"/>
      <w:jc w:val="center"/>
      <w:outlineLvl w:val="1"/>
    </w:pPr>
    <w:rPr>
      <w:rFonts w:cs="Times New Roman"/>
      <w:b/>
      <w:bCs/>
      <w:sz w:val="24"/>
      <w:szCs w:val="24"/>
      <w:lang w:eastAsia="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56AEE"/>
    <w:rPr>
      <w:rFonts w:ascii="Arial" w:eastAsia="Times New Roman" w:hAnsi="Arial"/>
      <w:b/>
      <w:sz w:val="24"/>
      <w:lang w:eastAsia="sr-Latn-CS"/>
    </w:rPr>
  </w:style>
  <w:style w:type="character" w:customStyle="1" w:styleId="hps">
    <w:name w:val="hps"/>
    <w:basedOn w:val="DefaultParagraphFont"/>
    <w:uiPriority w:val="99"/>
    <w:rsid w:val="0025042A"/>
    <w:rPr>
      <w:rFonts w:cs="Times New Roman"/>
    </w:rPr>
  </w:style>
  <w:style w:type="paragraph" w:styleId="BalloonText">
    <w:name w:val="Balloon Text"/>
    <w:basedOn w:val="Normal"/>
    <w:link w:val="BalloonTextChar"/>
    <w:uiPriority w:val="99"/>
    <w:rsid w:val="0025042A"/>
    <w:rPr>
      <w:rFonts w:ascii="Tahoma" w:hAnsi="Tahoma" w:cs="Times New Roman"/>
      <w:sz w:val="16"/>
      <w:szCs w:val="16"/>
      <w:lang w:eastAsia="sr-Latn-CS"/>
    </w:rPr>
  </w:style>
  <w:style w:type="character" w:customStyle="1" w:styleId="BalloonTextChar">
    <w:name w:val="Balloon Text Char"/>
    <w:basedOn w:val="DefaultParagraphFont"/>
    <w:link w:val="BalloonText"/>
    <w:uiPriority w:val="99"/>
    <w:locked/>
    <w:rsid w:val="0025042A"/>
    <w:rPr>
      <w:rFonts w:ascii="Tahoma" w:eastAsia="Times New Roman" w:hAnsi="Tahoma"/>
      <w:sz w:val="16"/>
    </w:rPr>
  </w:style>
  <w:style w:type="paragraph" w:styleId="FootnoteText">
    <w:name w:val="footnote text"/>
    <w:basedOn w:val="Normal"/>
    <w:link w:val="FootnoteTextChar"/>
    <w:uiPriority w:val="99"/>
    <w:semiHidden/>
    <w:rsid w:val="003025F1"/>
    <w:rPr>
      <w:sz w:val="20"/>
      <w:szCs w:val="20"/>
    </w:rPr>
  </w:style>
  <w:style w:type="character" w:customStyle="1" w:styleId="FootnoteTextChar">
    <w:name w:val="Footnote Text Char"/>
    <w:basedOn w:val="DefaultParagraphFont"/>
    <w:link w:val="FootnoteText"/>
    <w:uiPriority w:val="99"/>
    <w:semiHidden/>
    <w:rsid w:val="00916AD6"/>
    <w:rPr>
      <w:rFonts w:ascii="Arial" w:hAnsi="Arial" w:cs="Arial"/>
      <w:sz w:val="20"/>
      <w:szCs w:val="20"/>
    </w:rPr>
  </w:style>
  <w:style w:type="character" w:styleId="FootnoteReference">
    <w:name w:val="footnote reference"/>
    <w:basedOn w:val="DefaultParagraphFont"/>
    <w:uiPriority w:val="99"/>
    <w:semiHidden/>
    <w:rsid w:val="003025F1"/>
    <w:rPr>
      <w:rFonts w:cs="Times New Roman"/>
      <w:vertAlign w:val="superscript"/>
    </w:rPr>
  </w:style>
  <w:style w:type="paragraph" w:styleId="NoSpacing">
    <w:name w:val="No Spacing"/>
    <w:uiPriority w:val="99"/>
    <w:qFormat/>
    <w:rsid w:val="00924909"/>
    <w:rPr>
      <w:rFonts w:ascii="Arial" w:hAnsi="Arial" w:cs="Arial"/>
    </w:rPr>
  </w:style>
  <w:style w:type="paragraph" w:customStyle="1" w:styleId="Stav">
    <w:name w:val="Stav"/>
    <w:basedOn w:val="Normal"/>
    <w:uiPriority w:val="99"/>
    <w:rsid w:val="00924909"/>
    <w:pPr>
      <w:numPr>
        <w:numId w:val="1"/>
      </w:numPr>
      <w:spacing w:line="276" w:lineRule="auto"/>
      <w:jc w:val="both"/>
    </w:pPr>
    <w:rPr>
      <w:sz w:val="20"/>
      <w:szCs w:val="20"/>
      <w:lang w:eastAsia="sr-Latn-CS"/>
    </w:rPr>
  </w:style>
  <w:style w:type="paragraph" w:customStyle="1" w:styleId="Tacka">
    <w:name w:val="Tacka"/>
    <w:basedOn w:val="Normal"/>
    <w:uiPriority w:val="99"/>
    <w:rsid w:val="00924909"/>
    <w:pPr>
      <w:numPr>
        <w:ilvl w:val="1"/>
        <w:numId w:val="1"/>
      </w:numPr>
      <w:spacing w:line="276" w:lineRule="auto"/>
      <w:jc w:val="both"/>
    </w:pPr>
    <w:rPr>
      <w:sz w:val="20"/>
      <w:szCs w:val="20"/>
      <w:lang w:eastAsia="sr-Latn-CS"/>
    </w:rPr>
  </w:style>
  <w:style w:type="paragraph" w:customStyle="1" w:styleId="Alineja">
    <w:name w:val="Alineja"/>
    <w:basedOn w:val="Normal"/>
    <w:uiPriority w:val="99"/>
    <w:rsid w:val="00924909"/>
    <w:pPr>
      <w:numPr>
        <w:ilvl w:val="3"/>
        <w:numId w:val="1"/>
      </w:numPr>
      <w:spacing w:line="276" w:lineRule="auto"/>
      <w:jc w:val="both"/>
    </w:pPr>
    <w:rPr>
      <w:sz w:val="20"/>
      <w:szCs w:val="20"/>
      <w:lang w:eastAsia="sr-Latn-CS"/>
    </w:rPr>
  </w:style>
  <w:style w:type="paragraph" w:customStyle="1" w:styleId="Podtacka">
    <w:name w:val="Podtacka"/>
    <w:basedOn w:val="Alineja"/>
    <w:uiPriority w:val="99"/>
    <w:rsid w:val="00924909"/>
    <w:pPr>
      <w:numPr>
        <w:ilvl w:val="2"/>
      </w:numPr>
    </w:pPr>
  </w:style>
  <w:style w:type="paragraph" w:customStyle="1" w:styleId="CM4">
    <w:name w:val="CM4"/>
    <w:basedOn w:val="Normal"/>
    <w:next w:val="Normal"/>
    <w:uiPriority w:val="99"/>
    <w:rsid w:val="00924909"/>
    <w:pPr>
      <w:autoSpaceDE w:val="0"/>
      <w:autoSpaceDN w:val="0"/>
      <w:adjustRightInd w:val="0"/>
    </w:pPr>
    <w:rPr>
      <w:rFonts w:ascii="Times New Roman" w:hAnsi="Times New Roman" w:cs="Times New Roman"/>
      <w:sz w:val="24"/>
      <w:szCs w:val="24"/>
    </w:rPr>
  </w:style>
  <w:style w:type="character" w:styleId="Hyperlink">
    <w:name w:val="Hyperlink"/>
    <w:basedOn w:val="DefaultParagraphFont"/>
    <w:uiPriority w:val="99"/>
    <w:rsid w:val="00CE6336"/>
    <w:rPr>
      <w:rFonts w:cs="Times New Roman"/>
      <w:color w:val="0000FF"/>
      <w:u w:val="single"/>
    </w:rPr>
  </w:style>
  <w:style w:type="character" w:customStyle="1" w:styleId="apple-converted-space">
    <w:name w:val="apple-converted-space"/>
    <w:basedOn w:val="DefaultParagraphFont"/>
    <w:uiPriority w:val="99"/>
    <w:rsid w:val="00CE6336"/>
    <w:rPr>
      <w:rFonts w:cs="Times New Roman"/>
    </w:rPr>
  </w:style>
  <w:style w:type="character" w:styleId="CommentReference">
    <w:name w:val="annotation reference"/>
    <w:basedOn w:val="DefaultParagraphFont"/>
    <w:uiPriority w:val="99"/>
    <w:rsid w:val="00CE6336"/>
    <w:rPr>
      <w:rFonts w:cs="Times New Roman"/>
      <w:sz w:val="16"/>
      <w:szCs w:val="16"/>
    </w:rPr>
  </w:style>
  <w:style w:type="paragraph" w:styleId="CommentText">
    <w:name w:val="annotation text"/>
    <w:basedOn w:val="Normal"/>
    <w:link w:val="CommentTextChar"/>
    <w:uiPriority w:val="99"/>
    <w:rsid w:val="00CE6336"/>
    <w:rPr>
      <w:sz w:val="20"/>
      <w:szCs w:val="20"/>
    </w:rPr>
  </w:style>
  <w:style w:type="character" w:customStyle="1" w:styleId="CommentTextChar">
    <w:name w:val="Comment Text Char"/>
    <w:basedOn w:val="DefaultParagraphFont"/>
    <w:link w:val="CommentText"/>
    <w:uiPriority w:val="99"/>
    <w:locked/>
    <w:rsid w:val="00CE6336"/>
    <w:rPr>
      <w:rFonts w:ascii="Arial" w:eastAsia="Times New Roman" w:hAnsi="Arial" w:cs="Arial"/>
    </w:rPr>
  </w:style>
  <w:style w:type="paragraph" w:styleId="CommentSubject">
    <w:name w:val="annotation subject"/>
    <w:basedOn w:val="CommentText"/>
    <w:next w:val="CommentText"/>
    <w:link w:val="CommentSubjectChar"/>
    <w:uiPriority w:val="99"/>
    <w:rsid w:val="00CE6336"/>
    <w:rPr>
      <w:b/>
      <w:bCs/>
    </w:rPr>
  </w:style>
  <w:style w:type="character" w:customStyle="1" w:styleId="CommentSubjectChar">
    <w:name w:val="Comment Subject Char"/>
    <w:basedOn w:val="CommentTextChar"/>
    <w:link w:val="CommentSubject"/>
    <w:uiPriority w:val="99"/>
    <w:locked/>
    <w:rsid w:val="00CE6336"/>
    <w:rPr>
      <w:b/>
      <w:bCs/>
    </w:rPr>
  </w:style>
  <w:style w:type="paragraph" w:styleId="Header">
    <w:name w:val="header"/>
    <w:basedOn w:val="Normal"/>
    <w:link w:val="HeaderChar"/>
    <w:uiPriority w:val="99"/>
    <w:rsid w:val="009C3C2F"/>
    <w:pPr>
      <w:tabs>
        <w:tab w:val="center" w:pos="4535"/>
        <w:tab w:val="right" w:pos="9071"/>
      </w:tabs>
    </w:pPr>
  </w:style>
  <w:style w:type="character" w:customStyle="1" w:styleId="HeaderChar">
    <w:name w:val="Header Char"/>
    <w:basedOn w:val="DefaultParagraphFont"/>
    <w:link w:val="Header"/>
    <w:uiPriority w:val="99"/>
    <w:semiHidden/>
    <w:rsid w:val="00916AD6"/>
    <w:rPr>
      <w:rFonts w:ascii="Arial" w:hAnsi="Arial" w:cs="Arial"/>
    </w:rPr>
  </w:style>
  <w:style w:type="paragraph" w:styleId="Footer">
    <w:name w:val="footer"/>
    <w:basedOn w:val="Normal"/>
    <w:link w:val="FooterChar"/>
    <w:uiPriority w:val="99"/>
    <w:rsid w:val="009C3C2F"/>
    <w:pPr>
      <w:tabs>
        <w:tab w:val="center" w:pos="4535"/>
        <w:tab w:val="right" w:pos="9071"/>
      </w:tabs>
    </w:pPr>
  </w:style>
  <w:style w:type="character" w:customStyle="1" w:styleId="FooterChar">
    <w:name w:val="Footer Char"/>
    <w:basedOn w:val="DefaultParagraphFont"/>
    <w:link w:val="Footer"/>
    <w:uiPriority w:val="99"/>
    <w:semiHidden/>
    <w:rsid w:val="00916AD6"/>
    <w:rPr>
      <w:rFonts w:ascii="Arial" w:hAnsi="Arial" w:cs="Arial"/>
    </w:rPr>
  </w:style>
  <w:style w:type="character" w:styleId="PageNumber">
    <w:name w:val="page number"/>
    <w:basedOn w:val="DefaultParagraphFont"/>
    <w:uiPriority w:val="99"/>
    <w:rsid w:val="009C3C2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13</Pages>
  <Words>4464</Words>
  <Characters>25447</Characters>
  <Application>Microsoft Office Outlook</Application>
  <DocSecurity>0</DocSecurity>
  <Lines>0</Lines>
  <Paragraphs>0</Paragraphs>
  <ScaleCrop>false</ScaleCrop>
  <Company>KEI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daktilo05</cp:lastModifiedBy>
  <cp:revision>3</cp:revision>
  <dcterms:created xsi:type="dcterms:W3CDTF">2015-11-13T08:29:00Z</dcterms:created>
  <dcterms:modified xsi:type="dcterms:W3CDTF">2015-11-13T09:01:00Z</dcterms:modified>
</cp:coreProperties>
</file>