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4C" w:rsidRPr="007E73B9" w:rsidRDefault="00531C4C" w:rsidP="00531C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1C4C" w:rsidRPr="009C761B" w:rsidRDefault="00531C4C" w:rsidP="00354EC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761B">
        <w:rPr>
          <w:rFonts w:ascii="Times New Roman" w:hAnsi="Times New Roman" w:cs="Times New Roman"/>
          <w:sz w:val="24"/>
          <w:szCs w:val="24"/>
          <w:lang w:val="sr-Cyrl-CS"/>
        </w:rPr>
        <w:t>На основу 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10.</w:t>
      </w:r>
      <w:r w:rsidR="00A21368">
        <w:rPr>
          <w:rFonts w:ascii="Times New Roman" w:hAnsi="Times New Roman" w:cs="Times New Roman"/>
          <w:sz w:val="24"/>
          <w:szCs w:val="24"/>
        </w:rPr>
        <w:t xml:space="preserve"> </w:t>
      </w:r>
      <w:r w:rsidR="00A21368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21368">
        <w:rPr>
          <w:rFonts w:ascii="Times New Roman" w:hAnsi="Times New Roman" w:cs="Times New Roman"/>
          <w:sz w:val="24"/>
          <w:szCs w:val="24"/>
        </w:rPr>
        <w:t xml:space="preserve">тав </w:t>
      </w:r>
      <w:r w:rsidR="00A21368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Pr="009C761B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</w:t>
      </w:r>
      <w:r w:rsidR="00DA3A19">
        <w:rPr>
          <w:rFonts w:ascii="Times New Roman" w:hAnsi="Times New Roman" w:cs="Times New Roman"/>
          <w:sz w:val="24"/>
          <w:szCs w:val="24"/>
          <w:lang w:val="sr-Cyrl-CS"/>
        </w:rPr>
        <w:t>Ф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онду за развој Републике Србије </w:t>
      </w:r>
      <w:r w:rsidRPr="009C761B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РСˮ</w:t>
      </w:r>
      <w:r>
        <w:rPr>
          <w:rFonts w:ascii="Times New Roman" w:hAnsi="Times New Roman" w:cs="Times New Roman"/>
          <w:sz w:val="24"/>
          <w:szCs w:val="24"/>
          <w:lang w:val="sr-Cyrl-CS"/>
        </w:rPr>
        <w:t>, бр.</w:t>
      </w:r>
      <w:r w:rsidR="00354E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36/09</w:t>
      </w:r>
      <w:r w:rsidR="009E563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88/10</w:t>
      </w:r>
      <w:r w:rsidR="009E563B">
        <w:rPr>
          <w:rFonts w:ascii="Times New Roman" w:hAnsi="Times New Roman" w:cs="Times New Roman"/>
          <w:sz w:val="24"/>
          <w:szCs w:val="24"/>
          <w:lang w:val="sr-Cyrl-CS"/>
        </w:rPr>
        <w:t xml:space="preserve"> и 119/12</w:t>
      </w:r>
      <w:r>
        <w:rPr>
          <w:rFonts w:ascii="Times New Roman" w:hAnsi="Times New Roman" w:cs="Times New Roman"/>
          <w:sz w:val="24"/>
          <w:szCs w:val="24"/>
          <w:lang w:val="sr-Cyrl-CS"/>
        </w:rPr>
        <w:t>) и члана 42. с</w:t>
      </w:r>
      <w:r w:rsidRPr="009C761B">
        <w:rPr>
          <w:rFonts w:ascii="Times New Roman" w:hAnsi="Times New Roman" w:cs="Times New Roman"/>
          <w:sz w:val="24"/>
          <w:szCs w:val="24"/>
          <w:lang w:val="sr-Cyrl-CS"/>
        </w:rPr>
        <w:t xml:space="preserve">тав 1. Закона о Влади („Службени гласник РСˮ, бр. 55/05, </w:t>
      </w:r>
      <w:r w:rsidR="0083355E">
        <w:rPr>
          <w:rFonts w:ascii="Times New Roman" w:hAnsi="Times New Roman" w:cs="Times New Roman"/>
          <w:sz w:val="24"/>
          <w:szCs w:val="24"/>
          <w:lang w:val="sr-Cyrl-CS"/>
        </w:rPr>
        <w:t xml:space="preserve">71/05-исправка, 101/07, 65/08, </w:t>
      </w:r>
      <w:r w:rsidRPr="009C761B">
        <w:rPr>
          <w:rFonts w:ascii="Times New Roman" w:hAnsi="Times New Roman" w:cs="Times New Roman"/>
          <w:sz w:val="24"/>
          <w:szCs w:val="24"/>
          <w:lang w:val="sr-Cyrl-CS"/>
        </w:rPr>
        <w:t>16/11</w:t>
      </w:r>
      <w:r w:rsidR="0083355E">
        <w:rPr>
          <w:rFonts w:ascii="Times New Roman" w:hAnsi="Times New Roman" w:cs="Times New Roman"/>
          <w:sz w:val="24"/>
          <w:szCs w:val="24"/>
          <w:lang w:val="sr-Cyrl-CS"/>
        </w:rPr>
        <w:t>, 68/12-УС и 72/12</w:t>
      </w:r>
      <w:r w:rsidRPr="009C761B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531C4C" w:rsidRDefault="00531C4C" w:rsidP="00531C4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761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531C4C" w:rsidRDefault="00531C4C" w:rsidP="00531C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Р Е Д Б У</w:t>
      </w:r>
    </w:p>
    <w:p w:rsidR="00531C4C" w:rsidRPr="005031EC" w:rsidRDefault="00531C4C" w:rsidP="0017602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O УСЛОВИМА ЗА ПОДСТИЦАЈ И РАЗВОЈ </w:t>
      </w:r>
      <w:r w:rsidR="00660879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ПРИВРЕДНИХ ДРУШТАВА  </w:t>
      </w:r>
      <w:r>
        <w:rPr>
          <w:rFonts w:ascii="Times New Roman" w:hAnsi="Times New Roman" w:cs="Times New Roman"/>
          <w:sz w:val="24"/>
          <w:szCs w:val="24"/>
        </w:rPr>
        <w:t>И ПРЕДУЗЕТНИШТВА У</w:t>
      </w:r>
      <w:r w:rsidR="004D32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758D">
        <w:rPr>
          <w:rFonts w:ascii="Times New Roman" w:hAnsi="Times New Roman" w:cs="Times New Roman"/>
          <w:sz w:val="24"/>
          <w:szCs w:val="24"/>
        </w:rPr>
        <w:t xml:space="preserve">НЕДОВОЉНО РАЗВИЈЕНИМ </w:t>
      </w:r>
      <w:r w:rsidR="004D32E6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ЈЕДИНИЦАМА ЛОКАЛНЕ САМОУПРАВЕ </w:t>
      </w:r>
      <w:r w:rsidR="004D32E6">
        <w:rPr>
          <w:rFonts w:ascii="Times New Roman" w:hAnsi="Times New Roman" w:cs="Times New Roman"/>
          <w:sz w:val="24"/>
          <w:szCs w:val="24"/>
        </w:rPr>
        <w:t xml:space="preserve"> </w:t>
      </w:r>
      <w:r w:rsidR="008F1D61">
        <w:rPr>
          <w:rFonts w:ascii="Times New Roman" w:hAnsi="Times New Roman" w:cs="Times New Roman"/>
          <w:sz w:val="24"/>
          <w:szCs w:val="24"/>
          <w:lang w:val="sr-Cyrl-CS"/>
        </w:rPr>
        <w:t>У 201</w:t>
      </w:r>
      <w:r w:rsidR="00D27D57">
        <w:rPr>
          <w:rFonts w:ascii="Times New Roman" w:hAnsi="Times New Roman" w:cs="Times New Roman"/>
          <w:sz w:val="24"/>
          <w:szCs w:val="24"/>
        </w:rPr>
        <w:t>3</w:t>
      </w:r>
      <w:r w:rsidR="008F1D61">
        <w:rPr>
          <w:rFonts w:ascii="Times New Roman" w:hAnsi="Times New Roman" w:cs="Times New Roman"/>
          <w:sz w:val="24"/>
          <w:szCs w:val="24"/>
          <w:lang w:val="sr-Cyrl-CS"/>
        </w:rPr>
        <w:t>. ГОДИНИ</w:t>
      </w:r>
    </w:p>
    <w:p w:rsidR="00531C4C" w:rsidRPr="00140CE9" w:rsidRDefault="00531C4C" w:rsidP="001760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hAnsi="Times New Roman" w:cs="Times New Roman"/>
          <w:sz w:val="24"/>
          <w:szCs w:val="24"/>
          <w:lang w:val="ru-RU"/>
        </w:rPr>
        <w:t>Члан 1.</w:t>
      </w:r>
    </w:p>
    <w:p w:rsidR="001B258D" w:rsidRPr="005031EC" w:rsidRDefault="00531C4C" w:rsidP="001B258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140CE9">
        <w:rPr>
          <w:rFonts w:ascii="Times New Roman" w:hAnsi="Times New Roman" w:cs="Times New Roman"/>
          <w:sz w:val="24"/>
          <w:szCs w:val="24"/>
          <w:lang w:val="ru-RU"/>
        </w:rPr>
        <w:t>Овом уредб</w:t>
      </w:r>
      <w:r w:rsidR="00D27D57">
        <w:rPr>
          <w:rFonts w:ascii="Times New Roman" w:hAnsi="Times New Roman" w:cs="Times New Roman"/>
          <w:sz w:val="24"/>
          <w:szCs w:val="24"/>
          <w:lang w:val="ru-RU"/>
        </w:rPr>
        <w:t>ом уређују се услови и начин</w:t>
      </w:r>
      <w:r w:rsidR="00660879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D27D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>подстицај и развој</w:t>
      </w:r>
      <w:r w:rsidR="001B258D">
        <w:rPr>
          <w:rFonts w:ascii="Times New Roman" w:hAnsi="Times New Roman" w:cs="Times New Roman"/>
          <w:sz w:val="24"/>
          <w:szCs w:val="24"/>
          <w:lang w:val="ru-RU"/>
        </w:rPr>
        <w:t xml:space="preserve"> привредних друштава и предузетника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70F2" w:rsidRPr="004D32E6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4D32E6" w:rsidRPr="004D32E6">
        <w:rPr>
          <w:rFonts w:ascii="Times New Roman" w:hAnsi="Times New Roman" w:cs="Times New Roman"/>
          <w:sz w:val="24"/>
          <w:szCs w:val="24"/>
          <w:lang w:val="ru-RU"/>
        </w:rPr>
        <w:t>недовољно развијеним јединицама</w:t>
      </w:r>
      <w:r w:rsidR="0023758D" w:rsidRPr="004D32E6">
        <w:rPr>
          <w:rFonts w:ascii="Times New Roman" w:hAnsi="Times New Roman" w:cs="Times New Roman"/>
          <w:sz w:val="24"/>
          <w:szCs w:val="24"/>
          <w:lang w:val="ru-RU"/>
        </w:rPr>
        <w:t xml:space="preserve"> локалне самоуправе</w:t>
      </w:r>
      <w:r w:rsidR="001B258D">
        <w:rPr>
          <w:rFonts w:ascii="Times New Roman" w:hAnsi="Times New Roman" w:cs="Times New Roman"/>
          <w:sz w:val="24"/>
          <w:szCs w:val="24"/>
          <w:lang w:val="ru-RU"/>
        </w:rPr>
        <w:t>, који су регистровани у</w:t>
      </w:r>
      <w:r w:rsidR="001B258D" w:rsidRPr="001B258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складу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са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законом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којим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се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уређује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942CF9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поступак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регистрациј</w:t>
      </w:r>
      <w:r w:rsidR="00942CF9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е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привредних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660879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друштава и предузетника у Агенцији за привредне регистре 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>(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у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даљем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тексту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корисници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B258D"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кредита</w:t>
      </w:r>
      <w:r w:rsidR="001B258D"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). </w:t>
      </w:r>
    </w:p>
    <w:p w:rsidR="00531C4C" w:rsidRPr="005031EC" w:rsidRDefault="00531C4C" w:rsidP="0017602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Циљ улагања је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подстицање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равномерног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регионалног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развоја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пословања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привредних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субјеката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конкурентности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и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ликвидности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привреде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и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запошљавања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201</w:t>
      </w:r>
      <w:r w:rsidR="00D27D57">
        <w:rPr>
          <w:rFonts w:ascii="Times New Roman" w:eastAsia="Times New Roman" w:hAnsi="Times New Roman" w:cs="Times New Roman"/>
          <w:sz w:val="24"/>
          <w:szCs w:val="24"/>
          <w:lang w:eastAsia="en-GB"/>
        </w:rPr>
        <w:t>3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години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у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даљем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тексту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r w:rsidRPr="005031EC">
        <w:rPr>
          <w:rFonts w:ascii="Times New Roman" w:eastAsia="Times New Roman" w:hAnsi="Times New Roman" w:cs="Times New Roman"/>
          <w:sz w:val="24"/>
          <w:szCs w:val="24"/>
          <w:lang w:eastAsia="en-GB"/>
        </w:rPr>
        <w:t>кредити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>)</w:t>
      </w:r>
      <w:r w:rsidR="001B258D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. </w:t>
      </w:r>
    </w:p>
    <w:p w:rsidR="00531C4C" w:rsidRPr="00140CE9" w:rsidRDefault="00531C4C" w:rsidP="0017602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Члан 2.</w:t>
      </w:r>
    </w:p>
    <w:p w:rsidR="00CC110D" w:rsidRDefault="00531C4C" w:rsidP="00CC110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износу од </w:t>
      </w:r>
      <w:r w:rsidR="00D27D57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D27D57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00.000.000,00 динара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намене из члана 1. ове уредбе обезбеђују се из </w:t>
      </w:r>
      <w:r w:rsidR="001760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средстава Фонда за развој Републике Србије </w:t>
      </w:r>
      <w:r w:rsidR="0017602E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(у даљем тексту: Фонд)</w:t>
      </w:r>
      <w:r w:rsidR="009913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која нису пласирана у прет</w:t>
      </w:r>
      <w:r w:rsidR="001760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ходним годинама, а која су враћена по основу 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одобрених кредита</w:t>
      </w:r>
      <w:r w:rsidR="00587278">
        <w:rPr>
          <w:rFonts w:ascii="Times New Roman" w:eastAsia="Times New Roman" w:hAnsi="Times New Roman" w:cs="Times New Roman"/>
          <w:sz w:val="24"/>
          <w:szCs w:val="24"/>
        </w:rPr>
        <w:t xml:space="preserve"> по раније важећим уредбама</w:t>
      </w:r>
      <w:r w:rsidR="0058727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C2A8F">
        <w:rPr>
          <w:rFonts w:ascii="Times New Roman" w:eastAsia="Times New Roman" w:hAnsi="Times New Roman" w:cs="Times New Roman"/>
          <w:sz w:val="24"/>
          <w:szCs w:val="24"/>
        </w:rPr>
        <w:t xml:space="preserve">за подстицај и развој предузећа и предузетништва и </w:t>
      </w:r>
      <w:r w:rsidR="00D81E9D">
        <w:rPr>
          <w:rFonts w:ascii="Times New Roman" w:eastAsia="Times New Roman" w:hAnsi="Times New Roman" w:cs="Times New Roman"/>
          <w:sz w:val="24"/>
          <w:szCs w:val="24"/>
          <w:lang w:val="ru-RU"/>
        </w:rPr>
        <w:t>које Фонд пласира у 201</w:t>
      </w:r>
      <w:r w:rsidR="00D27D57">
        <w:rPr>
          <w:rFonts w:ascii="Times New Roman" w:eastAsia="Times New Roman" w:hAnsi="Times New Roman" w:cs="Times New Roman"/>
          <w:sz w:val="24"/>
          <w:szCs w:val="24"/>
        </w:rPr>
        <w:t>3</w:t>
      </w:r>
      <w:r w:rsidR="00D81E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години на основу </w:t>
      </w:r>
      <w:r w:rsidR="0017602E">
        <w:rPr>
          <w:rFonts w:ascii="Times New Roman" w:eastAsia="Times New Roman" w:hAnsi="Times New Roman" w:cs="Times New Roman"/>
          <w:sz w:val="24"/>
          <w:szCs w:val="24"/>
          <w:lang w:val="ru-RU"/>
        </w:rPr>
        <w:t>акта Владе</w:t>
      </w:r>
      <w:r w:rsidR="00D81E9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31C4C" w:rsidRDefault="00531C4C" w:rsidP="00CC110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Међусобни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односи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између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Министарства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регионалног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развоја</w:t>
      </w:r>
      <w:r w:rsidR="00C32E2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локалне самоуправе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(у даљем тексту: Министарство)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и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Фонда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уређују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се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уговором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о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CF6AF1">
        <w:rPr>
          <w:rFonts w:ascii="Times New Roman" w:eastAsia="Times New Roman" w:hAnsi="Times New Roman" w:cs="Times New Roman"/>
          <w:sz w:val="24"/>
          <w:szCs w:val="24"/>
          <w:lang w:eastAsia="en-GB"/>
        </w:rPr>
        <w:t>комисиону</w:t>
      </w:r>
      <w:r w:rsidRPr="005158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</w:p>
    <w:p w:rsidR="00CC110D" w:rsidRPr="00CC110D" w:rsidRDefault="00CC110D" w:rsidP="00CC110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31C4C" w:rsidRPr="00140CE9" w:rsidRDefault="00531C4C" w:rsidP="0017602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Члан 3.</w:t>
      </w:r>
    </w:p>
    <w:p w:rsidR="00942CF9" w:rsidRDefault="00531C4C" w:rsidP="001B258D">
      <w:pPr>
        <w:tabs>
          <w:tab w:val="left" w:pos="836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Средства за намене из члана 1. </w:t>
      </w:r>
      <w:r w:rsidR="00354ECC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ове уредбе 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могу се користити за: изградњу нових објеката; проширење капацитета постојећих објеката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реконструкцију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адаптацију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; набавку опреме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кредите за трајна обртна средства за пројекте у неразвијеним </w:t>
      </w:r>
      <w:r w:rsidR="00BB177F">
        <w:rPr>
          <w:rFonts w:ascii="Times New Roman" w:hAnsi="Times New Roman" w:cs="Times New Roman"/>
          <w:sz w:val="24"/>
          <w:szCs w:val="24"/>
          <w:lang w:val="ru-RU"/>
        </w:rPr>
        <w:t>јединицама локалне самоуправе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531C4C" w:rsidRPr="00140CE9" w:rsidRDefault="001B258D" w:rsidP="001B258D">
      <w:pPr>
        <w:tabs>
          <w:tab w:val="left" w:pos="836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Средства су намењена за привредн</w:t>
      </w:r>
      <w:r w:rsidR="00942CF9">
        <w:rPr>
          <w:rFonts w:ascii="Times New Roman" w:hAnsi="Times New Roman" w:cs="Times New Roman"/>
          <w:sz w:val="24"/>
          <w:szCs w:val="24"/>
          <w:lang w:val="ru-RU"/>
        </w:rPr>
        <w:t>а друштва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предузетнике код којих је</w:t>
      </w:r>
      <w:r w:rsidR="00942CF9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 укупног броја запослених</w:t>
      </w:r>
      <w:r w:rsidR="00942CF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C02238">
        <w:rPr>
          <w:rFonts w:ascii="Times New Roman" w:hAnsi="Times New Roman" w:cs="Times New Roman"/>
          <w:sz w:val="24"/>
          <w:szCs w:val="24"/>
          <w:lang w:val="ru-RU"/>
        </w:rPr>
        <w:t xml:space="preserve"> 75% запослено на тери</w:t>
      </w:r>
      <w:r>
        <w:rPr>
          <w:rFonts w:ascii="Times New Roman" w:hAnsi="Times New Roman" w:cs="Times New Roman"/>
          <w:sz w:val="24"/>
          <w:szCs w:val="24"/>
          <w:lang w:val="ru-RU"/>
        </w:rPr>
        <w:t>торији недовољно развијених јединица локалне самоуправе</w:t>
      </w:r>
      <w:r w:rsidR="00AA2D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6249A">
        <w:rPr>
          <w:rFonts w:ascii="Times New Roman" w:hAnsi="Times New Roman" w:cs="Times New Roman"/>
          <w:sz w:val="24"/>
          <w:szCs w:val="24"/>
        </w:rPr>
        <w:t>-</w:t>
      </w:r>
      <w:r w:rsidR="0026249A" w:rsidRPr="002624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249A">
        <w:rPr>
          <w:rFonts w:ascii="Times New Roman" w:hAnsi="Times New Roman" w:cs="Times New Roman"/>
          <w:sz w:val="24"/>
          <w:szCs w:val="24"/>
          <w:lang w:val="ru-RU"/>
        </w:rPr>
        <w:t>трећа и четврта група развијености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 складу са чланом 12. Закона о регионалном развоју (</w:t>
      </w:r>
      <w:r w:rsidR="00350CA7">
        <w:rPr>
          <w:rFonts w:ascii="Times New Roman" w:hAnsi="Times New Roman" w:cs="Times New Roman"/>
          <w:sz w:val="24"/>
          <w:szCs w:val="24"/>
          <w:lang w:val="sr-Cyrl-CS"/>
        </w:rPr>
        <w:t>„Службени гласник РСˮ, бр. 51/09 и 30/10</w:t>
      </w:r>
      <w:r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1C4C" w:rsidRDefault="00531C4C" w:rsidP="0017602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140CE9">
        <w:rPr>
          <w:rFonts w:ascii="Times New Roman" w:hAnsi="Times New Roman" w:cs="Times New Roman"/>
          <w:sz w:val="24"/>
          <w:szCs w:val="24"/>
          <w:lang w:val="ru-RU"/>
        </w:rPr>
        <w:t>Члан 4.</w:t>
      </w:r>
    </w:p>
    <w:p w:rsidR="004D70F2" w:rsidRDefault="004D32E6" w:rsidP="00531C4C">
      <w:pPr>
        <w:tabs>
          <w:tab w:val="left" w:pos="836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Недовољно развијеним </w:t>
      </w:r>
      <w:r w:rsidR="00531C4C"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јединицама локалне самоуправе, у смислу ове уредбе, сматрају се </w:t>
      </w:r>
      <w:r w:rsidR="004D70F2">
        <w:rPr>
          <w:rFonts w:ascii="Times New Roman" w:hAnsi="Times New Roman" w:cs="Times New Roman"/>
          <w:sz w:val="24"/>
          <w:szCs w:val="24"/>
          <w:lang w:val="ru-RU"/>
        </w:rPr>
        <w:t xml:space="preserve">недовољно развијене </w:t>
      </w:r>
      <w:r w:rsidR="00531C4C" w:rsidRPr="00140CE9">
        <w:rPr>
          <w:rFonts w:ascii="Times New Roman" w:hAnsi="Times New Roman" w:cs="Times New Roman"/>
          <w:sz w:val="24"/>
          <w:szCs w:val="24"/>
          <w:lang w:val="ru-RU"/>
        </w:rPr>
        <w:t>јединице локалне самоуправе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4D70F2">
        <w:rPr>
          <w:rFonts w:ascii="Times New Roman" w:hAnsi="Times New Roman" w:cs="Times New Roman"/>
          <w:sz w:val="24"/>
          <w:szCs w:val="24"/>
          <w:lang w:val="ru-RU"/>
        </w:rPr>
        <w:t xml:space="preserve"> изразито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недовољно </w:t>
      </w:r>
      <w:r w:rsidR="004D70F2">
        <w:rPr>
          <w:rFonts w:ascii="Times New Roman" w:hAnsi="Times New Roman" w:cs="Times New Roman"/>
          <w:sz w:val="24"/>
          <w:szCs w:val="24"/>
          <w:lang w:val="ru-RU"/>
        </w:rPr>
        <w:t>развијене јединице локалне сам</w:t>
      </w:r>
      <w:r w:rsidR="00E8450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4D70F2">
        <w:rPr>
          <w:rFonts w:ascii="Times New Roman" w:hAnsi="Times New Roman" w:cs="Times New Roman"/>
          <w:sz w:val="24"/>
          <w:szCs w:val="24"/>
          <w:lang w:val="ru-RU"/>
        </w:rPr>
        <w:t>управе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 складу са чланом 12. Закона о регионалном развоју.</w:t>
      </w:r>
    </w:p>
    <w:p w:rsidR="004D70F2" w:rsidRDefault="004D70F2" w:rsidP="004D70F2">
      <w:pPr>
        <w:tabs>
          <w:tab w:val="left" w:pos="836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Недовољно развијеним јединицама локалне самоуправе, у смислу ове уредбе, сматрају се јединице локалне сам</w:t>
      </w:r>
      <w:r w:rsidR="00E84505"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управе које су разврстне у трећу групу развијености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 складу </w:t>
      </w:r>
      <w:r w:rsidR="00531C4C"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са </w:t>
      </w:r>
      <w:r w:rsidR="004D32E6">
        <w:rPr>
          <w:rFonts w:ascii="Times New Roman" w:hAnsi="Times New Roman" w:cs="Times New Roman"/>
          <w:sz w:val="24"/>
          <w:szCs w:val="24"/>
          <w:lang w:val="ru-RU"/>
        </w:rPr>
        <w:t>чланом 12. став 1. Закона о регионалном развоју и</w:t>
      </w:r>
      <w:r w:rsidR="00E845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C0269">
        <w:rPr>
          <w:rFonts w:ascii="Times New Roman" w:hAnsi="Times New Roman" w:cs="Times New Roman"/>
          <w:sz w:val="24"/>
          <w:szCs w:val="24"/>
          <w:lang w:val="sr-Cyrl-CS"/>
        </w:rPr>
        <w:t xml:space="preserve">актом Владе којим се </w:t>
      </w:r>
      <w:r w:rsidR="00EC0269">
        <w:rPr>
          <w:rFonts w:ascii="Times New Roman" w:hAnsi="Times New Roman" w:cs="Times New Roman"/>
          <w:sz w:val="24"/>
          <w:szCs w:val="24"/>
          <w:lang w:val="ru-RU"/>
        </w:rPr>
        <w:t>утврђује јединствена листа</w:t>
      </w:r>
      <w:r w:rsidR="00531C4C"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 развијености региона и јединица локалне самоуправе</w:t>
      </w:r>
      <w:r w:rsidR="00EC026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D70F2" w:rsidRPr="00E92EAC" w:rsidRDefault="004D70F2" w:rsidP="004D32E6">
      <w:pPr>
        <w:tabs>
          <w:tab w:val="left" w:pos="836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Изразито </w:t>
      </w:r>
      <w:r w:rsidR="004D32E6">
        <w:rPr>
          <w:rFonts w:ascii="Times New Roman" w:hAnsi="Times New Roman" w:cs="Times New Roman"/>
          <w:sz w:val="24"/>
          <w:szCs w:val="24"/>
          <w:lang w:val="ru-RU"/>
        </w:rPr>
        <w:t xml:space="preserve">недовољно развијене јединице локалне самуправе, </w:t>
      </w:r>
      <w:r>
        <w:rPr>
          <w:rFonts w:ascii="Times New Roman" w:hAnsi="Times New Roman" w:cs="Times New Roman"/>
          <w:sz w:val="24"/>
          <w:szCs w:val="24"/>
          <w:lang w:val="ru-RU"/>
        </w:rPr>
        <w:t>у смислу ове уредбе, сматрају се јединице локалне самуправе које су разврстне у четврту групу</w:t>
      </w:r>
      <w:r w:rsidRPr="004D70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развијености у складу 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са </w:t>
      </w:r>
      <w:r w:rsidR="004D32E6">
        <w:rPr>
          <w:rFonts w:ascii="Times New Roman" w:hAnsi="Times New Roman" w:cs="Times New Roman"/>
          <w:sz w:val="24"/>
          <w:szCs w:val="24"/>
          <w:lang w:val="ru-RU"/>
        </w:rPr>
        <w:t xml:space="preserve">чланом 12. став </w:t>
      </w:r>
      <w:r w:rsidR="00D939A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D32E6">
        <w:rPr>
          <w:rFonts w:ascii="Times New Roman" w:hAnsi="Times New Roman" w:cs="Times New Roman"/>
          <w:sz w:val="24"/>
          <w:szCs w:val="24"/>
          <w:lang w:val="ru-RU"/>
        </w:rPr>
        <w:t>. Закона о регионалном развоју и</w:t>
      </w:r>
      <w:r w:rsidR="00E845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актом Владе којим се </w:t>
      </w:r>
      <w:r>
        <w:rPr>
          <w:rFonts w:ascii="Times New Roman" w:hAnsi="Times New Roman" w:cs="Times New Roman"/>
          <w:sz w:val="24"/>
          <w:szCs w:val="24"/>
          <w:lang w:val="ru-RU"/>
        </w:rPr>
        <w:t>утврђује јединствена листа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 развијености региона и јединица локалне самоуправе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31C4C" w:rsidRPr="00140CE9" w:rsidRDefault="00531C4C" w:rsidP="0017602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954C12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31C4C" w:rsidRPr="00140CE9" w:rsidRDefault="00531C4C" w:rsidP="00531C4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Средства за намене из члана 1. ове уредбе 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не могу се користити за: </w:t>
      </w:r>
    </w:p>
    <w:p w:rsidR="00531C4C" w:rsidRPr="00CF6AF1" w:rsidRDefault="00531C4C" w:rsidP="00531C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6AF1">
        <w:rPr>
          <w:rFonts w:ascii="Times New Roman" w:hAnsi="Times New Roman" w:cs="Times New Roman"/>
          <w:sz w:val="24"/>
          <w:szCs w:val="24"/>
          <w:lang w:val="ru-RU"/>
        </w:rPr>
        <w:t>производњу и промет нафте и нафтних деривата;</w:t>
      </w:r>
    </w:p>
    <w:p w:rsidR="00531C4C" w:rsidRPr="00CF6AF1" w:rsidRDefault="00531C4C" w:rsidP="00531C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кредитирање инфраструктуре</w:t>
      </w:r>
      <w:r w:rsidR="00D2489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31C4C" w:rsidRPr="00140CE9" w:rsidRDefault="00531C4C" w:rsidP="00531C4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8450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 производњу и продају оружја и војне опреме;</w:t>
      </w:r>
    </w:p>
    <w:p w:rsidR="00531C4C" w:rsidRPr="00140CE9" w:rsidRDefault="00531C4C" w:rsidP="00531C4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8450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>организовање игара на срећу, лутрија и сличних делатности;</w:t>
      </w:r>
    </w:p>
    <w:p w:rsidR="00531C4C" w:rsidRPr="00140CE9" w:rsidRDefault="00531C4C" w:rsidP="00531C4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8450F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производњу и промет било ког производа или активности које се према домаћим прописима или међународним конвенцијама и споразумима сматрају забрањеним. </w:t>
      </w:r>
    </w:p>
    <w:p w:rsidR="00531C4C" w:rsidRPr="0017602E" w:rsidRDefault="00531C4C" w:rsidP="00CC110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31C4C" w:rsidRPr="00140CE9" w:rsidRDefault="00531C4C" w:rsidP="0017602E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Члан </w:t>
      </w:r>
      <w:r w:rsidR="00954C12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Средства из члана 2. ове уредбе усмеравају се одобравањем кредита у виду дугорочних кредита и издавања гаранција од стране Фонда. 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Основни критеријум за одобравање кредита и/или издавање гаранција је оцена пословних идеја и планова потенцијалних корисника кредита или гаранција, при чему ће предност имати програми у којима корисници учествују са сопственим средствима и/или који</w:t>
      </w:r>
      <w:r w:rsidR="00613F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претходне две године нису смањили број запослених или који планирају да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обезбеде </w:t>
      </w:r>
      <w:r w:rsidR="00613F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нова 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радна места лицима евидентираним код Националне службе за запошљавање на подручју </w:t>
      </w:r>
      <w:r w:rsidR="00613F9B">
        <w:rPr>
          <w:rFonts w:ascii="Times New Roman" w:eastAsia="Times New Roman" w:hAnsi="Times New Roman" w:cs="Times New Roman"/>
          <w:sz w:val="24"/>
          <w:szCs w:val="24"/>
          <w:lang w:val="ru-RU"/>
        </w:rPr>
        <w:t>јединице локалне самоуправе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којој се реализује ова </w:t>
      </w:r>
      <w:r w:rsidR="00316D6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редба.</w:t>
      </w:r>
    </w:p>
    <w:p w:rsidR="00531C4C" w:rsidRDefault="00531C4C" w:rsidP="00954C12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Репрограм и одлагање плаћања доспелог дуга одобреног кредита за намене из члана 1. </w:t>
      </w:r>
      <w:r w:rsidR="008450F0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ове уредбе 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може се вршити у складу са условима и критеријумима које утврди Фонд.</w:t>
      </w:r>
    </w:p>
    <w:p w:rsidR="00531C4C" w:rsidRPr="00140CE9" w:rsidRDefault="00531C4C" w:rsidP="0017602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Члан </w:t>
      </w:r>
      <w:r w:rsidR="00954C1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7</w:t>
      </w: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Висину кредита и износ гаранције Фонда одређују следећи елементи: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1) оцена финансијског стања и кредитне способности корисника кредита; 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2) економска оцена програма;</w:t>
      </w:r>
    </w:p>
    <w:p w:rsidR="00531C4C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3) валидност и вредност инструмената обезбеђења.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31C4C" w:rsidRPr="00140CE9" w:rsidRDefault="00531C4C" w:rsidP="0017602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Члан </w:t>
      </w:r>
      <w:r w:rsidR="00954C1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8</w:t>
      </w: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531C4C" w:rsidRDefault="00531C4C" w:rsidP="00295DB4">
      <w:pPr>
        <w:spacing w:before="120" w:after="12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Инструменти обезбеђења уредног враћања кредита и измирења обавеза по гаранцијама су: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1) меница и менично овлашћење дужника;</w:t>
      </w:r>
    </w:p>
    <w:p w:rsidR="00531C4C" w:rsidRPr="00140CE9" w:rsidRDefault="00531C4C" w:rsidP="00F0065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2) и/или меница и менично овлашћење јемца (уколико постоји јемство другог правног лица);</w:t>
      </w:r>
    </w:p>
    <w:p w:rsidR="00531C4C" w:rsidRPr="00140CE9" w:rsidRDefault="00F00651" w:rsidP="00EA47EA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1C4C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и/или меница и менично овлашћење приступиоца дуга (уколико постоји приступање дугу);</w:t>
      </w:r>
    </w:p>
    <w:p w:rsidR="00983568" w:rsidRPr="00941F1B" w:rsidRDefault="00531C4C" w:rsidP="00941F1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4) и/или меница и мен</w:t>
      </w:r>
      <w:r w:rsidR="00EA47EA">
        <w:rPr>
          <w:rFonts w:ascii="Times New Roman" w:eastAsia="Times New Roman" w:hAnsi="Times New Roman" w:cs="Times New Roman"/>
          <w:sz w:val="24"/>
          <w:szCs w:val="24"/>
          <w:lang w:val="ru-RU"/>
        </w:rPr>
        <w:t>ично овлашћење власника дужника</w:t>
      </w:r>
      <w:r w:rsidR="00963553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423459" w:rsidRPr="00EA47EA" w:rsidRDefault="00963553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423459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="00BA2229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и/или </w:t>
      </w:r>
      <w:r w:rsidR="00423459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гаранција пословне банке или авалирана меница</w:t>
      </w:r>
      <w:r w:rsidR="00EA47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31C4C" w:rsidRPr="00BA2229" w:rsidRDefault="00963553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531C4C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) и/или хипотека првог реда на непокретностима;</w:t>
      </w:r>
      <w:r w:rsidR="00BA222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531C4C" w:rsidRPr="00140CE9" w:rsidRDefault="00963553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531C4C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) и/или залога на опреми;</w:t>
      </w:r>
    </w:p>
    <w:p w:rsidR="00531C4C" w:rsidRPr="00140CE9" w:rsidRDefault="00963553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8</w:t>
      </w:r>
      <w:r w:rsidR="00531C4C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) и/или залога на акцијама предузећа која се континуирано котирају на Београдској берзи;</w:t>
      </w:r>
    </w:p>
    <w:p w:rsidR="00531C4C" w:rsidRPr="00EA47EA" w:rsidRDefault="00963553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531C4C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) и/или залога на о</w:t>
      </w:r>
      <w:r w:rsidR="00EA47EA">
        <w:rPr>
          <w:rFonts w:ascii="Times New Roman" w:eastAsia="Times New Roman" w:hAnsi="Times New Roman" w:cs="Times New Roman"/>
          <w:sz w:val="24"/>
          <w:szCs w:val="24"/>
          <w:lang w:val="ru-RU"/>
        </w:rPr>
        <w:t>бвезницама старе девизне штедње</w:t>
      </w:r>
      <w:r w:rsidR="00EA47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2CF9" w:rsidRPr="00140CE9" w:rsidRDefault="00942CF9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Приликом од</w:t>
      </w:r>
      <w:r w:rsidR="00A5125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бравања кредита мог</w:t>
      </w:r>
      <w:r w:rsidR="000A6F59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ће је комбин</w:t>
      </w:r>
      <w:r w:rsidR="00423459">
        <w:rPr>
          <w:rFonts w:ascii="Times New Roman" w:eastAsia="Times New Roman" w:hAnsi="Times New Roman" w:cs="Times New Roman"/>
          <w:sz w:val="24"/>
          <w:szCs w:val="24"/>
          <w:lang w:val="ru-RU"/>
        </w:rPr>
        <w:t>овати више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A6F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наведених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инструмената обезбеђења.</w:t>
      </w:r>
    </w:p>
    <w:p w:rsidR="00531C4C" w:rsidRDefault="00531C4C" w:rsidP="0017602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Тржишна вредност инструмената обезбеђења из става 1. овог члана у односу на вредност кредита и гаранције мора да буде 1:1.</w:t>
      </w:r>
    </w:p>
    <w:p w:rsidR="0017602E" w:rsidRPr="00140CE9" w:rsidRDefault="0017602E" w:rsidP="0017602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31C4C" w:rsidRPr="00140CE9" w:rsidRDefault="00531C4C" w:rsidP="0017602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Члан </w:t>
      </w:r>
      <w:r w:rsidR="00954C1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9</w:t>
      </w: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D225F8" w:rsidRPr="00140CE9" w:rsidRDefault="00531C4C" w:rsidP="00D225F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Кредити за изградњу, реконструкцију, адаптацију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и набавку опреме</w:t>
      </w:r>
      <w:r w:rsidR="006E26A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D1FCE">
        <w:rPr>
          <w:rFonts w:ascii="Times New Roman" w:eastAsia="Times New Roman" w:hAnsi="Times New Roman" w:cs="Times New Roman"/>
          <w:sz w:val="24"/>
          <w:szCs w:val="24"/>
          <w:lang w:val="sr-Cyrl-CS"/>
        </w:rPr>
        <w:t>у даљем тексту</w:t>
      </w:r>
      <w:r w:rsidR="007D1FC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E26AA">
        <w:rPr>
          <w:rFonts w:ascii="Times New Roman" w:eastAsia="Times New Roman" w:hAnsi="Times New Roman" w:cs="Times New Roman"/>
          <w:sz w:val="24"/>
          <w:szCs w:val="24"/>
        </w:rPr>
        <w:t>инвестициони</w:t>
      </w:r>
      <w:r w:rsidR="007D1FCE">
        <w:rPr>
          <w:rFonts w:ascii="Times New Roman" w:eastAsia="Times New Roman" w:hAnsi="Times New Roman" w:cs="Times New Roman"/>
          <w:sz w:val="24"/>
          <w:szCs w:val="24"/>
        </w:rPr>
        <w:t xml:space="preserve"> кредит</w:t>
      </w:r>
      <w:r w:rsidR="007D1FCE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E26A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ће се одобравати са роком</w:t>
      </w:r>
      <w:bookmarkStart w:id="0" w:name="_GoBack"/>
      <w:bookmarkEnd w:id="0"/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отплате 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54C12">
        <w:rPr>
          <w:rFonts w:ascii="Times New Roman" w:eastAsia="Times New Roman" w:hAnsi="Times New Roman" w:cs="Times New Roman"/>
          <w:sz w:val="24"/>
          <w:szCs w:val="24"/>
          <w:lang w:val="ru-RU"/>
        </w:rPr>
        <w:t>шест</w:t>
      </w:r>
      <w:r w:rsidR="00954C12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година и периодом почека 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једне године</w:t>
      </w:r>
      <w:r w:rsidR="00D225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привредна друштва</w:t>
      </w:r>
      <w:r w:rsidR="007D1F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Инвестициони кредити 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>одобраваће се са роком</w:t>
      </w:r>
      <w:r w:rsidR="00D225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отплате 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="00D225F8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четири године и периодом почека 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="00D225F8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једне године</w:t>
      </w:r>
      <w:r w:rsidR="007D1FCE" w:rsidRPr="007D1FC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D1FCE">
        <w:rPr>
          <w:rFonts w:ascii="Times New Roman" w:eastAsia="Times New Roman" w:hAnsi="Times New Roman" w:cs="Times New Roman"/>
          <w:sz w:val="24"/>
          <w:szCs w:val="24"/>
          <w:lang w:val="ru-RU"/>
        </w:rPr>
        <w:t>за предузетнике</w:t>
      </w:r>
      <w:r w:rsidR="00D225F8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Кредити за трајна обртна средства 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>за прив</w:t>
      </w:r>
      <w:r w:rsidR="006A3A5B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една друштва и предузетнике 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ће се одобравати са роком отплате 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две године и периодом почека 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="00B834E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једне године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31C4C" w:rsidRPr="00140CE9" w:rsidRDefault="00531C4C" w:rsidP="00531C4C">
      <w:pPr>
        <w:pStyle w:val="CommentText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предрачунску вредност улагања 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>рачунају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само нова улагања.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>Под новим улагањима која се могу кредитирати сматрају се и она улагања која су реализована до шест месеци пре датума подношења захтева за кредит</w:t>
      </w:r>
      <w:r w:rsidR="0017602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  а за која је корисник у обавези да достави </w:t>
      </w:r>
      <w:r w:rsidR="0017602E">
        <w:rPr>
          <w:rFonts w:ascii="Times New Roman" w:hAnsi="Times New Roman" w:cs="Times New Roman"/>
          <w:sz w:val="24"/>
          <w:szCs w:val="24"/>
          <w:lang w:val="ru-RU"/>
        </w:rPr>
        <w:t>одговарајући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 доказ</w:t>
      </w:r>
      <w:r w:rsidR="00D225F8">
        <w:rPr>
          <w:rFonts w:ascii="Times New Roman" w:hAnsi="Times New Roman" w:cs="Times New Roman"/>
          <w:sz w:val="24"/>
          <w:szCs w:val="24"/>
          <w:lang w:val="ru-RU"/>
        </w:rPr>
        <w:t xml:space="preserve"> о висини и периоду таквих улагања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Кредити се одобравају са валутном клаузулом. 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Отплата кредита вршиће се у тромесечним ануитетима.</w:t>
      </w:r>
    </w:p>
    <w:p w:rsidR="00531C4C" w:rsidRPr="004F6A0B" w:rsidRDefault="00531C4C" w:rsidP="00531C4C">
      <w:pPr>
        <w:pStyle w:val="CommentText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Минимални износ кредита/гаранције 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>је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2.000.000,00 динара за правна лица, 500.000,00 динара за предузетнике, а максимални износ за кредите/гаранције по једном клијенту (укључујући и повезана лица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је </w:t>
      </w:r>
      <w:r>
        <w:rPr>
          <w:rFonts w:ascii="Times New Roman" w:hAnsi="Times New Roman" w:cs="Times New Roman"/>
          <w:sz w:val="24"/>
          <w:szCs w:val="24"/>
          <w:lang w:val="ru-RU"/>
        </w:rPr>
        <w:t>100.000.000,00</w:t>
      </w:r>
      <w:r w:rsidR="00027F29">
        <w:rPr>
          <w:rFonts w:ascii="Times New Roman" w:hAnsi="Times New Roman" w:cs="Times New Roman"/>
          <w:sz w:val="24"/>
          <w:szCs w:val="24"/>
          <w:lang w:val="ru-RU"/>
        </w:rPr>
        <w:t xml:space="preserve"> динара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 за мала привредна друштва, 200.000.000</w:t>
      </w:r>
      <w:r>
        <w:rPr>
          <w:rFonts w:ascii="Times New Roman" w:hAnsi="Times New Roman" w:cs="Times New Roman"/>
          <w:sz w:val="24"/>
          <w:szCs w:val="24"/>
          <w:lang w:val="ru-RU"/>
        </w:rPr>
        <w:t>,00</w:t>
      </w:r>
      <w:r w:rsidR="00027F29">
        <w:rPr>
          <w:rFonts w:ascii="Times New Roman" w:hAnsi="Times New Roman" w:cs="Times New Roman"/>
          <w:sz w:val="24"/>
          <w:szCs w:val="24"/>
          <w:lang w:val="ru-RU"/>
        </w:rPr>
        <w:t xml:space="preserve"> динара 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>за средња привредна друштва,</w:t>
      </w:r>
      <w:r w:rsidR="00027F29">
        <w:rPr>
          <w:rFonts w:ascii="Times New Roman" w:hAnsi="Times New Roman" w:cs="Times New Roman"/>
          <w:sz w:val="24"/>
          <w:szCs w:val="24"/>
          <w:lang w:val="ru-RU"/>
        </w:rPr>
        <w:t xml:space="preserve"> 300.000.000 динара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 за велика привредна друштва 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и 5.000.000,00</w:t>
      </w:r>
      <w:r w:rsidR="00027F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динара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предузетнике.</w:t>
      </w:r>
    </w:p>
    <w:p w:rsidR="00531C4C" w:rsidRPr="00140CE9" w:rsidRDefault="00531C4C" w:rsidP="0017602E">
      <w:pPr>
        <w:pStyle w:val="CommentText"/>
        <w:spacing w:after="0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Члан </w:t>
      </w:r>
      <w:r w:rsidR="00954C12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954C12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31C4C" w:rsidRPr="00140CE9" w:rsidRDefault="002A7318" w:rsidP="002A73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Каматна стопа 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1C4C" w:rsidRPr="006E26AA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4D32E6" w:rsidRPr="006E26AA">
        <w:rPr>
          <w:rFonts w:ascii="Times New Roman" w:eastAsia="Times New Roman" w:hAnsi="Times New Roman" w:cs="Times New Roman"/>
          <w:sz w:val="24"/>
          <w:szCs w:val="24"/>
          <w:lang w:val="ru-RU"/>
        </w:rPr>
        <w:t>,0</w:t>
      </w:r>
      <w:r w:rsidR="00531C4C" w:rsidRPr="006E26AA">
        <w:rPr>
          <w:rFonts w:ascii="Times New Roman" w:eastAsia="Times New Roman" w:hAnsi="Times New Roman" w:cs="Times New Roman"/>
          <w:sz w:val="24"/>
          <w:szCs w:val="24"/>
          <w:lang w:val="ru-RU"/>
        </w:rPr>
        <w:t>% на годишњем нивоу</w:t>
      </w:r>
      <w:r w:rsidR="00531C4C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фиксно уколико је средство обезбеђења гаранција/авалирана меница пословне банке, а у осталим случајевима </w:t>
      </w:r>
      <w:r w:rsidR="00531C4C" w:rsidRPr="006E26AA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4D32E6" w:rsidRPr="006E26AA">
        <w:rPr>
          <w:rFonts w:ascii="Times New Roman" w:eastAsia="Times New Roman" w:hAnsi="Times New Roman" w:cs="Times New Roman"/>
          <w:sz w:val="24"/>
          <w:szCs w:val="24"/>
          <w:lang w:val="ru-RU"/>
        </w:rPr>
        <w:t>,0</w:t>
      </w:r>
      <w:r w:rsidR="00531C4C" w:rsidRPr="006E26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% на годишњем нивоу фиксно за улагања на подручју </w:t>
      </w:r>
      <w:r w:rsidR="00295DB4" w:rsidRPr="006E26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треће и </w:t>
      </w:r>
      <w:r w:rsidR="00531C4C" w:rsidRPr="006E26AA">
        <w:rPr>
          <w:rFonts w:ascii="Times New Roman" w:eastAsia="Times New Roman" w:hAnsi="Times New Roman" w:cs="Times New Roman"/>
          <w:sz w:val="24"/>
          <w:szCs w:val="24"/>
          <w:lang w:val="ru-RU"/>
        </w:rPr>
        <w:t>четвр</w:t>
      </w:r>
      <w:r w:rsidR="00531C4C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те групе неразвијености</w:t>
      </w:r>
      <w:r w:rsidR="006E26A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31C4C" w:rsidRPr="00140CE9" w:rsidRDefault="00531C4C" w:rsidP="0017602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Члан </w:t>
      </w:r>
      <w:r w:rsidR="00954C12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954C12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31C4C" w:rsidRPr="006E26AA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издавање гаранција Фонд ће наплаћивати провизију у висини </w:t>
      </w:r>
      <w:r w:rsidRPr="006E26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 </w:t>
      </w:r>
      <w:r w:rsidR="00295DB4" w:rsidRPr="006E26AA">
        <w:rPr>
          <w:rFonts w:ascii="Times New Roman" w:eastAsia="Times New Roman" w:hAnsi="Times New Roman" w:cs="Times New Roman"/>
          <w:sz w:val="24"/>
          <w:szCs w:val="24"/>
          <w:lang w:val="ru-RU"/>
        </w:rPr>
        <w:t>1,5</w:t>
      </w:r>
      <w:r w:rsidRPr="006E26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% годишње од износа који се гарантује. 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Издавање гаранција према финансијским институцијама, за инвестиционе кредите одобраваће се </w:t>
      </w:r>
      <w:r w:rsidR="0017547D">
        <w:rPr>
          <w:rFonts w:ascii="Times New Roman" w:hAnsi="Times New Roman" w:cs="Times New Roman"/>
          <w:sz w:val="24"/>
          <w:szCs w:val="24"/>
          <w:lang w:val="ru-RU"/>
        </w:rPr>
        <w:t xml:space="preserve">са 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роком важности </w:t>
      </w:r>
      <w:r w:rsidR="0017547D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0A01">
        <w:rPr>
          <w:rFonts w:ascii="Times New Roman" w:hAnsi="Times New Roman" w:cs="Times New Roman"/>
          <w:sz w:val="24"/>
          <w:szCs w:val="24"/>
          <w:lang w:val="ru-RU"/>
        </w:rPr>
        <w:t>седам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 година, а за трајна обртна средства са роком важности </w:t>
      </w:r>
      <w:r w:rsidR="0017547D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="00F30A01">
        <w:rPr>
          <w:rFonts w:ascii="Times New Roman" w:hAnsi="Times New Roman" w:cs="Times New Roman"/>
          <w:sz w:val="24"/>
          <w:szCs w:val="24"/>
          <w:lang w:val="ru-RU"/>
        </w:rPr>
        <w:t xml:space="preserve"> три</w:t>
      </w:r>
      <w:r w:rsidRPr="00140CE9">
        <w:rPr>
          <w:rFonts w:ascii="Times New Roman" w:hAnsi="Times New Roman" w:cs="Times New Roman"/>
          <w:sz w:val="24"/>
          <w:szCs w:val="24"/>
          <w:lang w:val="ru-RU"/>
        </w:rPr>
        <w:t xml:space="preserve"> године.  </w:t>
      </w:r>
    </w:p>
    <w:p w:rsidR="00531C4C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За гарантовање потраживања са валутном клаузулом за обрачун провизије примениће се валутна клаузула.</w:t>
      </w:r>
    </w:p>
    <w:p w:rsidR="0017602E" w:rsidRPr="00140CE9" w:rsidRDefault="0017602E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31C4C" w:rsidRPr="00140CE9" w:rsidRDefault="00531C4C" w:rsidP="0017602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Члан </w:t>
      </w:r>
      <w:r w:rsidR="00954C12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954C12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Фонд ће </w:t>
      </w:r>
      <w:r w:rsidR="00954C12">
        <w:rPr>
          <w:rFonts w:ascii="Times New Roman" w:eastAsia="Times New Roman" w:hAnsi="Times New Roman" w:cs="Times New Roman"/>
          <w:sz w:val="24"/>
          <w:szCs w:val="24"/>
          <w:lang w:val="ru-RU"/>
        </w:rPr>
        <w:t>једном годишње</w:t>
      </w:r>
      <w:r w:rsidR="00954C12"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извештавати Министарство о реализацији ове </w:t>
      </w:r>
      <w:r w:rsidR="00CA0B6B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редбе.</w:t>
      </w:r>
    </w:p>
    <w:p w:rsidR="00531C4C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Министарство ће </w:t>
      </w:r>
      <w:r w:rsidR="00954C12">
        <w:rPr>
          <w:rFonts w:ascii="Times New Roman" w:eastAsia="Times New Roman" w:hAnsi="Times New Roman" w:cs="Times New Roman"/>
          <w:sz w:val="24"/>
          <w:szCs w:val="24"/>
          <w:lang w:val="ru-RU"/>
        </w:rPr>
        <w:t>једном годишњ</w:t>
      </w:r>
      <w:r w:rsidR="00295DB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954C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извештавати Владу о реализацији ове </w:t>
      </w:r>
      <w:r w:rsidR="00CA0B6B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редбе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2135" w:rsidRPr="00912135" w:rsidRDefault="00912135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7602E" w:rsidRPr="0017602E" w:rsidRDefault="0017602E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31C4C" w:rsidRDefault="00531C4C" w:rsidP="0017602E">
      <w:pPr>
        <w:pStyle w:val="CommentText"/>
        <w:spacing w:after="0"/>
        <w:ind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Члан </w:t>
      </w:r>
      <w:r w:rsidR="00954C12"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</w:t>
      </w:r>
      <w:r w:rsidR="00954C1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6E26AA" w:rsidRPr="00295DB4" w:rsidRDefault="006E26AA" w:rsidP="006E26A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Обраду кредитиних захтева и предлог одобравања кредита врши Фонд.</w:t>
      </w:r>
    </w:p>
    <w:p w:rsidR="00531C4C" w:rsidRPr="00140CE9" w:rsidRDefault="00531C4C" w:rsidP="00531C4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Одлуку о расподели средстава у складу са овом </w:t>
      </w:r>
      <w:r w:rsidR="00CA0B6B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редбом доноси Управни одбор Фонда.</w:t>
      </w:r>
    </w:p>
    <w:p w:rsidR="00270AED" w:rsidRDefault="00270AED" w:rsidP="00531C4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bookmarkStart w:id="1" w:name="sadrzaj_17"/>
      <w:bookmarkEnd w:id="1"/>
    </w:p>
    <w:p w:rsidR="00270AED" w:rsidRDefault="00270AED" w:rsidP="00531C4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531C4C" w:rsidRPr="00140CE9" w:rsidRDefault="00531C4C" w:rsidP="00531C4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Члан </w:t>
      </w:r>
      <w:r w:rsidR="00954C12"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</w:t>
      </w:r>
      <w:r w:rsidR="00954C1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</w:t>
      </w: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531C4C" w:rsidRDefault="00531C4C" w:rsidP="00DD4A2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Спровођење ове </w:t>
      </w:r>
      <w:r w:rsidR="00FE507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редбе надзире Министарство.</w:t>
      </w:r>
    </w:p>
    <w:p w:rsidR="00531C4C" w:rsidRPr="004D571F" w:rsidRDefault="00531C4C" w:rsidP="004D57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bookmarkStart w:id="2" w:name="sadrzaj_18"/>
      <w:bookmarkEnd w:id="2"/>
    </w:p>
    <w:p w:rsidR="00531C4C" w:rsidRPr="0017602E" w:rsidRDefault="00531C4C" w:rsidP="0017602E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Члан </w:t>
      </w:r>
      <w:r w:rsidR="00954C12"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</w:t>
      </w:r>
      <w:r w:rsidR="00954C1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5</w:t>
      </w:r>
      <w:r w:rsidRPr="00140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2E4F81" w:rsidRPr="0017602E" w:rsidRDefault="00531C4C" w:rsidP="0017602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Ова </w:t>
      </w:r>
      <w:r w:rsidR="00FE507E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редба ступа на снагу наредног дана од дана објављивања 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„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Службеном гласнику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40CE9">
        <w:rPr>
          <w:rFonts w:ascii="Times New Roman" w:eastAsia="Times New Roman" w:hAnsi="Times New Roman" w:cs="Times New Roman"/>
          <w:sz w:val="24"/>
          <w:szCs w:val="24"/>
          <w:lang w:val="ru-RU"/>
        </w:rPr>
        <w:t>Републике Србије</w:t>
      </w:r>
      <w:r w:rsidR="00E74D7E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E4F81" w:rsidRDefault="002E4F81">
      <w:pPr>
        <w:rPr>
          <w:lang w:val="sr-Cyrl-CS"/>
        </w:rPr>
      </w:pPr>
    </w:p>
    <w:p w:rsidR="002E4F81" w:rsidRDefault="002E4F81">
      <w:pPr>
        <w:rPr>
          <w:lang w:val="sr-Cyrl-CS"/>
        </w:rPr>
      </w:pPr>
    </w:p>
    <w:p w:rsidR="008E6B10" w:rsidRPr="008E6B10" w:rsidRDefault="008E6B10" w:rsidP="008E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</w:p>
    <w:p w:rsidR="008E6B10" w:rsidRPr="008E6B10" w:rsidRDefault="008E6B10" w:rsidP="008E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априла</w:t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2013. године</w:t>
      </w:r>
    </w:p>
    <w:p w:rsidR="008E6B10" w:rsidRPr="008E6B10" w:rsidRDefault="008E6B10" w:rsidP="008E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E6B10" w:rsidRPr="008E6B10" w:rsidRDefault="008E6B10" w:rsidP="008E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8E6B10" w:rsidRPr="008E6B10" w:rsidRDefault="008E6B10" w:rsidP="008E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 Л А Д А</w:t>
      </w:r>
    </w:p>
    <w:p w:rsidR="008E6B10" w:rsidRPr="008E6B10" w:rsidRDefault="008E6B10" w:rsidP="008E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E6B10" w:rsidRPr="008E6B10" w:rsidRDefault="008E6B10" w:rsidP="008E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</w:t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ПРЕДСЕДНИК</w:t>
      </w:r>
    </w:p>
    <w:p w:rsidR="008E6B10" w:rsidRPr="008E6B10" w:rsidRDefault="008E6B10" w:rsidP="008E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E6B10" w:rsidRPr="008E6B10" w:rsidRDefault="008E6B10" w:rsidP="008E6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E6B1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     Ивица Дачић</w:t>
      </w:r>
    </w:p>
    <w:sectPr w:rsidR="008E6B10" w:rsidRPr="008E6B10" w:rsidSect="008450F0"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E11" w:rsidRDefault="00CA3E11" w:rsidP="008450F0">
      <w:pPr>
        <w:spacing w:after="0" w:line="240" w:lineRule="auto"/>
      </w:pPr>
      <w:r>
        <w:separator/>
      </w:r>
    </w:p>
  </w:endnote>
  <w:endnote w:type="continuationSeparator" w:id="0">
    <w:p w:rsidR="00CA3E11" w:rsidRDefault="00CA3E11" w:rsidP="00845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8881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50F0" w:rsidRDefault="007414B3">
        <w:pPr>
          <w:pStyle w:val="Footer"/>
          <w:jc w:val="right"/>
        </w:pPr>
        <w:r>
          <w:fldChar w:fldCharType="begin"/>
        </w:r>
        <w:r w:rsidR="008450F0">
          <w:instrText xml:space="preserve"> PAGE   \* MERGEFORMAT </w:instrText>
        </w:r>
        <w:r>
          <w:fldChar w:fldCharType="separate"/>
        </w:r>
        <w:r w:rsidR="001200C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450F0" w:rsidRDefault="008450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0F0" w:rsidRDefault="008450F0">
    <w:pPr>
      <w:pStyle w:val="Footer"/>
      <w:rPr>
        <w:lang w:val="en-US"/>
      </w:rPr>
    </w:pPr>
  </w:p>
  <w:p w:rsidR="008450F0" w:rsidRPr="008450F0" w:rsidRDefault="008450F0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E11" w:rsidRDefault="00CA3E11" w:rsidP="008450F0">
      <w:pPr>
        <w:spacing w:after="0" w:line="240" w:lineRule="auto"/>
      </w:pPr>
      <w:r>
        <w:separator/>
      </w:r>
    </w:p>
  </w:footnote>
  <w:footnote w:type="continuationSeparator" w:id="0">
    <w:p w:rsidR="00CA3E11" w:rsidRDefault="00CA3E11" w:rsidP="00845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21D"/>
    <w:multiLevelType w:val="hybridMultilevel"/>
    <w:tmpl w:val="317CD0A6"/>
    <w:lvl w:ilvl="0" w:tplc="38F8CE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07C4BF5"/>
    <w:multiLevelType w:val="hybridMultilevel"/>
    <w:tmpl w:val="5930ECFC"/>
    <w:lvl w:ilvl="0" w:tplc="0809000F">
      <w:start w:val="1"/>
      <w:numFmt w:val="decimal"/>
      <w:lvlText w:val="%1."/>
      <w:lvlJc w:val="left"/>
      <w:pPr>
        <w:ind w:left="150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8AC4B36"/>
    <w:multiLevelType w:val="hybridMultilevel"/>
    <w:tmpl w:val="4C9ED662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E6805"/>
    <w:multiLevelType w:val="hybridMultilevel"/>
    <w:tmpl w:val="661801B4"/>
    <w:lvl w:ilvl="0" w:tplc="9BE052AE">
      <w:start w:val="1"/>
      <w:numFmt w:val="decimal"/>
      <w:lvlText w:val="%1)"/>
      <w:lvlJc w:val="left"/>
      <w:pPr>
        <w:ind w:left="1845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65" w:hanging="360"/>
      </w:pPr>
    </w:lvl>
    <w:lvl w:ilvl="2" w:tplc="0809001B" w:tentative="1">
      <w:start w:val="1"/>
      <w:numFmt w:val="lowerRoman"/>
      <w:lvlText w:val="%3."/>
      <w:lvlJc w:val="right"/>
      <w:pPr>
        <w:ind w:left="3285" w:hanging="180"/>
      </w:pPr>
    </w:lvl>
    <w:lvl w:ilvl="3" w:tplc="0809000F" w:tentative="1">
      <w:start w:val="1"/>
      <w:numFmt w:val="decimal"/>
      <w:lvlText w:val="%4."/>
      <w:lvlJc w:val="left"/>
      <w:pPr>
        <w:ind w:left="4005" w:hanging="360"/>
      </w:pPr>
    </w:lvl>
    <w:lvl w:ilvl="4" w:tplc="08090019" w:tentative="1">
      <w:start w:val="1"/>
      <w:numFmt w:val="lowerLetter"/>
      <w:lvlText w:val="%5."/>
      <w:lvlJc w:val="left"/>
      <w:pPr>
        <w:ind w:left="4725" w:hanging="360"/>
      </w:pPr>
    </w:lvl>
    <w:lvl w:ilvl="5" w:tplc="0809001B" w:tentative="1">
      <w:start w:val="1"/>
      <w:numFmt w:val="lowerRoman"/>
      <w:lvlText w:val="%6."/>
      <w:lvlJc w:val="right"/>
      <w:pPr>
        <w:ind w:left="5445" w:hanging="180"/>
      </w:pPr>
    </w:lvl>
    <w:lvl w:ilvl="6" w:tplc="0809000F" w:tentative="1">
      <w:start w:val="1"/>
      <w:numFmt w:val="decimal"/>
      <w:lvlText w:val="%7."/>
      <w:lvlJc w:val="left"/>
      <w:pPr>
        <w:ind w:left="6165" w:hanging="360"/>
      </w:pPr>
    </w:lvl>
    <w:lvl w:ilvl="7" w:tplc="08090019" w:tentative="1">
      <w:start w:val="1"/>
      <w:numFmt w:val="lowerLetter"/>
      <w:lvlText w:val="%8."/>
      <w:lvlJc w:val="left"/>
      <w:pPr>
        <w:ind w:left="6885" w:hanging="360"/>
      </w:pPr>
    </w:lvl>
    <w:lvl w:ilvl="8" w:tplc="0809001B" w:tentative="1">
      <w:start w:val="1"/>
      <w:numFmt w:val="lowerRoman"/>
      <w:lvlText w:val="%9."/>
      <w:lvlJc w:val="right"/>
      <w:pPr>
        <w:ind w:left="760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C4C"/>
    <w:rsid w:val="00027F29"/>
    <w:rsid w:val="000319F0"/>
    <w:rsid w:val="000A6F59"/>
    <w:rsid w:val="000B7B14"/>
    <w:rsid w:val="000B7CBF"/>
    <w:rsid w:val="000D5657"/>
    <w:rsid w:val="00114922"/>
    <w:rsid w:val="001200C8"/>
    <w:rsid w:val="00122FC4"/>
    <w:rsid w:val="0015535B"/>
    <w:rsid w:val="00162842"/>
    <w:rsid w:val="0017547D"/>
    <w:rsid w:val="0017602E"/>
    <w:rsid w:val="00180AB5"/>
    <w:rsid w:val="001969C1"/>
    <w:rsid w:val="001A5BBF"/>
    <w:rsid w:val="001B258D"/>
    <w:rsid w:val="001C70F3"/>
    <w:rsid w:val="001E0FB2"/>
    <w:rsid w:val="001F6226"/>
    <w:rsid w:val="001F75BA"/>
    <w:rsid w:val="0023758D"/>
    <w:rsid w:val="00245DFC"/>
    <w:rsid w:val="0025182C"/>
    <w:rsid w:val="0026249A"/>
    <w:rsid w:val="00270AED"/>
    <w:rsid w:val="002920CC"/>
    <w:rsid w:val="00295DB4"/>
    <w:rsid w:val="002A2743"/>
    <w:rsid w:val="002A3604"/>
    <w:rsid w:val="002A7318"/>
    <w:rsid w:val="002C5689"/>
    <w:rsid w:val="002E4F81"/>
    <w:rsid w:val="002F009C"/>
    <w:rsid w:val="002F0392"/>
    <w:rsid w:val="00316D60"/>
    <w:rsid w:val="00350CA7"/>
    <w:rsid w:val="00354ECC"/>
    <w:rsid w:val="0035762D"/>
    <w:rsid w:val="00360406"/>
    <w:rsid w:val="00391ACB"/>
    <w:rsid w:val="00423459"/>
    <w:rsid w:val="00462B08"/>
    <w:rsid w:val="004A386D"/>
    <w:rsid w:val="004D32E6"/>
    <w:rsid w:val="004D571F"/>
    <w:rsid w:val="004D6CB3"/>
    <w:rsid w:val="004D70F2"/>
    <w:rsid w:val="00531C4C"/>
    <w:rsid w:val="00540C53"/>
    <w:rsid w:val="00587278"/>
    <w:rsid w:val="005B0FD7"/>
    <w:rsid w:val="005D043A"/>
    <w:rsid w:val="005D6ED8"/>
    <w:rsid w:val="005F6CA2"/>
    <w:rsid w:val="00613F9B"/>
    <w:rsid w:val="00660879"/>
    <w:rsid w:val="00663E24"/>
    <w:rsid w:val="006668DA"/>
    <w:rsid w:val="006A3A5B"/>
    <w:rsid w:val="006E26AA"/>
    <w:rsid w:val="006E40CD"/>
    <w:rsid w:val="00700722"/>
    <w:rsid w:val="007057CA"/>
    <w:rsid w:val="007119ED"/>
    <w:rsid w:val="00711CFB"/>
    <w:rsid w:val="00735CC7"/>
    <w:rsid w:val="007414B3"/>
    <w:rsid w:val="00742E51"/>
    <w:rsid w:val="00786313"/>
    <w:rsid w:val="007A1AB0"/>
    <w:rsid w:val="007C2A8F"/>
    <w:rsid w:val="007D1FCE"/>
    <w:rsid w:val="007E73B9"/>
    <w:rsid w:val="00805C45"/>
    <w:rsid w:val="0083355E"/>
    <w:rsid w:val="008450F0"/>
    <w:rsid w:val="0087758F"/>
    <w:rsid w:val="008800C6"/>
    <w:rsid w:val="00885462"/>
    <w:rsid w:val="00895AE8"/>
    <w:rsid w:val="00897B14"/>
    <w:rsid w:val="008C61FE"/>
    <w:rsid w:val="008E6B10"/>
    <w:rsid w:val="008F1D61"/>
    <w:rsid w:val="00912135"/>
    <w:rsid w:val="009313AB"/>
    <w:rsid w:val="00941F1B"/>
    <w:rsid w:val="00942CF9"/>
    <w:rsid w:val="00954C12"/>
    <w:rsid w:val="00963553"/>
    <w:rsid w:val="00972EA2"/>
    <w:rsid w:val="00983568"/>
    <w:rsid w:val="009861DE"/>
    <w:rsid w:val="009913E4"/>
    <w:rsid w:val="0099566F"/>
    <w:rsid w:val="009A3FC9"/>
    <w:rsid w:val="009C7684"/>
    <w:rsid w:val="009E563B"/>
    <w:rsid w:val="009F5E2A"/>
    <w:rsid w:val="00A14EC3"/>
    <w:rsid w:val="00A21368"/>
    <w:rsid w:val="00A4139D"/>
    <w:rsid w:val="00A44C3F"/>
    <w:rsid w:val="00A51259"/>
    <w:rsid w:val="00AA2D50"/>
    <w:rsid w:val="00AC4ACD"/>
    <w:rsid w:val="00AF599E"/>
    <w:rsid w:val="00B508C6"/>
    <w:rsid w:val="00B77E30"/>
    <w:rsid w:val="00B834EF"/>
    <w:rsid w:val="00BA2229"/>
    <w:rsid w:val="00BB177F"/>
    <w:rsid w:val="00C02238"/>
    <w:rsid w:val="00C323CF"/>
    <w:rsid w:val="00C32E23"/>
    <w:rsid w:val="00C503E9"/>
    <w:rsid w:val="00C7510A"/>
    <w:rsid w:val="00CA0B6B"/>
    <w:rsid w:val="00CA3E11"/>
    <w:rsid w:val="00CC110D"/>
    <w:rsid w:val="00CD6AD3"/>
    <w:rsid w:val="00CE46AE"/>
    <w:rsid w:val="00D0729D"/>
    <w:rsid w:val="00D2177D"/>
    <w:rsid w:val="00D225F8"/>
    <w:rsid w:val="00D2489E"/>
    <w:rsid w:val="00D27D57"/>
    <w:rsid w:val="00D70847"/>
    <w:rsid w:val="00D77975"/>
    <w:rsid w:val="00D81E9D"/>
    <w:rsid w:val="00D8697B"/>
    <w:rsid w:val="00D939A5"/>
    <w:rsid w:val="00DA2424"/>
    <w:rsid w:val="00DA2DD4"/>
    <w:rsid w:val="00DA3A19"/>
    <w:rsid w:val="00DD372B"/>
    <w:rsid w:val="00DD4A2E"/>
    <w:rsid w:val="00E45E56"/>
    <w:rsid w:val="00E700FE"/>
    <w:rsid w:val="00E74D7E"/>
    <w:rsid w:val="00E84505"/>
    <w:rsid w:val="00E92EAC"/>
    <w:rsid w:val="00EA47EA"/>
    <w:rsid w:val="00EC0269"/>
    <w:rsid w:val="00EE0C84"/>
    <w:rsid w:val="00F00651"/>
    <w:rsid w:val="00F02817"/>
    <w:rsid w:val="00F15F8C"/>
    <w:rsid w:val="00F30A01"/>
    <w:rsid w:val="00FD764F"/>
    <w:rsid w:val="00FE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C4C"/>
    <w:rPr>
      <w:rFonts w:asciiTheme="minorHAnsi" w:hAnsiTheme="minorHAnsi"/>
      <w:sz w:val="22"/>
    </w:rPr>
  </w:style>
  <w:style w:type="paragraph" w:styleId="Heading2">
    <w:name w:val="heading 2"/>
    <w:basedOn w:val="Normal"/>
    <w:link w:val="Heading2Char"/>
    <w:uiPriority w:val="9"/>
    <w:qFormat/>
    <w:rsid w:val="00531C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9"/>
      <w:szCs w:val="29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31C4C"/>
    <w:rPr>
      <w:rFonts w:eastAsia="Times New Roman" w:cs="Times New Roman"/>
      <w:b/>
      <w:bCs/>
      <w:sz w:val="29"/>
      <w:szCs w:val="29"/>
      <w:lang w:eastAsia="en-GB"/>
    </w:rPr>
  </w:style>
  <w:style w:type="paragraph" w:styleId="ListParagraph">
    <w:name w:val="List Paragraph"/>
    <w:basedOn w:val="Normal"/>
    <w:uiPriority w:val="34"/>
    <w:qFormat/>
    <w:rsid w:val="00531C4C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531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1C4C"/>
    <w:rPr>
      <w:rFonts w:asciiTheme="minorHAnsi" w:hAnsiTheme="minorHAnsi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531C4C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531C4C"/>
  </w:style>
  <w:style w:type="paragraph" w:styleId="BalloonText">
    <w:name w:val="Balloon Text"/>
    <w:basedOn w:val="Normal"/>
    <w:link w:val="BalloonTextChar"/>
    <w:uiPriority w:val="99"/>
    <w:semiHidden/>
    <w:unhideWhenUsed/>
    <w:rsid w:val="0095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C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50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0F0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8450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0F0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CE683-A379-4526-9C34-997D772DC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milica.adamovic</dc:creator>
  <cp:lastModifiedBy>jovan</cp:lastModifiedBy>
  <cp:revision>2</cp:revision>
  <cp:lastPrinted>2013-04-05T10:45:00Z</cp:lastPrinted>
  <dcterms:created xsi:type="dcterms:W3CDTF">2013-04-05T15:06:00Z</dcterms:created>
  <dcterms:modified xsi:type="dcterms:W3CDTF">2013-04-05T15:06:00Z</dcterms:modified>
</cp:coreProperties>
</file>