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9692C" w14:textId="56EF70F6" w:rsidR="00AA78C6" w:rsidRPr="00900C37" w:rsidRDefault="00AA78C6">
      <w:pPr>
        <w:rPr>
          <w:rFonts w:ascii="Times New Roman" w:eastAsia="Times New Roman" w:hAnsi="Times New Roman" w:cs="Times New Roman"/>
          <w:color w:val="000000"/>
          <w:sz w:val="24"/>
          <w:szCs w:val="24"/>
          <w:lang w:val="sr-Latn-RS"/>
        </w:rPr>
      </w:pPr>
    </w:p>
    <w:p w14:paraId="5804728F" w14:textId="77777777" w:rsidR="00456B92" w:rsidRPr="00900C37" w:rsidRDefault="00456B92" w:rsidP="00456B92">
      <w:pPr>
        <w:spacing w:after="0" w:line="240" w:lineRule="auto"/>
        <w:ind w:firstLine="720"/>
        <w:jc w:val="center"/>
        <w:rPr>
          <w:rFonts w:ascii="Times New Roman" w:hAnsi="Times New Roman" w:cs="Times New Roman"/>
          <w:b/>
          <w:sz w:val="24"/>
          <w:szCs w:val="24"/>
          <w:lang w:val="sr-Cyrl-RS"/>
        </w:rPr>
      </w:pPr>
      <w:r w:rsidRPr="00900C37">
        <w:rPr>
          <w:rFonts w:ascii="Times New Roman" w:hAnsi="Times New Roman" w:cs="Times New Roman"/>
          <w:b/>
          <w:sz w:val="24"/>
          <w:szCs w:val="24"/>
          <w:lang w:val="sr-Cyrl-RS"/>
        </w:rPr>
        <w:t>О Б Р А З Л О Ж Е Њ Е</w:t>
      </w:r>
    </w:p>
    <w:p w14:paraId="3DABACEB" w14:textId="77777777" w:rsidR="00456B92" w:rsidRPr="00900C37" w:rsidRDefault="00456B92" w:rsidP="00456B92">
      <w:pPr>
        <w:spacing w:after="0" w:line="240" w:lineRule="auto"/>
        <w:ind w:firstLine="720"/>
        <w:rPr>
          <w:rFonts w:ascii="Times New Roman" w:hAnsi="Times New Roman" w:cs="Times New Roman"/>
          <w:b/>
          <w:sz w:val="24"/>
          <w:szCs w:val="24"/>
        </w:rPr>
      </w:pPr>
      <w:r w:rsidRPr="00900C37">
        <w:rPr>
          <w:rFonts w:ascii="Times New Roman" w:hAnsi="Times New Roman" w:cs="Times New Roman"/>
          <w:b/>
          <w:sz w:val="24"/>
          <w:szCs w:val="24"/>
          <w:lang w:val="sr-Cyrl-RS"/>
        </w:rPr>
        <w:tab/>
      </w:r>
    </w:p>
    <w:p w14:paraId="7E158C75" w14:textId="77777777" w:rsidR="00456B92" w:rsidRPr="00900C37" w:rsidRDefault="00456B92" w:rsidP="00456B92">
      <w:pPr>
        <w:spacing w:after="0" w:line="240" w:lineRule="auto"/>
        <w:ind w:firstLine="720"/>
        <w:rPr>
          <w:rFonts w:ascii="Times New Roman" w:eastAsia="Times New Roman" w:hAnsi="Times New Roman" w:cs="Times New Roman"/>
          <w:b/>
          <w:sz w:val="24"/>
          <w:szCs w:val="24"/>
          <w:lang w:val="sr-Cyrl-CS" w:eastAsia="sr-Latn-CS"/>
        </w:rPr>
      </w:pPr>
      <w:r w:rsidRPr="00900C37">
        <w:rPr>
          <w:rFonts w:ascii="Times New Roman" w:eastAsia="Times New Roman" w:hAnsi="Times New Roman" w:cs="Times New Roman"/>
          <w:b/>
          <w:sz w:val="24"/>
          <w:szCs w:val="24"/>
          <w:lang w:eastAsia="sr-Latn-CS"/>
        </w:rPr>
        <w:t>I</w:t>
      </w:r>
      <w:r w:rsidRPr="00900C37">
        <w:rPr>
          <w:rFonts w:ascii="Times New Roman" w:eastAsia="Times New Roman" w:hAnsi="Times New Roman" w:cs="Times New Roman"/>
          <w:b/>
          <w:sz w:val="24"/>
          <w:szCs w:val="24"/>
          <w:lang w:val="ru-RU" w:eastAsia="sr-Latn-CS"/>
        </w:rPr>
        <w:t xml:space="preserve">. </w:t>
      </w:r>
      <w:r w:rsidRPr="00900C37">
        <w:rPr>
          <w:rFonts w:ascii="Times New Roman" w:eastAsia="Times New Roman" w:hAnsi="Times New Roman" w:cs="Times New Roman"/>
          <w:b/>
          <w:sz w:val="24"/>
          <w:szCs w:val="24"/>
          <w:lang w:val="sr-Cyrl-CS" w:eastAsia="sr-Latn-CS"/>
        </w:rPr>
        <w:t>УСТАВНИ ОСНОВ ЗА ДОНОШЕЊЕ ЗАКОНА</w:t>
      </w:r>
    </w:p>
    <w:p w14:paraId="1BBA6396" w14:textId="77777777" w:rsidR="00456B92" w:rsidRPr="00900C37" w:rsidRDefault="00456B92" w:rsidP="00456B92">
      <w:pPr>
        <w:spacing w:after="0" w:line="240" w:lineRule="auto"/>
        <w:ind w:firstLine="720"/>
        <w:rPr>
          <w:rFonts w:ascii="Times New Roman" w:eastAsia="Times New Roman" w:hAnsi="Times New Roman" w:cs="Times New Roman"/>
          <w:sz w:val="24"/>
          <w:szCs w:val="24"/>
          <w:lang w:val="sr-Latn-RS" w:eastAsia="sr-Latn-CS"/>
        </w:rPr>
      </w:pPr>
      <w:r w:rsidRPr="00900C37">
        <w:rPr>
          <w:rFonts w:ascii="Times New Roman" w:eastAsia="Times New Roman" w:hAnsi="Times New Roman" w:cs="Times New Roman"/>
          <w:sz w:val="24"/>
          <w:szCs w:val="24"/>
          <w:lang w:val="sr-Latn-RS" w:eastAsia="sr-Latn-CS"/>
        </w:rPr>
        <w:tab/>
      </w:r>
    </w:p>
    <w:p w14:paraId="588B275D" w14:textId="77777777" w:rsidR="00456B92" w:rsidRPr="00900C37" w:rsidRDefault="00456B92" w:rsidP="00456B92">
      <w:pPr>
        <w:spacing w:after="0" w:line="240" w:lineRule="auto"/>
        <w:ind w:firstLine="720"/>
        <w:jc w:val="both"/>
        <w:rPr>
          <w:rFonts w:ascii="Times New Roman" w:eastAsia="Times New Roman" w:hAnsi="Times New Roman" w:cs="Times New Roman"/>
          <w:sz w:val="24"/>
          <w:szCs w:val="24"/>
          <w:lang w:val="sr-Cyrl-CS"/>
        </w:rPr>
      </w:pPr>
      <w:r w:rsidRPr="00900C37">
        <w:rPr>
          <w:rFonts w:ascii="Times New Roman" w:eastAsia="Times New Roman" w:hAnsi="Times New Roman" w:cs="Times New Roman"/>
          <w:sz w:val="24"/>
          <w:szCs w:val="24"/>
          <w:lang w:val="sr-Cyrl-CS"/>
        </w:rPr>
        <w:t>Уставни основ за доношење Закона о Правосудној академији</w:t>
      </w:r>
      <w:r w:rsidRPr="00900C37">
        <w:rPr>
          <w:rFonts w:ascii="Times New Roman" w:eastAsia="Times New Roman" w:hAnsi="Times New Roman" w:cs="Times New Roman"/>
          <w:sz w:val="24"/>
          <w:szCs w:val="24"/>
          <w:lang w:val="sr-Cyrl-RS"/>
        </w:rPr>
        <w:t xml:space="preserve">  </w:t>
      </w:r>
      <w:r w:rsidRPr="00900C37">
        <w:rPr>
          <w:rFonts w:ascii="Times New Roman" w:eastAsia="Times New Roman" w:hAnsi="Times New Roman" w:cs="Times New Roman"/>
          <w:sz w:val="24"/>
          <w:szCs w:val="24"/>
          <w:lang w:val="sr-Cyrl-CS"/>
        </w:rPr>
        <w:t xml:space="preserve">садржан је у </w:t>
      </w:r>
      <w:r w:rsidRPr="00900C37">
        <w:rPr>
          <w:rFonts w:ascii="Times New Roman" w:eastAsia="Times New Roman" w:hAnsi="Times New Roman" w:cs="Times New Roman"/>
          <w:sz w:val="24"/>
          <w:szCs w:val="24"/>
          <w:lang w:val="sr-Latn-RS"/>
        </w:rPr>
        <w:t xml:space="preserve">одредби </w:t>
      </w:r>
      <w:r w:rsidRPr="00900C37">
        <w:rPr>
          <w:rFonts w:ascii="Times New Roman" w:eastAsia="Times New Roman" w:hAnsi="Times New Roman" w:cs="Times New Roman"/>
          <w:sz w:val="24"/>
          <w:szCs w:val="24"/>
          <w:lang w:val="sr-Cyrl-CS"/>
        </w:rPr>
        <w:t xml:space="preserve">члана 97. тачка 17) Устава Републике Србије, који прописује да Република Србија уређује и обезбеђује између осталог, друге односе од интереса за Републику Србију у складу са Уставом. </w:t>
      </w:r>
    </w:p>
    <w:p w14:paraId="6D720BA0" w14:textId="77777777" w:rsidR="00456B92" w:rsidRPr="00900C37" w:rsidRDefault="00456B92" w:rsidP="00456B92">
      <w:pPr>
        <w:spacing w:after="0" w:line="240" w:lineRule="auto"/>
        <w:ind w:firstLine="720"/>
        <w:jc w:val="both"/>
        <w:rPr>
          <w:rFonts w:ascii="Times New Roman" w:eastAsia="Times New Roman" w:hAnsi="Times New Roman" w:cs="Times New Roman"/>
          <w:sz w:val="24"/>
          <w:szCs w:val="24"/>
          <w:lang w:val="sr-Cyrl-CS"/>
        </w:rPr>
      </w:pPr>
      <w:r w:rsidRPr="00900C37">
        <w:rPr>
          <w:rFonts w:ascii="Times New Roman" w:eastAsia="Times New Roman" w:hAnsi="Times New Roman" w:cs="Times New Roman"/>
          <w:sz w:val="24"/>
          <w:szCs w:val="24"/>
          <w:lang w:val="sr-Cyrl-CS"/>
        </w:rPr>
        <w:tab/>
      </w:r>
    </w:p>
    <w:p w14:paraId="4B34E818" w14:textId="77777777" w:rsidR="00456B92" w:rsidRPr="00900C37" w:rsidRDefault="00456B92" w:rsidP="00456B92">
      <w:pPr>
        <w:spacing w:after="0" w:line="240" w:lineRule="auto"/>
        <w:ind w:firstLine="720"/>
        <w:jc w:val="both"/>
        <w:rPr>
          <w:rFonts w:ascii="Times New Roman" w:eastAsia="Times New Roman" w:hAnsi="Times New Roman" w:cs="Times New Roman"/>
          <w:b/>
          <w:sz w:val="24"/>
          <w:szCs w:val="24"/>
          <w:lang w:val="sr-Cyrl-CS" w:eastAsia="sr-Latn-CS"/>
        </w:rPr>
      </w:pPr>
      <w:r w:rsidRPr="00900C37">
        <w:rPr>
          <w:rFonts w:ascii="Times New Roman" w:eastAsia="Times New Roman" w:hAnsi="Times New Roman" w:cs="Times New Roman"/>
          <w:b/>
          <w:sz w:val="24"/>
          <w:szCs w:val="24"/>
          <w:lang w:val="sr-Latn-RS" w:eastAsia="sr-Latn-CS"/>
        </w:rPr>
        <w:t xml:space="preserve">II. </w:t>
      </w:r>
      <w:r w:rsidRPr="00900C37">
        <w:rPr>
          <w:rFonts w:ascii="Times New Roman" w:eastAsia="Times New Roman" w:hAnsi="Times New Roman" w:cs="Times New Roman"/>
          <w:b/>
          <w:sz w:val="24"/>
          <w:szCs w:val="24"/>
          <w:lang w:val="sr-Cyrl-CS" w:eastAsia="sr-Latn-CS"/>
        </w:rPr>
        <w:t>РАЗЛОЗИ ЗА ДОНОШЕЊЕ ЗАКОНА</w:t>
      </w:r>
    </w:p>
    <w:p w14:paraId="47B8BB02" w14:textId="77777777" w:rsidR="00456B92" w:rsidRPr="00900C37" w:rsidRDefault="00456B92" w:rsidP="00456B92">
      <w:pPr>
        <w:spacing w:after="0" w:line="240" w:lineRule="auto"/>
        <w:ind w:firstLine="720"/>
        <w:jc w:val="both"/>
        <w:rPr>
          <w:rFonts w:ascii="Times New Roman" w:eastAsia="Times New Roman" w:hAnsi="Times New Roman" w:cs="Times New Roman"/>
          <w:b/>
          <w:sz w:val="24"/>
          <w:szCs w:val="24"/>
          <w:lang w:val="sr-Cyrl-CS" w:eastAsia="sr-Latn-CS"/>
        </w:rPr>
      </w:pPr>
    </w:p>
    <w:p w14:paraId="14EB10D9" w14:textId="77777777" w:rsidR="00456B92" w:rsidRPr="00900C37" w:rsidRDefault="00456B92" w:rsidP="00456B92">
      <w:pPr>
        <w:spacing w:after="0" w:line="240" w:lineRule="auto"/>
        <w:ind w:firstLine="720"/>
        <w:jc w:val="both"/>
        <w:rPr>
          <w:rFonts w:ascii="Times New Roman" w:eastAsia="Times New Roman" w:hAnsi="Times New Roman" w:cs="Times New Roman"/>
          <w:sz w:val="24"/>
          <w:szCs w:val="24"/>
          <w:lang w:val="sr-Cyrl-CS" w:eastAsia="sr-Latn-CS"/>
        </w:rPr>
      </w:pPr>
      <w:r w:rsidRPr="00900C37">
        <w:rPr>
          <w:rFonts w:ascii="Times New Roman" w:eastAsia="Times New Roman" w:hAnsi="Times New Roman" w:cs="Times New Roman"/>
          <w:sz w:val="24"/>
          <w:szCs w:val="24"/>
          <w:lang w:val="sr-Cyrl-CS" w:eastAsia="sr-Latn-CS"/>
        </w:rPr>
        <w:t>Нови Закон о Правосудној академији је недостајући део иновираног правног оквира у области правосуђа</w:t>
      </w:r>
      <w:r w:rsidRPr="00900C37">
        <w:rPr>
          <w:rFonts w:ascii="Times New Roman" w:eastAsia="Times New Roman" w:hAnsi="Times New Roman" w:cs="Times New Roman"/>
          <w:sz w:val="24"/>
          <w:szCs w:val="24"/>
          <w:lang w:val="sr-Latn-RS" w:eastAsia="sr-Latn-CS"/>
        </w:rPr>
        <w:t>,</w:t>
      </w:r>
      <w:r w:rsidRPr="00900C37">
        <w:rPr>
          <w:rFonts w:ascii="Times New Roman" w:eastAsia="Times New Roman" w:hAnsi="Times New Roman" w:cs="Times New Roman"/>
          <w:sz w:val="24"/>
          <w:szCs w:val="24"/>
          <w:lang w:val="sr-Cyrl-CS" w:eastAsia="sr-Latn-CS"/>
        </w:rPr>
        <w:t xml:space="preserve"> изворно реформисаног изменама највишег општег правног акта Устава. Правосудни закони који ближе разрађују измене Устава, поред осталог, дефинишу питања избора носилаца правосудних функција, њихов статус, положај и надлежности правосудних тела, али и додатно устројавају гарантије независности и самосталности правосудних органа. Питање стручности и оспособљености је у служби јасних и мерљивих критеријума за избор, напредовање и квалитет рада у правосуђу у целини. </w:t>
      </w:r>
    </w:p>
    <w:p w14:paraId="18F2157F" w14:textId="3B0326A1" w:rsidR="00456B92" w:rsidRPr="00900C37" w:rsidRDefault="004B349E" w:rsidP="00456B92">
      <w:pPr>
        <w:spacing w:after="0" w:line="240" w:lineRule="auto"/>
        <w:ind w:firstLine="720"/>
        <w:jc w:val="both"/>
        <w:rPr>
          <w:rFonts w:ascii="Times New Roman" w:eastAsia="Times New Roman" w:hAnsi="Times New Roman" w:cs="Times New Roman"/>
          <w:sz w:val="24"/>
          <w:szCs w:val="24"/>
          <w:lang w:val="sr-Cyrl-RS" w:eastAsia="sr-Latn-CS"/>
        </w:rPr>
      </w:pPr>
      <w:r>
        <w:rPr>
          <w:rFonts w:ascii="Times New Roman" w:eastAsia="Times New Roman" w:hAnsi="Times New Roman" w:cs="Times New Roman"/>
          <w:sz w:val="24"/>
          <w:szCs w:val="24"/>
          <w:lang w:val="sr-Cyrl-CS" w:eastAsia="sr-Latn-CS"/>
        </w:rPr>
        <w:t xml:space="preserve">Предлог </w:t>
      </w:r>
      <w:r w:rsidR="00456B92" w:rsidRPr="00900C37">
        <w:rPr>
          <w:rFonts w:ascii="Times New Roman" w:eastAsia="Times New Roman" w:hAnsi="Times New Roman" w:cs="Times New Roman"/>
          <w:sz w:val="24"/>
          <w:szCs w:val="24"/>
          <w:lang w:val="sr-Cyrl-CS" w:eastAsia="sr-Latn-CS"/>
        </w:rPr>
        <w:t>закона био је предмет разматрања Европске комис</w:t>
      </w:r>
      <w:r w:rsidR="006941E8" w:rsidRPr="00900C37">
        <w:rPr>
          <w:rFonts w:ascii="Times New Roman" w:eastAsia="Times New Roman" w:hAnsi="Times New Roman" w:cs="Times New Roman"/>
          <w:sz w:val="24"/>
          <w:szCs w:val="24"/>
          <w:lang w:val="sr-Cyrl-CS" w:eastAsia="sr-Latn-CS"/>
        </w:rPr>
        <w:t>ије за демократију путем права,</w:t>
      </w:r>
      <w:r w:rsidR="00456B92" w:rsidRPr="00900C37">
        <w:rPr>
          <w:rFonts w:ascii="Times New Roman" w:eastAsia="Times New Roman" w:hAnsi="Times New Roman" w:cs="Times New Roman"/>
          <w:sz w:val="24"/>
          <w:szCs w:val="24"/>
          <w:lang w:val="sr-Cyrl-CS" w:eastAsia="sr-Latn-CS"/>
        </w:rPr>
        <w:t xml:space="preserve"> Венецијанске комисије, која је у свом мишљењу дала позитивну оцену предложеног законског оквира</w:t>
      </w:r>
      <w:r w:rsidR="006941E8" w:rsidRPr="00900C37">
        <w:rPr>
          <w:rFonts w:ascii="Times New Roman" w:eastAsia="Times New Roman" w:hAnsi="Times New Roman" w:cs="Times New Roman"/>
          <w:sz w:val="24"/>
          <w:szCs w:val="24"/>
          <w:lang w:val="sr-Cyrl-RS" w:eastAsia="sr-Latn-CS"/>
        </w:rPr>
        <w:t>.</w:t>
      </w:r>
    </w:p>
    <w:p w14:paraId="1A2F799D" w14:textId="77777777" w:rsidR="006941E8" w:rsidRPr="00900C37" w:rsidRDefault="006941E8" w:rsidP="00456B92">
      <w:pPr>
        <w:spacing w:after="0" w:line="240" w:lineRule="auto"/>
        <w:ind w:firstLine="720"/>
        <w:jc w:val="both"/>
        <w:rPr>
          <w:rFonts w:ascii="Times New Roman" w:eastAsia="Times New Roman" w:hAnsi="Times New Roman" w:cs="Times New Roman"/>
          <w:b/>
          <w:sz w:val="24"/>
          <w:szCs w:val="24"/>
          <w:lang w:val="sr-Cyrl-RS" w:eastAsia="sr-Latn-CS"/>
        </w:rPr>
      </w:pPr>
    </w:p>
    <w:p w14:paraId="2A5932A9" w14:textId="77777777" w:rsidR="00456B92" w:rsidRPr="00900C37" w:rsidRDefault="00456B92" w:rsidP="00456B92">
      <w:pPr>
        <w:spacing w:after="0" w:line="240" w:lineRule="auto"/>
        <w:ind w:firstLine="720"/>
        <w:jc w:val="both"/>
        <w:rPr>
          <w:rFonts w:ascii="Times New Roman" w:eastAsia="Times New Roman" w:hAnsi="Times New Roman" w:cs="Times New Roman"/>
          <w:b/>
          <w:sz w:val="24"/>
          <w:szCs w:val="24"/>
          <w:lang w:val="sr-Cyrl-CS" w:eastAsia="sr-Latn-CS"/>
        </w:rPr>
      </w:pPr>
      <w:r w:rsidRPr="00900C37">
        <w:rPr>
          <w:rFonts w:ascii="Times New Roman" w:eastAsia="Times New Roman" w:hAnsi="Times New Roman" w:cs="Times New Roman"/>
          <w:b/>
          <w:sz w:val="24"/>
          <w:szCs w:val="24"/>
          <w:lang w:val="sr-Latn-CS" w:eastAsia="sr-Latn-CS"/>
        </w:rPr>
        <w:t xml:space="preserve">III. </w:t>
      </w:r>
      <w:r w:rsidRPr="00900C37">
        <w:rPr>
          <w:rFonts w:ascii="Times New Roman" w:eastAsia="Times New Roman" w:hAnsi="Times New Roman" w:cs="Times New Roman"/>
          <w:b/>
          <w:sz w:val="24"/>
          <w:szCs w:val="24"/>
          <w:lang w:val="sr-Cyrl-CS" w:eastAsia="sr-Latn-CS"/>
        </w:rPr>
        <w:t>ОБЈАШЊЕЊЕ ОСНОВНИХ ПРАВНИХ ИНСТИТУТА И ПОЈЕДИНАЧНИХ РЕШЕЊА</w:t>
      </w:r>
    </w:p>
    <w:p w14:paraId="3AF940D5" w14:textId="77777777" w:rsidR="00456B92" w:rsidRPr="00900C37" w:rsidRDefault="00456B92" w:rsidP="00456B92">
      <w:pPr>
        <w:spacing w:after="0" w:line="240" w:lineRule="auto"/>
        <w:ind w:firstLine="720"/>
        <w:jc w:val="both"/>
        <w:rPr>
          <w:rFonts w:ascii="Times New Roman" w:eastAsia="Times New Roman" w:hAnsi="Times New Roman" w:cs="Times New Roman"/>
          <w:b/>
          <w:sz w:val="24"/>
          <w:szCs w:val="24"/>
          <w:lang w:val="sr-Cyrl-CS" w:eastAsia="sr-Latn-CS"/>
        </w:rPr>
      </w:pPr>
    </w:p>
    <w:p w14:paraId="0738F124" w14:textId="13297AC1"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Latn-RS"/>
        </w:rPr>
      </w:pPr>
      <w:r w:rsidRPr="00900C37">
        <w:rPr>
          <w:rFonts w:ascii="Times New Roman" w:eastAsia="Calibri" w:hAnsi="Times New Roman" w:cs="Times New Roman"/>
          <w:sz w:val="24"/>
          <w:szCs w:val="24"/>
          <w:lang w:val="sr-Cyrl-RS"/>
        </w:rPr>
        <w:t xml:space="preserve">Одредбом члана 1. </w:t>
      </w:r>
      <w:r w:rsidR="004B349E">
        <w:rPr>
          <w:rFonts w:ascii="Times New Roman" w:eastAsia="Calibri" w:hAnsi="Times New Roman" w:cs="Times New Roman"/>
          <w:sz w:val="24"/>
          <w:szCs w:val="24"/>
          <w:lang w:val="sr-Cyrl-RS"/>
        </w:rPr>
        <w:t xml:space="preserve">Предлога </w:t>
      </w:r>
      <w:r w:rsidRPr="00900C37">
        <w:rPr>
          <w:rFonts w:ascii="Times New Roman" w:eastAsia="Calibri" w:hAnsi="Times New Roman" w:cs="Times New Roman"/>
          <w:sz w:val="24"/>
          <w:szCs w:val="24"/>
          <w:lang w:val="sr-Cyrl-RS"/>
        </w:rPr>
        <w:t xml:space="preserve">закона уређује се предмет закона који се питања </w:t>
      </w:r>
      <w:r w:rsidRPr="00900C37">
        <w:rPr>
          <w:rFonts w:ascii="Times New Roman" w:eastAsia="Times New Roman" w:hAnsi="Times New Roman" w:cs="Times New Roman"/>
          <w:sz w:val="24"/>
          <w:szCs w:val="24"/>
          <w:lang w:val="sr-Latn-RS"/>
        </w:rPr>
        <w:t>статус</w:t>
      </w:r>
      <w:r w:rsidRPr="00900C37">
        <w:rPr>
          <w:rFonts w:ascii="Times New Roman" w:eastAsia="Times New Roman" w:hAnsi="Times New Roman" w:cs="Times New Roman"/>
          <w:sz w:val="24"/>
          <w:szCs w:val="24"/>
          <w:lang w:val="sr-Cyrl-RS"/>
        </w:rPr>
        <w:t>а Правосудне академије (у даљем тексту: Академија)</w:t>
      </w:r>
      <w:r w:rsidRPr="00900C37">
        <w:rPr>
          <w:rFonts w:ascii="Times New Roman" w:eastAsia="Times New Roman" w:hAnsi="Times New Roman" w:cs="Times New Roman"/>
          <w:sz w:val="24"/>
          <w:szCs w:val="24"/>
          <w:lang w:val="sr-Latn-RS"/>
        </w:rPr>
        <w:t>, делатност</w:t>
      </w:r>
      <w:r w:rsidRPr="00900C37">
        <w:rPr>
          <w:rFonts w:ascii="Times New Roman" w:eastAsia="Times New Roman" w:hAnsi="Times New Roman" w:cs="Times New Roman"/>
          <w:sz w:val="24"/>
          <w:szCs w:val="24"/>
          <w:lang w:val="sr-Cyrl-RS"/>
        </w:rPr>
        <w:t>и ове установе</w:t>
      </w:r>
      <w:r w:rsidRPr="00900C37">
        <w:rPr>
          <w:rFonts w:ascii="Times New Roman" w:eastAsia="Times New Roman" w:hAnsi="Times New Roman" w:cs="Times New Roman"/>
          <w:sz w:val="24"/>
          <w:szCs w:val="24"/>
          <w:lang w:val="sr-Latn-RS"/>
        </w:rPr>
        <w:t xml:space="preserve">, </w:t>
      </w:r>
      <w:r w:rsidRPr="00900C37">
        <w:rPr>
          <w:rFonts w:ascii="Times New Roman" w:eastAsia="Times New Roman" w:hAnsi="Times New Roman" w:cs="Times New Roman"/>
          <w:sz w:val="24"/>
          <w:szCs w:val="24"/>
          <w:lang w:val="sr-Cyrl-RS"/>
        </w:rPr>
        <w:t xml:space="preserve">њених </w:t>
      </w:r>
      <w:r w:rsidRPr="00900C37">
        <w:rPr>
          <w:rFonts w:ascii="Times New Roman" w:eastAsia="Times New Roman" w:hAnsi="Times New Roman" w:cs="Times New Roman"/>
          <w:sz w:val="24"/>
          <w:szCs w:val="24"/>
          <w:lang w:val="sr-Latn-RS"/>
        </w:rPr>
        <w:t>орган</w:t>
      </w:r>
      <w:r w:rsidRPr="00900C37">
        <w:rPr>
          <w:rFonts w:ascii="Times New Roman" w:eastAsia="Times New Roman" w:hAnsi="Times New Roman" w:cs="Times New Roman"/>
          <w:sz w:val="24"/>
          <w:szCs w:val="24"/>
          <w:lang w:val="sr-Cyrl-RS"/>
        </w:rPr>
        <w:t>а</w:t>
      </w:r>
      <w:r w:rsidRPr="00900C37">
        <w:rPr>
          <w:rFonts w:ascii="Times New Roman" w:eastAsia="Times New Roman" w:hAnsi="Times New Roman" w:cs="Times New Roman"/>
          <w:sz w:val="24"/>
          <w:szCs w:val="24"/>
          <w:lang w:val="sr-Latn-RS"/>
        </w:rPr>
        <w:t xml:space="preserve"> управљања</w:t>
      </w:r>
      <w:r w:rsidRPr="00900C37">
        <w:rPr>
          <w:rFonts w:ascii="Times New Roman" w:eastAsia="Times New Roman" w:hAnsi="Times New Roman" w:cs="Times New Roman"/>
          <w:sz w:val="24"/>
          <w:szCs w:val="24"/>
          <w:lang w:val="sr-Cyrl-RS"/>
        </w:rPr>
        <w:t xml:space="preserve">, </w:t>
      </w:r>
      <w:r w:rsidRPr="00900C37">
        <w:rPr>
          <w:rFonts w:ascii="Times New Roman" w:eastAsia="Times New Roman" w:hAnsi="Times New Roman" w:cs="Times New Roman"/>
          <w:sz w:val="24"/>
          <w:szCs w:val="24"/>
          <w:lang w:val="sr-Latn-RS"/>
        </w:rPr>
        <w:t>финансирањ</w:t>
      </w:r>
      <w:r w:rsidRPr="00900C37">
        <w:rPr>
          <w:rFonts w:ascii="Times New Roman" w:eastAsia="Times New Roman" w:hAnsi="Times New Roman" w:cs="Times New Roman"/>
          <w:sz w:val="24"/>
          <w:szCs w:val="24"/>
          <w:lang w:val="sr-Cyrl-RS"/>
        </w:rPr>
        <w:t>а</w:t>
      </w:r>
      <w:r w:rsidRPr="00900C37">
        <w:rPr>
          <w:rFonts w:ascii="Times New Roman" w:eastAsia="Times New Roman" w:hAnsi="Times New Roman" w:cs="Times New Roman"/>
          <w:sz w:val="24"/>
          <w:szCs w:val="24"/>
          <w:lang w:val="sr-Latn-RS"/>
        </w:rPr>
        <w:t>, обук</w:t>
      </w:r>
      <w:r w:rsidRPr="00900C37">
        <w:rPr>
          <w:rFonts w:ascii="Times New Roman" w:eastAsia="Times New Roman" w:hAnsi="Times New Roman" w:cs="Times New Roman"/>
          <w:sz w:val="24"/>
          <w:szCs w:val="24"/>
          <w:lang w:val="sr-Cyrl-RS"/>
        </w:rPr>
        <w:t>е</w:t>
      </w:r>
      <w:r w:rsidRPr="00900C37">
        <w:rPr>
          <w:rFonts w:ascii="Times New Roman" w:eastAsia="Times New Roman" w:hAnsi="Times New Roman" w:cs="Times New Roman"/>
          <w:sz w:val="24"/>
          <w:szCs w:val="24"/>
          <w:lang w:val="sr-Latn-RS"/>
        </w:rPr>
        <w:t xml:space="preserve"> судија</w:t>
      </w:r>
      <w:r w:rsidRPr="00900C37">
        <w:rPr>
          <w:rFonts w:ascii="Times New Roman" w:eastAsia="Times New Roman" w:hAnsi="Times New Roman" w:cs="Times New Roman"/>
          <w:sz w:val="24"/>
          <w:szCs w:val="24"/>
          <w:lang w:val="sr-Cyrl-RS"/>
        </w:rPr>
        <w:t xml:space="preserve"> и носилаца</w:t>
      </w:r>
      <w:r w:rsidRPr="00900C37">
        <w:rPr>
          <w:rFonts w:ascii="Times New Roman" w:eastAsia="Times New Roman" w:hAnsi="Times New Roman" w:cs="Times New Roman"/>
          <w:sz w:val="24"/>
          <w:szCs w:val="24"/>
          <w:lang w:val="sr-Latn-RS"/>
        </w:rPr>
        <w:t xml:space="preserve"> јавн</w:t>
      </w:r>
      <w:r w:rsidRPr="00900C37">
        <w:rPr>
          <w:rFonts w:ascii="Times New Roman" w:eastAsia="Times New Roman" w:hAnsi="Times New Roman" w:cs="Times New Roman"/>
          <w:sz w:val="24"/>
          <w:szCs w:val="24"/>
          <w:lang w:val="sr-Cyrl-RS"/>
        </w:rPr>
        <w:t>о</w:t>
      </w:r>
      <w:r w:rsidRPr="00900C37">
        <w:rPr>
          <w:rFonts w:ascii="Times New Roman" w:eastAsia="Times New Roman" w:hAnsi="Times New Roman" w:cs="Times New Roman"/>
          <w:sz w:val="24"/>
          <w:szCs w:val="24"/>
          <w:lang w:val="sr-Latn-RS"/>
        </w:rPr>
        <w:t>тужил</w:t>
      </w:r>
      <w:r w:rsidRPr="00900C37">
        <w:rPr>
          <w:rFonts w:ascii="Times New Roman" w:eastAsia="Times New Roman" w:hAnsi="Times New Roman" w:cs="Times New Roman"/>
          <w:sz w:val="24"/>
          <w:szCs w:val="24"/>
          <w:lang w:val="sr-Cyrl-RS"/>
        </w:rPr>
        <w:t>ачке функције</w:t>
      </w:r>
      <w:r w:rsidRPr="00900C37">
        <w:rPr>
          <w:rFonts w:ascii="Times New Roman" w:eastAsia="Times New Roman" w:hAnsi="Times New Roman" w:cs="Times New Roman"/>
          <w:sz w:val="24"/>
          <w:szCs w:val="24"/>
          <w:lang w:val="sr-Latn-RS"/>
        </w:rPr>
        <w:t>, обук</w:t>
      </w:r>
      <w:r w:rsidRPr="00900C37">
        <w:rPr>
          <w:rFonts w:ascii="Times New Roman" w:eastAsia="Times New Roman" w:hAnsi="Times New Roman" w:cs="Times New Roman"/>
          <w:sz w:val="24"/>
          <w:szCs w:val="24"/>
          <w:lang w:val="sr-Cyrl-RS"/>
        </w:rPr>
        <w:t>е</w:t>
      </w:r>
      <w:r w:rsidRPr="00900C37">
        <w:rPr>
          <w:rFonts w:ascii="Times New Roman" w:eastAsia="Times New Roman" w:hAnsi="Times New Roman" w:cs="Times New Roman"/>
          <w:sz w:val="24"/>
          <w:szCs w:val="24"/>
          <w:lang w:val="sr-Latn-RS"/>
        </w:rPr>
        <w:t xml:space="preserve"> судијских и </w:t>
      </w:r>
      <w:r w:rsidRPr="00900C37">
        <w:rPr>
          <w:rFonts w:ascii="Times New Roman" w:eastAsia="Times New Roman" w:hAnsi="Times New Roman" w:cs="Times New Roman"/>
          <w:sz w:val="24"/>
          <w:szCs w:val="24"/>
          <w:lang w:val="sr-Cyrl-RS"/>
        </w:rPr>
        <w:t>јавно</w:t>
      </w:r>
      <w:r w:rsidRPr="00900C37">
        <w:rPr>
          <w:rFonts w:ascii="Times New Roman" w:eastAsia="Times New Roman" w:hAnsi="Times New Roman" w:cs="Times New Roman"/>
          <w:sz w:val="24"/>
          <w:szCs w:val="24"/>
          <w:lang w:val="sr-Latn-RS"/>
        </w:rPr>
        <w:t>тужилачких помоћника и приправника</w:t>
      </w:r>
      <w:r w:rsidRPr="00900C37">
        <w:rPr>
          <w:rFonts w:ascii="Times New Roman" w:eastAsia="Times New Roman" w:hAnsi="Times New Roman" w:cs="Times New Roman"/>
          <w:sz w:val="24"/>
          <w:szCs w:val="24"/>
          <w:lang w:val="sr-Cyrl-RS"/>
        </w:rPr>
        <w:t>, као</w:t>
      </w:r>
      <w:r w:rsidRPr="00900C37">
        <w:rPr>
          <w:rFonts w:ascii="Times New Roman" w:eastAsia="Times New Roman" w:hAnsi="Times New Roman" w:cs="Times New Roman"/>
          <w:sz w:val="24"/>
          <w:szCs w:val="24"/>
          <w:lang w:val="sr-Latn-RS"/>
        </w:rPr>
        <w:t xml:space="preserve"> и обук</w:t>
      </w:r>
      <w:r w:rsidRPr="00900C37">
        <w:rPr>
          <w:rFonts w:ascii="Times New Roman" w:eastAsia="Times New Roman" w:hAnsi="Times New Roman" w:cs="Times New Roman"/>
          <w:sz w:val="24"/>
          <w:szCs w:val="24"/>
          <w:lang w:val="sr-Cyrl-RS"/>
        </w:rPr>
        <w:t>е</w:t>
      </w:r>
      <w:r w:rsidRPr="00900C37">
        <w:rPr>
          <w:rFonts w:ascii="Times New Roman" w:eastAsia="Times New Roman" w:hAnsi="Times New Roman" w:cs="Times New Roman"/>
          <w:sz w:val="24"/>
          <w:szCs w:val="24"/>
          <w:lang w:val="sr-Latn-RS"/>
        </w:rPr>
        <w:t xml:space="preserve"> судског и </w:t>
      </w:r>
      <w:r w:rsidRPr="00900C37">
        <w:rPr>
          <w:rFonts w:ascii="Times New Roman" w:eastAsia="Times New Roman" w:hAnsi="Times New Roman" w:cs="Times New Roman"/>
          <w:sz w:val="24"/>
          <w:szCs w:val="24"/>
          <w:lang w:val="sr-Cyrl-RS"/>
        </w:rPr>
        <w:t>јавно</w:t>
      </w:r>
      <w:r w:rsidRPr="00900C37">
        <w:rPr>
          <w:rFonts w:ascii="Times New Roman" w:eastAsia="Times New Roman" w:hAnsi="Times New Roman" w:cs="Times New Roman"/>
          <w:sz w:val="24"/>
          <w:szCs w:val="24"/>
          <w:lang w:val="sr-Latn-RS"/>
        </w:rPr>
        <w:t>тужилачког особља.</w:t>
      </w:r>
    </w:p>
    <w:p w14:paraId="2E87A9AD" w14:textId="1D2C5704"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Одредбом члана 2. </w:t>
      </w:r>
      <w:r w:rsidR="004B349E">
        <w:rPr>
          <w:rFonts w:ascii="Times New Roman" w:eastAsia="Times New Roman" w:hAnsi="Times New Roman" w:cs="Times New Roman"/>
          <w:sz w:val="24"/>
          <w:szCs w:val="24"/>
          <w:lang w:val="sr-Cyrl-RS"/>
        </w:rPr>
        <w:t xml:space="preserve">Предлога </w:t>
      </w:r>
      <w:r w:rsidRPr="00900C37">
        <w:rPr>
          <w:rFonts w:ascii="Times New Roman" w:eastAsia="Calibri" w:hAnsi="Times New Roman" w:cs="Times New Roman"/>
          <w:sz w:val="24"/>
          <w:szCs w:val="24"/>
          <w:lang w:val="sr-Cyrl-RS"/>
        </w:rPr>
        <w:t xml:space="preserve">закона </w:t>
      </w:r>
      <w:r w:rsidRPr="00900C37">
        <w:rPr>
          <w:rFonts w:ascii="Times New Roman" w:eastAsia="Times New Roman" w:hAnsi="Times New Roman" w:cs="Times New Roman"/>
          <w:sz w:val="24"/>
          <w:szCs w:val="24"/>
          <w:lang w:val="sr-Cyrl-RS"/>
        </w:rPr>
        <w:t xml:space="preserve">дефинише се циљ рада Академије </w:t>
      </w:r>
      <w:r w:rsidRPr="00900C37">
        <w:rPr>
          <w:rFonts w:ascii="Times New Roman" w:eastAsia="Times New Roman" w:hAnsi="Times New Roman" w:cs="Times New Roman"/>
          <w:sz w:val="24"/>
          <w:szCs w:val="24"/>
          <w:lang w:val="sr-Latn-RS"/>
        </w:rPr>
        <w:t xml:space="preserve"> </w:t>
      </w:r>
      <w:r w:rsidRPr="00900C37">
        <w:rPr>
          <w:rFonts w:ascii="Times New Roman" w:eastAsia="Times New Roman" w:hAnsi="Times New Roman" w:cs="Times New Roman"/>
          <w:sz w:val="24"/>
          <w:szCs w:val="24"/>
          <w:lang w:val="sr-Cyrl-RS"/>
        </w:rPr>
        <w:t xml:space="preserve">под којим се подразумева пружање теоријске и практичне обуке која треба да </w:t>
      </w:r>
      <w:r w:rsidRPr="00900C37">
        <w:rPr>
          <w:rFonts w:ascii="Times New Roman" w:eastAsia="Times New Roman" w:hAnsi="Times New Roman" w:cs="Times New Roman"/>
          <w:sz w:val="24"/>
          <w:szCs w:val="24"/>
          <w:lang w:val="sr-Latn-RS"/>
        </w:rPr>
        <w:t xml:space="preserve">допринесе професионалном, независном, </w:t>
      </w:r>
      <w:r w:rsidRPr="00900C37">
        <w:rPr>
          <w:rFonts w:ascii="Times New Roman" w:eastAsia="Times New Roman" w:hAnsi="Times New Roman" w:cs="Times New Roman"/>
          <w:sz w:val="24"/>
          <w:szCs w:val="24"/>
          <w:lang w:val="sr-Cyrl-RS"/>
        </w:rPr>
        <w:t xml:space="preserve">самосталном, </w:t>
      </w:r>
      <w:r w:rsidRPr="00900C37">
        <w:rPr>
          <w:rFonts w:ascii="Times New Roman" w:eastAsia="Times New Roman" w:hAnsi="Times New Roman" w:cs="Times New Roman"/>
          <w:sz w:val="24"/>
          <w:szCs w:val="24"/>
          <w:lang w:val="sr-Latn-RS"/>
        </w:rPr>
        <w:t xml:space="preserve">непристрасном и ефикасном обављању судијске и </w:t>
      </w:r>
      <w:r w:rsidRPr="00900C37">
        <w:rPr>
          <w:rFonts w:ascii="Times New Roman" w:eastAsia="Times New Roman" w:hAnsi="Times New Roman" w:cs="Times New Roman"/>
          <w:sz w:val="24"/>
          <w:szCs w:val="24"/>
          <w:lang w:val="sr-Cyrl-RS"/>
        </w:rPr>
        <w:t>јавно</w:t>
      </w:r>
      <w:r w:rsidRPr="00900C37">
        <w:rPr>
          <w:rFonts w:ascii="Times New Roman" w:eastAsia="Times New Roman" w:hAnsi="Times New Roman" w:cs="Times New Roman"/>
          <w:sz w:val="24"/>
          <w:szCs w:val="24"/>
          <w:lang w:val="sr-Latn-RS"/>
        </w:rPr>
        <w:t xml:space="preserve">тужилачке функције и стручном и ефикасном обављању послова судског и </w:t>
      </w:r>
      <w:r w:rsidRPr="00900C37">
        <w:rPr>
          <w:rFonts w:ascii="Times New Roman" w:eastAsia="Times New Roman" w:hAnsi="Times New Roman" w:cs="Times New Roman"/>
          <w:sz w:val="24"/>
          <w:szCs w:val="24"/>
          <w:lang w:val="sr-Cyrl-RS"/>
        </w:rPr>
        <w:t>јавно</w:t>
      </w:r>
      <w:r w:rsidRPr="00900C37">
        <w:rPr>
          <w:rFonts w:ascii="Times New Roman" w:eastAsia="Times New Roman" w:hAnsi="Times New Roman" w:cs="Times New Roman"/>
          <w:sz w:val="24"/>
          <w:szCs w:val="24"/>
          <w:lang w:val="sr-Latn-RS"/>
        </w:rPr>
        <w:t>тужилачког особља.</w:t>
      </w:r>
      <w:r w:rsidRPr="00900C37">
        <w:rPr>
          <w:rFonts w:ascii="Times New Roman" w:eastAsia="Times New Roman" w:hAnsi="Times New Roman" w:cs="Times New Roman"/>
          <w:sz w:val="24"/>
          <w:szCs w:val="24"/>
          <w:lang w:val="sr-Cyrl-RS"/>
        </w:rPr>
        <w:t xml:space="preserve"> </w:t>
      </w:r>
    </w:p>
    <w:p w14:paraId="25852326" w14:textId="1C5FF030"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Сва статусна питања регулисана су одредбом члана 3.</w:t>
      </w:r>
      <w:r w:rsidR="004B349E">
        <w:rPr>
          <w:rFonts w:ascii="Times New Roman" w:eastAsia="Times New Roman" w:hAnsi="Times New Roman" w:cs="Times New Roman"/>
          <w:sz w:val="24"/>
          <w:szCs w:val="24"/>
          <w:lang w:val="sr-Cyrl-RS"/>
        </w:rPr>
        <w:t xml:space="preserve"> Предлога </w:t>
      </w:r>
      <w:r w:rsidRPr="00900C37">
        <w:rPr>
          <w:rFonts w:ascii="Times New Roman" w:eastAsia="Calibri" w:hAnsi="Times New Roman" w:cs="Times New Roman"/>
          <w:sz w:val="24"/>
          <w:szCs w:val="24"/>
          <w:lang w:val="sr-Cyrl-RS"/>
        </w:rPr>
        <w:t xml:space="preserve">закона </w:t>
      </w:r>
      <w:r w:rsidRPr="00900C37">
        <w:rPr>
          <w:rFonts w:ascii="Times New Roman" w:eastAsia="Times New Roman" w:hAnsi="Times New Roman" w:cs="Times New Roman"/>
          <w:sz w:val="24"/>
          <w:szCs w:val="24"/>
          <w:lang w:val="sr-Cyrl-RS"/>
        </w:rPr>
        <w:t>и то она која се тичу оснивача Академије, својства, седишта, врсте јавне службе у коју се Академија разврстава, као и сама сходна примена закона који уређује јавне службе.</w:t>
      </w:r>
    </w:p>
    <w:p w14:paraId="7FA21F59" w14:textId="77777777" w:rsidR="00456B92" w:rsidRPr="00900C37" w:rsidRDefault="00456B92" w:rsidP="00456B92">
      <w:pPr>
        <w:shd w:val="clear" w:color="auto" w:fill="FFFFFF"/>
        <w:spacing w:after="0" w:line="240" w:lineRule="auto"/>
        <w:ind w:firstLine="708"/>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Однос Академије са правосудним телима постављен је тако да Високи савет судства и Високи савет тужилаштва имају улогу стручног надзора над радом ове установе, који се остварује кроз надгледање рада, вредновањем квалитета рада стручних органа академије, као и ментора и предавача</w:t>
      </w:r>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на</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начин</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којим</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се</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не</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угрожава</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институционална</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самосталност</w:t>
      </w:r>
      <w:proofErr w:type="spellEnd"/>
      <w:r w:rsidRPr="00900C37">
        <w:rPr>
          <w:rFonts w:ascii="Times New Roman" w:eastAsia="Times New Roman" w:hAnsi="Times New Roman" w:cs="Times New Roman"/>
          <w:sz w:val="24"/>
          <w:szCs w:val="24"/>
        </w:rPr>
        <w:t xml:space="preserve"> Академије. </w:t>
      </w:r>
      <w:proofErr w:type="spellStart"/>
      <w:r w:rsidRPr="00900C37">
        <w:rPr>
          <w:rFonts w:ascii="Times New Roman" w:eastAsia="Times New Roman" w:hAnsi="Times New Roman" w:cs="Times New Roman"/>
          <w:sz w:val="24"/>
          <w:szCs w:val="24"/>
        </w:rPr>
        <w:t>Стручни</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надзор</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остварује</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се</w:t>
      </w:r>
      <w:proofErr w:type="spellEnd"/>
      <w:r w:rsidRPr="00900C37">
        <w:rPr>
          <w:rFonts w:ascii="Times New Roman" w:eastAsia="Times New Roman" w:hAnsi="Times New Roman" w:cs="Times New Roman"/>
          <w:sz w:val="24"/>
          <w:szCs w:val="24"/>
        </w:rPr>
        <w:t xml:space="preserve"> и </w:t>
      </w:r>
      <w:proofErr w:type="spellStart"/>
      <w:r w:rsidRPr="00900C37">
        <w:rPr>
          <w:rFonts w:ascii="Times New Roman" w:eastAsia="Times New Roman" w:hAnsi="Times New Roman" w:cs="Times New Roman"/>
          <w:sz w:val="24"/>
          <w:szCs w:val="24"/>
        </w:rPr>
        <w:t>кроз</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сачињавање</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извештаја</w:t>
      </w:r>
      <w:proofErr w:type="spellEnd"/>
      <w:r w:rsidRPr="00900C37">
        <w:rPr>
          <w:rFonts w:ascii="Times New Roman" w:eastAsia="Times New Roman" w:hAnsi="Times New Roman" w:cs="Times New Roman"/>
          <w:sz w:val="24"/>
          <w:szCs w:val="24"/>
        </w:rPr>
        <w:t xml:space="preserve"> о </w:t>
      </w:r>
      <w:proofErr w:type="spellStart"/>
      <w:r w:rsidRPr="00900C37">
        <w:rPr>
          <w:rFonts w:ascii="Times New Roman" w:eastAsia="Times New Roman" w:hAnsi="Times New Roman" w:cs="Times New Roman"/>
          <w:sz w:val="24"/>
          <w:szCs w:val="24"/>
        </w:rPr>
        <w:t>извршеном</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надзору</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који</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може</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да</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садржи</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препоруке</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за</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унапређење</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рада</w:t>
      </w:r>
      <w:proofErr w:type="spellEnd"/>
      <w:r w:rsidRPr="00900C37">
        <w:rPr>
          <w:rFonts w:ascii="Times New Roman" w:eastAsia="Times New Roman" w:hAnsi="Times New Roman" w:cs="Times New Roman"/>
          <w:sz w:val="24"/>
          <w:szCs w:val="24"/>
        </w:rPr>
        <w:t xml:space="preserve"> Академије, </w:t>
      </w:r>
      <w:proofErr w:type="spellStart"/>
      <w:r w:rsidRPr="00900C37">
        <w:rPr>
          <w:rFonts w:ascii="Times New Roman" w:eastAsia="Times New Roman" w:hAnsi="Times New Roman" w:cs="Times New Roman"/>
          <w:sz w:val="24"/>
          <w:szCs w:val="24"/>
        </w:rPr>
        <w:t>као</w:t>
      </w:r>
      <w:proofErr w:type="spellEnd"/>
      <w:r w:rsidRPr="00900C37">
        <w:rPr>
          <w:rFonts w:ascii="Times New Roman" w:eastAsia="Times New Roman" w:hAnsi="Times New Roman" w:cs="Times New Roman"/>
          <w:sz w:val="24"/>
          <w:szCs w:val="24"/>
        </w:rPr>
        <w:t xml:space="preserve"> и </w:t>
      </w:r>
      <w:proofErr w:type="spellStart"/>
      <w:r w:rsidRPr="00900C37">
        <w:rPr>
          <w:rFonts w:ascii="Times New Roman" w:eastAsia="Times New Roman" w:hAnsi="Times New Roman" w:cs="Times New Roman"/>
          <w:sz w:val="24"/>
          <w:szCs w:val="24"/>
        </w:rPr>
        <w:t>кроз</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достављање</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годишњег</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извештаја</w:t>
      </w:r>
      <w:proofErr w:type="spellEnd"/>
      <w:r w:rsidRPr="00900C37">
        <w:rPr>
          <w:rFonts w:ascii="Times New Roman" w:eastAsia="Times New Roman" w:hAnsi="Times New Roman" w:cs="Times New Roman"/>
          <w:sz w:val="24"/>
          <w:szCs w:val="24"/>
        </w:rPr>
        <w:t xml:space="preserve"> о </w:t>
      </w:r>
      <w:proofErr w:type="spellStart"/>
      <w:r w:rsidRPr="00900C37">
        <w:rPr>
          <w:rFonts w:ascii="Times New Roman" w:eastAsia="Times New Roman" w:hAnsi="Times New Roman" w:cs="Times New Roman"/>
          <w:sz w:val="24"/>
          <w:szCs w:val="24"/>
        </w:rPr>
        <w:t>раду</w:t>
      </w:r>
      <w:proofErr w:type="spellEnd"/>
      <w:r w:rsidRPr="00900C37">
        <w:rPr>
          <w:rFonts w:ascii="Times New Roman" w:eastAsia="Times New Roman" w:hAnsi="Times New Roman" w:cs="Times New Roman"/>
          <w:sz w:val="24"/>
          <w:szCs w:val="24"/>
        </w:rPr>
        <w:t xml:space="preserve"> </w:t>
      </w:r>
      <w:proofErr w:type="spellStart"/>
      <w:r w:rsidRPr="00900C37">
        <w:rPr>
          <w:rFonts w:ascii="Times New Roman" w:eastAsia="Times New Roman" w:hAnsi="Times New Roman" w:cs="Times New Roman"/>
          <w:sz w:val="24"/>
          <w:szCs w:val="24"/>
        </w:rPr>
        <w:t>Академије</w:t>
      </w:r>
      <w:proofErr w:type="spellEnd"/>
      <w:r w:rsidRPr="00900C37">
        <w:rPr>
          <w:rFonts w:ascii="Times New Roman" w:eastAsia="Times New Roman" w:hAnsi="Times New Roman" w:cs="Times New Roman"/>
          <w:sz w:val="24"/>
          <w:szCs w:val="24"/>
        </w:rPr>
        <w:t xml:space="preserve"> </w:t>
      </w:r>
      <w:r w:rsidRPr="00900C37">
        <w:rPr>
          <w:rFonts w:ascii="Times New Roman" w:eastAsia="Times New Roman" w:hAnsi="Times New Roman" w:cs="Times New Roman"/>
          <w:sz w:val="24"/>
          <w:szCs w:val="24"/>
          <w:lang w:val="sr-Cyrl-RS"/>
        </w:rPr>
        <w:t xml:space="preserve">правосудним телима. Овим одредбама </w:t>
      </w:r>
      <w:r w:rsidRPr="00900C37">
        <w:rPr>
          <w:rFonts w:ascii="Times New Roman" w:eastAsia="Times New Roman" w:hAnsi="Times New Roman" w:cs="Times New Roman"/>
          <w:sz w:val="24"/>
          <w:szCs w:val="24"/>
          <w:lang w:val="sr-Cyrl-RS"/>
        </w:rPr>
        <w:lastRenderedPageBreak/>
        <w:t>утврђени су основни елементи поступка стручног надзора, уз истовремено очување институционалне самосталности Академије у спровођењу програма обуке.</w:t>
      </w:r>
    </w:p>
    <w:p w14:paraId="0999A288" w14:textId="0231F420"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Делатност Академије је таксативно постављена одредбом члана 6. </w:t>
      </w:r>
      <w:r w:rsidR="004B349E">
        <w:rPr>
          <w:rFonts w:ascii="Times New Roman" w:eastAsia="Times New Roman" w:hAnsi="Times New Roman" w:cs="Times New Roman"/>
          <w:sz w:val="24"/>
          <w:szCs w:val="24"/>
          <w:lang w:val="sr-Cyrl-RS"/>
        </w:rPr>
        <w:t xml:space="preserve">Предлога </w:t>
      </w:r>
      <w:r w:rsidRPr="00900C37">
        <w:rPr>
          <w:rFonts w:ascii="Times New Roman" w:eastAsia="Calibri" w:hAnsi="Times New Roman" w:cs="Times New Roman"/>
          <w:sz w:val="24"/>
          <w:szCs w:val="24"/>
          <w:lang w:val="sr-Cyrl-RS"/>
        </w:rPr>
        <w:t xml:space="preserve">закона </w:t>
      </w:r>
      <w:r w:rsidRPr="00900C37">
        <w:rPr>
          <w:rFonts w:ascii="Times New Roman" w:eastAsia="Times New Roman" w:hAnsi="Times New Roman" w:cs="Times New Roman"/>
          <w:sz w:val="24"/>
          <w:szCs w:val="24"/>
          <w:lang w:val="sr-Cyrl-RS"/>
        </w:rPr>
        <w:t>и конзумира организовање и спровођење и претходне и сталне обуке, укључујући и пријемни и завршни испит за претходну обуку, али и пријемни испит за судијске и јавнотужилачке приправнике. Обука предавача и ментора је такође ангажман који спада у делатност Академије, укључујући и  организацију и спровођење стручног усавршавања комплетног јавнотужилачког особља. Надаље</w:t>
      </w:r>
      <w:r w:rsidRPr="00900C37">
        <w:rPr>
          <w:rFonts w:ascii="Times New Roman" w:eastAsia="Times New Roman" w:hAnsi="Times New Roman" w:cs="Times New Roman"/>
          <w:sz w:val="24"/>
          <w:szCs w:val="24"/>
          <w:lang w:val="sr-Latn-RS"/>
        </w:rPr>
        <w:t>,</w:t>
      </w:r>
      <w:r w:rsidRPr="00900C37">
        <w:rPr>
          <w:rFonts w:ascii="Times New Roman" w:eastAsia="Times New Roman" w:hAnsi="Times New Roman" w:cs="Times New Roman"/>
          <w:sz w:val="24"/>
          <w:szCs w:val="24"/>
          <w:lang w:val="sr-Cyrl-RS"/>
        </w:rPr>
        <w:t xml:space="preserve"> Академија успоставља и одражава сарадњу са домаћим, страним и међународним институцијама, организацијама и удружењима, издаје публикације, обавља другу издавачку делатност, истраживачко аналитичке послове, сарађује са научним институцијама итд. </w:t>
      </w:r>
    </w:p>
    <w:p w14:paraId="65FCDEFF" w14:textId="77777777"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Ово горе наведено су изворни послови Академије и спадају у искључиву надлежност ове установе. Са друге стране, дефинисан је и круг послова које Академија факултативно обавља, а то су они послови који се тичу стручног усавршавања адвоката и носилаца правосудних професија, односно њихових приправника и помоћника (јавнобележничких). Факултативна надлежност Академије у стручном усавршавању правосудних професија претпоставља закључивање уговора између Академије и Адвокатске коморе Србије, односно Коморе јавних извршитеља и Јавнобележничке коморе. </w:t>
      </w:r>
    </w:p>
    <w:p w14:paraId="3103C131" w14:textId="683786B9" w:rsidR="001429D2" w:rsidRPr="00900C37" w:rsidRDefault="001429D2" w:rsidP="00456B92">
      <w:pPr>
        <w:shd w:val="clear" w:color="auto" w:fill="FFFFFF"/>
        <w:spacing w:after="0" w:line="240" w:lineRule="auto"/>
        <w:ind w:firstLine="48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Надаље, </w:t>
      </w:r>
      <w:r w:rsidR="004B349E">
        <w:rPr>
          <w:rFonts w:ascii="Times New Roman" w:eastAsia="Times New Roman" w:hAnsi="Times New Roman" w:cs="Times New Roman"/>
          <w:sz w:val="24"/>
          <w:szCs w:val="24"/>
          <w:lang w:val="sr-Cyrl-RS"/>
        </w:rPr>
        <w:t xml:space="preserve">Предлог </w:t>
      </w:r>
      <w:r w:rsidR="00456B92" w:rsidRPr="00900C37">
        <w:rPr>
          <w:rFonts w:ascii="Times New Roman" w:eastAsia="Calibri" w:hAnsi="Times New Roman" w:cs="Times New Roman"/>
          <w:sz w:val="24"/>
          <w:szCs w:val="24"/>
          <w:lang w:val="sr-Cyrl-RS"/>
        </w:rPr>
        <w:t xml:space="preserve">закона </w:t>
      </w:r>
      <w:r w:rsidRPr="00900C37">
        <w:rPr>
          <w:rFonts w:ascii="Times New Roman" w:eastAsia="Calibri" w:hAnsi="Times New Roman" w:cs="Times New Roman"/>
          <w:sz w:val="24"/>
          <w:szCs w:val="24"/>
          <w:lang w:val="sr-Cyrl-RS"/>
        </w:rPr>
        <w:t xml:space="preserve">у члану 7. </w:t>
      </w:r>
      <w:r w:rsidR="00456B92" w:rsidRPr="00900C37">
        <w:rPr>
          <w:rFonts w:ascii="Times New Roman" w:eastAsia="Times New Roman" w:hAnsi="Times New Roman" w:cs="Times New Roman"/>
          <w:sz w:val="24"/>
          <w:szCs w:val="24"/>
          <w:lang w:val="sr-Cyrl-RS"/>
        </w:rPr>
        <w:t xml:space="preserve">предвиђа три органа Академије и то Управни одбор који управља Академијом и броји 11 чланова, директора који је извршни орган Академије и Програмски савет који је стручни орган. Одредбама чл. 8-19. </w:t>
      </w:r>
      <w:r w:rsidR="004B349E">
        <w:rPr>
          <w:rFonts w:ascii="Times New Roman" w:eastAsia="Times New Roman" w:hAnsi="Times New Roman" w:cs="Times New Roman"/>
          <w:sz w:val="24"/>
          <w:szCs w:val="24"/>
          <w:lang w:val="sr-Cyrl-RS"/>
        </w:rPr>
        <w:t xml:space="preserve">Предлога </w:t>
      </w:r>
      <w:r w:rsidR="00456B92" w:rsidRPr="00900C37">
        <w:rPr>
          <w:rFonts w:ascii="Times New Roman" w:eastAsia="Times New Roman" w:hAnsi="Times New Roman" w:cs="Times New Roman"/>
          <w:sz w:val="24"/>
          <w:szCs w:val="24"/>
          <w:lang w:val="sr-Cyrl-RS"/>
        </w:rPr>
        <w:t xml:space="preserve">закона детаљно су регулисана питања, поред осталих, састава Управног одбора и Програмског савета, надлежности сва три органа, начина рада и накнада за рад. Овде је важно истаћи улогу правосудних тела у образовању Управног одбора као органа који управља Академијом. Наиме, у састав Управног одбора Академије улазе судије које именује Високи савет судства и то пет судија од којих се двоје именује на предлог удружења судија. Високи савет тужилаштва именује четири јавна тужиоца за чланство у овом органу (једног на предлог удружења тужилаца). Поред судија и јавних тужилаца у састав овог орана улазе и два члана које именује Влада и то један из реда </w:t>
      </w:r>
      <w:r w:rsidR="00456B92" w:rsidRPr="00900C37">
        <w:rPr>
          <w:rFonts w:ascii="Times New Roman" w:eastAsia="Times New Roman" w:hAnsi="Times New Roman" w:cs="Times New Roman"/>
          <w:sz w:val="24"/>
          <w:szCs w:val="24"/>
          <w:lang w:val="sr-Cyrl-BA"/>
        </w:rPr>
        <w:t>професора правног факултета</w:t>
      </w:r>
      <w:r w:rsidRPr="00900C37">
        <w:rPr>
          <w:rFonts w:ascii="Times New Roman" w:eastAsia="Times New Roman" w:hAnsi="Times New Roman" w:cs="Times New Roman"/>
          <w:sz w:val="24"/>
          <w:szCs w:val="24"/>
          <w:lang w:val="sr-Cyrl-BA"/>
        </w:rPr>
        <w:t>,</w:t>
      </w:r>
      <w:r w:rsidR="00456B92" w:rsidRPr="00900C37">
        <w:rPr>
          <w:rFonts w:ascii="Times New Roman" w:eastAsia="Times New Roman" w:hAnsi="Times New Roman" w:cs="Times New Roman"/>
          <w:sz w:val="24"/>
          <w:szCs w:val="24"/>
          <w:lang w:val="sr-Cyrl-BA"/>
        </w:rPr>
        <w:t xml:space="preserve"> односно из реда научних саветника или научних сарадника у области правних наука</w:t>
      </w:r>
      <w:r w:rsidR="00456B92" w:rsidRPr="00900C37">
        <w:rPr>
          <w:rFonts w:ascii="Times New Roman" w:eastAsia="Times New Roman" w:hAnsi="Times New Roman" w:cs="Times New Roman"/>
          <w:sz w:val="24"/>
          <w:szCs w:val="24"/>
          <w:lang w:val="sr-Cyrl-RS"/>
        </w:rPr>
        <w:t xml:space="preserve">, а други </w:t>
      </w:r>
      <w:r w:rsidR="00456B92" w:rsidRPr="00900C37">
        <w:rPr>
          <w:rFonts w:ascii="Times New Roman" w:eastAsia="Times New Roman" w:hAnsi="Times New Roman" w:cs="Times New Roman"/>
          <w:sz w:val="24"/>
          <w:szCs w:val="24"/>
          <w:lang w:val="sr-Latn-RS"/>
        </w:rPr>
        <w:t>из реда запослених у Академији.</w:t>
      </w:r>
      <w:r w:rsidR="00456B92" w:rsidRPr="00900C37">
        <w:rPr>
          <w:rFonts w:ascii="Times New Roman" w:eastAsia="Times New Roman" w:hAnsi="Times New Roman" w:cs="Times New Roman"/>
          <w:sz w:val="24"/>
          <w:szCs w:val="24"/>
          <w:lang w:val="sr-Cyrl-RS"/>
        </w:rPr>
        <w:t xml:space="preserve"> </w:t>
      </w:r>
    </w:p>
    <w:p w14:paraId="7817457F" w14:textId="33022629" w:rsidR="00456B92" w:rsidRPr="00900C37" w:rsidRDefault="00456B92" w:rsidP="00456B92">
      <w:pPr>
        <w:shd w:val="clear" w:color="auto" w:fill="FFFFFF"/>
        <w:spacing w:after="0" w:line="240" w:lineRule="auto"/>
        <w:ind w:firstLine="480"/>
        <w:jc w:val="both"/>
        <w:rPr>
          <w:rFonts w:ascii="Times New Roman" w:eastAsia="Times New Roman" w:hAnsi="Times New Roman" w:cs="Times New Roman"/>
          <w:color w:val="000000"/>
          <w:sz w:val="24"/>
          <w:szCs w:val="24"/>
          <w:lang w:val="sr-Cyrl-RS"/>
        </w:rPr>
      </w:pPr>
      <w:r w:rsidRPr="00900C37">
        <w:rPr>
          <w:rFonts w:ascii="Times New Roman" w:eastAsia="Times New Roman" w:hAnsi="Times New Roman" w:cs="Times New Roman"/>
          <w:sz w:val="24"/>
          <w:szCs w:val="24"/>
          <w:lang w:val="sr-Cyrl-RS"/>
        </w:rPr>
        <w:t xml:space="preserve">Надлежности Управног одбора су широко постављене и подразумевају пре свега изборно овлашћење у односу на директора Академије и чланове Програмског савета. Ово овлашћење прати и последичан задатак разрешења. Нормативна надлежност је такође дефинисана и огледа се у доношењу општег акта односно Статута, али и других аката, од којих су неки посебно издвојени </w:t>
      </w:r>
      <w:r w:rsidR="004B349E">
        <w:rPr>
          <w:rFonts w:ascii="Times New Roman" w:eastAsia="Times New Roman" w:hAnsi="Times New Roman" w:cs="Times New Roman"/>
          <w:sz w:val="24"/>
          <w:szCs w:val="24"/>
          <w:lang w:val="sr-Cyrl-RS"/>
        </w:rPr>
        <w:t xml:space="preserve">Предлогом </w:t>
      </w:r>
      <w:r w:rsidRPr="00900C37">
        <w:rPr>
          <w:rFonts w:ascii="Times New Roman" w:eastAsia="Times New Roman" w:hAnsi="Times New Roman" w:cs="Times New Roman"/>
          <w:sz w:val="24"/>
          <w:szCs w:val="24"/>
          <w:lang w:val="sr-Cyrl-RS"/>
        </w:rPr>
        <w:t>закона као што су правилници о полагању пријемног испита за претходну обуку и завршног испита претходне обуке. Управни одбор није аутономан у погледу доношења ова два подзаконска акта, већ је њихово доношење условљено сагласношћу правосудних тела. Доношење свих програма обука било да се ради о пријемном испиту за претходну обуку, или сам</w:t>
      </w:r>
      <w:r w:rsidRPr="00900C37">
        <w:rPr>
          <w:rFonts w:ascii="Times New Roman" w:eastAsia="Times New Roman" w:hAnsi="Times New Roman" w:cs="Times New Roman"/>
          <w:sz w:val="24"/>
          <w:szCs w:val="24"/>
        </w:rPr>
        <w:t>o</w:t>
      </w:r>
      <w:r w:rsidRPr="00900C37">
        <w:rPr>
          <w:rFonts w:ascii="Times New Roman" w:eastAsia="Times New Roman" w:hAnsi="Times New Roman" w:cs="Times New Roman"/>
          <w:sz w:val="24"/>
          <w:szCs w:val="24"/>
          <w:lang w:val="sr-Cyrl-RS"/>
        </w:rPr>
        <w:t>м програму за претходну или обавезну сталну обуку поверено је Управном одбору, али сагласност правосудних тела и у вези са доношењем ових аката је условљавајућег карактера. Динамика одржавања седница Управног одбора и њихово сазивање регулисано је одредбом члана 12</w:t>
      </w:r>
      <w:r w:rsidRPr="00900C37">
        <w:rPr>
          <w:rFonts w:ascii="Times New Roman" w:eastAsia="Times New Roman" w:hAnsi="Times New Roman" w:cs="Times New Roman"/>
          <w:sz w:val="24"/>
          <w:szCs w:val="24"/>
          <w:lang w:val="sr-Latn-RS"/>
        </w:rPr>
        <w:t xml:space="preserve">. </w:t>
      </w:r>
      <w:r w:rsidR="004B349E">
        <w:rPr>
          <w:rFonts w:ascii="Times New Roman" w:eastAsia="Times New Roman" w:hAnsi="Times New Roman" w:cs="Times New Roman"/>
          <w:sz w:val="24"/>
          <w:szCs w:val="24"/>
          <w:lang w:val="sr-Cyrl-RS"/>
        </w:rPr>
        <w:t xml:space="preserve">Предлога </w:t>
      </w:r>
      <w:r w:rsidRPr="00900C37">
        <w:rPr>
          <w:rFonts w:ascii="Times New Roman" w:eastAsia="Times New Roman" w:hAnsi="Times New Roman" w:cs="Times New Roman"/>
          <w:sz w:val="24"/>
          <w:szCs w:val="24"/>
          <w:lang w:val="sr-Cyrl-RS"/>
        </w:rPr>
        <w:t>закона, укључујући и кворум за рад. Следећи члан уређује питање потребног кворума за одлучивање на седницама, опет прецизирајући 2/3 већину за одређена питања.</w:t>
      </w:r>
    </w:p>
    <w:p w14:paraId="2FD20B07" w14:textId="1FE0993F"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lastRenderedPageBreak/>
        <w:t xml:space="preserve">Услови за избор директора Академије, као и трајање мандата прецизирани су одредбом члана 14. </w:t>
      </w:r>
      <w:r w:rsidR="004B349E">
        <w:rPr>
          <w:rFonts w:ascii="Times New Roman" w:eastAsia="Times New Roman" w:hAnsi="Times New Roman" w:cs="Times New Roman"/>
          <w:sz w:val="24"/>
          <w:szCs w:val="24"/>
          <w:lang w:val="sr-Cyrl-RS"/>
        </w:rPr>
        <w:t xml:space="preserve">Предлога </w:t>
      </w:r>
      <w:r w:rsidRPr="00900C37">
        <w:rPr>
          <w:rFonts w:ascii="Times New Roman" w:eastAsia="Times New Roman" w:hAnsi="Times New Roman" w:cs="Times New Roman"/>
          <w:sz w:val="24"/>
          <w:szCs w:val="24"/>
          <w:lang w:val="sr-Cyrl-RS"/>
        </w:rPr>
        <w:t>закона. Овај извршни орган Академије се у контексту надлежности разликује у односу на орган управљања тј. Извршни одбор, те директор представља и заступа Академију, извршава одлуке друга два органа, координира и организује рад Академије, итд.</w:t>
      </w:r>
    </w:p>
    <w:p w14:paraId="27FDE8FB" w14:textId="1FE64AF7"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Улога Високог савета судства и Високог савета тужилаштва доминантна је и у погледу састава Програмског савета. Састав овог стручног органа регулисан је одредбом члана 17, а надлежности одредбама члана 18. </w:t>
      </w:r>
      <w:r w:rsidR="004B349E">
        <w:rPr>
          <w:rFonts w:ascii="Times New Roman" w:eastAsia="Times New Roman" w:hAnsi="Times New Roman" w:cs="Times New Roman"/>
          <w:sz w:val="24"/>
          <w:szCs w:val="24"/>
          <w:lang w:val="sr-Cyrl-RS"/>
        </w:rPr>
        <w:t xml:space="preserve">Предлога </w:t>
      </w:r>
      <w:r w:rsidRPr="00900C37">
        <w:rPr>
          <w:rFonts w:ascii="Times New Roman" w:eastAsia="Times New Roman" w:hAnsi="Times New Roman" w:cs="Times New Roman"/>
          <w:sz w:val="24"/>
          <w:szCs w:val="24"/>
          <w:lang w:val="sr-Cyrl-RS"/>
        </w:rPr>
        <w:t>закона и оне подразумевају, поред осталих, утврђивање програма свих врста обука и ова испита за претходну обуку (пријемни и завршни), утврђивање услова за именовање и само именовање ментора и повремених предавача итд.</w:t>
      </w:r>
    </w:p>
    <w:p w14:paraId="52DFAC11" w14:textId="771E857B" w:rsidR="00456B92" w:rsidRPr="00900C37" w:rsidRDefault="004B349E"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 xml:space="preserve">Предлог </w:t>
      </w:r>
      <w:r w:rsidR="00456B92" w:rsidRPr="00900C37">
        <w:rPr>
          <w:rFonts w:ascii="Times New Roman" w:eastAsia="Times New Roman" w:hAnsi="Times New Roman" w:cs="Times New Roman"/>
          <w:sz w:val="24"/>
          <w:szCs w:val="24"/>
          <w:lang w:val="sr-Cyrl-RS"/>
        </w:rPr>
        <w:t xml:space="preserve">закона посвећује пажњу и сталним комисијама које именује Програмски савет, а које се према одредбама члана 19. баве свим врстама обукама које се организују и спроводе на Академији.  </w:t>
      </w:r>
    </w:p>
    <w:p w14:paraId="69D8DB92" w14:textId="77777777"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Ментори и предавачи као посебно обучена лица из реда носилаца правосудних функција, али и других професија су лица која спроводе програме обуке, при чему треба имати на уму да ментори могу бити само судије и јавни тужиоци. Категорија сталних предавача из реда судија или јавних тужилаца упућује се на рад у Академију на три године. Остали стални предавачи заснивају радни однос у Академији. </w:t>
      </w:r>
    </w:p>
    <w:p w14:paraId="3F6C503F" w14:textId="77777777"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Трећи део закона је посвећен претходној и сталној обуци.</w:t>
      </w:r>
    </w:p>
    <w:p w14:paraId="394F636B" w14:textId="24DE87CC"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Чл. 24. и 25. </w:t>
      </w:r>
      <w:r w:rsidR="004B349E">
        <w:rPr>
          <w:rFonts w:ascii="Times New Roman" w:eastAsia="Times New Roman" w:hAnsi="Times New Roman" w:cs="Times New Roman"/>
          <w:sz w:val="24"/>
          <w:szCs w:val="24"/>
          <w:lang w:val="sr-Cyrl-RS"/>
        </w:rPr>
        <w:t xml:space="preserve">Предлога </w:t>
      </w:r>
      <w:r w:rsidRPr="00900C37">
        <w:rPr>
          <w:rFonts w:ascii="Times New Roman" w:eastAsia="Times New Roman" w:hAnsi="Times New Roman" w:cs="Times New Roman"/>
          <w:sz w:val="24"/>
          <w:szCs w:val="24"/>
          <w:lang w:val="sr-Cyrl-RS"/>
        </w:rPr>
        <w:t>закона регулишу појам обуке, њен циљ и врсте.</w:t>
      </w:r>
    </w:p>
    <w:p w14:paraId="35A5D43E" w14:textId="77777777"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Корисници почетне обуке су лица која су по положеном пријемном испиту примљена у Академију на претходну обуку. Њихов број одређују правосудна тела, а то чине најмање једном годишње.</w:t>
      </w:r>
    </w:p>
    <w:p w14:paraId="35CC163B" w14:textId="77777777"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Пријему на претходну обуку претходи јавни конкурс који расписује Академија, а прописана су три услова за пријем корисника на претходну обуку то су положен правосудни испит, испуњавање општих услова за рад у државним органима и положен пријемни испит за претходну обуку. </w:t>
      </w:r>
    </w:p>
    <w:p w14:paraId="717DA8C0" w14:textId="42A38EAF"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Динамику организовања пријемног испита за претходну обуку, као и сам концепт овог испита уређује одредба члана 32. </w:t>
      </w:r>
      <w:r w:rsidR="004B349E">
        <w:rPr>
          <w:rFonts w:ascii="Times New Roman" w:eastAsia="Times New Roman" w:hAnsi="Times New Roman" w:cs="Times New Roman"/>
          <w:sz w:val="24"/>
          <w:szCs w:val="24"/>
          <w:lang w:val="sr-Cyrl-RS"/>
        </w:rPr>
        <w:t xml:space="preserve">Предлога </w:t>
      </w:r>
      <w:r w:rsidRPr="00900C37">
        <w:rPr>
          <w:rFonts w:ascii="Times New Roman" w:eastAsia="Times New Roman" w:hAnsi="Times New Roman" w:cs="Times New Roman"/>
          <w:sz w:val="24"/>
          <w:szCs w:val="24"/>
          <w:lang w:val="sr-Cyrl-RS"/>
        </w:rPr>
        <w:t xml:space="preserve">закона. У састав Испитне комисије улазе искључиво судије и јавни тужиоци и то они које именују Високи савет судства и Високи савет тужилаштва (троје судија и двоје јавних тужилаца), док чланови ових правосудних тела, односно Управног одбора и Програмског савета не могу бити чланови Испитне комисије. Надаље, </w:t>
      </w:r>
      <w:r w:rsidR="004B349E">
        <w:rPr>
          <w:rFonts w:ascii="Times New Roman" w:eastAsia="Times New Roman" w:hAnsi="Times New Roman" w:cs="Times New Roman"/>
          <w:sz w:val="24"/>
          <w:szCs w:val="24"/>
          <w:lang w:val="sr-Cyrl-RS"/>
        </w:rPr>
        <w:t xml:space="preserve">Предлогом </w:t>
      </w:r>
      <w:r w:rsidRPr="00900C37">
        <w:rPr>
          <w:rFonts w:ascii="Times New Roman" w:eastAsia="Times New Roman" w:hAnsi="Times New Roman" w:cs="Times New Roman"/>
          <w:sz w:val="24"/>
          <w:szCs w:val="24"/>
          <w:lang w:val="sr-Cyrl-RS"/>
        </w:rPr>
        <w:t>закона се уређују питања оцењивања на пријемном испиту за претходну обуку, као и начин остваривања увида и правни лек на оцену писменог дела пријемног испита. Одлучивање по жалби поверено је Жалбеној комисији у чији састав, опет, улазе, по већ стандардном моделу, судије и јавни тужиоци које именују правосудна тела на предлог Управног одбора. Ранг листа коначно се утврђује по основу завршне оцене, а прописани су и претежнији критеријуми за случај да кандидати имају исту завршну оцену.</w:t>
      </w:r>
    </w:p>
    <w:p w14:paraId="7CBFCD59" w14:textId="77777777"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Latn-RS"/>
        </w:rPr>
        <w:t>После утврђивања ранг листе, а пре њеног објављивања, Испитна комисија доставља Високом савету судства и Високом савету тужилаштва извештај о спроведеном пријемном испиту са утврђеном ранг листом.</w:t>
      </w:r>
      <w:r w:rsidRPr="00900C37">
        <w:rPr>
          <w:rFonts w:ascii="Times New Roman" w:eastAsia="Times New Roman" w:hAnsi="Times New Roman" w:cs="Times New Roman"/>
          <w:sz w:val="24"/>
          <w:szCs w:val="24"/>
          <w:lang w:val="sr-Cyrl-RS"/>
        </w:rPr>
        <w:t xml:space="preserve"> </w:t>
      </w:r>
      <w:r w:rsidRPr="00900C37">
        <w:rPr>
          <w:rFonts w:ascii="Times New Roman" w:eastAsia="Times New Roman" w:hAnsi="Times New Roman" w:cs="Times New Roman"/>
          <w:sz w:val="24"/>
          <w:szCs w:val="24"/>
          <w:lang w:val="sr-Latn-RS"/>
        </w:rPr>
        <w:t xml:space="preserve">Пријемни испит се поништава ако Високи савет судства или Високи савет тужилаштва одбије извештај о спроведеном испиту због битне повреде прописа о спровођењу испита, сукоба интереса чланова комисије, повреде начела једнакости кандидата или доказане неправилности која је могла утицати на резултате испита. Дакле, за поништај пријемног испита довољно је да једно од наведених правосудних </w:t>
      </w:r>
      <w:r w:rsidRPr="00900C37">
        <w:rPr>
          <w:rFonts w:ascii="Times New Roman" w:eastAsia="Times New Roman" w:hAnsi="Times New Roman" w:cs="Times New Roman"/>
          <w:sz w:val="24"/>
          <w:szCs w:val="24"/>
          <w:lang w:val="sr-Latn-RS"/>
        </w:rPr>
        <w:lastRenderedPageBreak/>
        <w:t>тела одбије извештај о спроведеном испиту. Имајући у виду да одбијање извештаја има за последицу поништај пријемног испита, прописује се да одлука о одбијању извештаја мора бити посебно образложена.</w:t>
      </w:r>
      <w:r w:rsidR="00742421" w:rsidRPr="00900C37">
        <w:rPr>
          <w:rFonts w:ascii="Times New Roman" w:eastAsia="Times New Roman" w:hAnsi="Times New Roman" w:cs="Times New Roman"/>
          <w:sz w:val="24"/>
          <w:szCs w:val="24"/>
          <w:lang w:val="sr-Cyrl-RS"/>
        </w:rPr>
        <w:t xml:space="preserve"> </w:t>
      </w:r>
    </w:p>
    <w:p w14:paraId="6535DC6C" w14:textId="77777777" w:rsidR="00742421" w:rsidRPr="00900C37" w:rsidRDefault="00742421" w:rsidP="0017497F">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Против одлуке Високог савета судства или Високог савета тужилаштва</w:t>
      </w:r>
      <w:r w:rsidR="003276EA" w:rsidRPr="00900C37">
        <w:rPr>
          <w:rFonts w:ascii="Times New Roman" w:eastAsia="Times New Roman" w:hAnsi="Times New Roman" w:cs="Times New Roman"/>
          <w:sz w:val="24"/>
          <w:szCs w:val="24"/>
          <w:lang w:val="sr-Cyrl-RS"/>
        </w:rPr>
        <w:t xml:space="preserve"> којом се поништава пријемни испит кандидат </w:t>
      </w:r>
      <w:r w:rsidR="0017497F" w:rsidRPr="00900C37">
        <w:rPr>
          <w:rFonts w:ascii="Times New Roman" w:eastAsia="Times New Roman" w:hAnsi="Times New Roman" w:cs="Times New Roman"/>
          <w:sz w:val="24"/>
          <w:szCs w:val="24"/>
          <w:lang w:val="sr-Cyrl-RS"/>
        </w:rPr>
        <w:t xml:space="preserve">који је учествовао на пријемном испиту </w:t>
      </w:r>
      <w:r w:rsidR="003276EA" w:rsidRPr="00900C37">
        <w:rPr>
          <w:rFonts w:ascii="Times New Roman" w:eastAsia="Times New Roman" w:hAnsi="Times New Roman" w:cs="Times New Roman"/>
          <w:sz w:val="24"/>
          <w:szCs w:val="24"/>
          <w:lang w:val="sr-Cyrl-RS"/>
        </w:rPr>
        <w:t>може покренути управни спор.</w:t>
      </w:r>
    </w:p>
    <w:p w14:paraId="5E55F645" w14:textId="187C4030"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Трајање претходне обуке уређено је одредбама члана 40. </w:t>
      </w:r>
      <w:r w:rsidR="004B349E">
        <w:rPr>
          <w:rFonts w:ascii="Times New Roman" w:eastAsia="Times New Roman" w:hAnsi="Times New Roman" w:cs="Times New Roman"/>
          <w:sz w:val="24"/>
          <w:szCs w:val="24"/>
          <w:lang w:val="sr-Cyrl-RS"/>
        </w:rPr>
        <w:t xml:space="preserve">Предлога </w:t>
      </w:r>
      <w:r w:rsidRPr="00900C37">
        <w:rPr>
          <w:rFonts w:ascii="Times New Roman" w:eastAsia="Times New Roman" w:hAnsi="Times New Roman" w:cs="Times New Roman"/>
          <w:sz w:val="24"/>
          <w:szCs w:val="24"/>
          <w:lang w:val="sr-Cyrl-RS"/>
        </w:rPr>
        <w:t xml:space="preserve">закона и зависи од дужине радног искуства кандидата после положеног правосудног испита. Уколико корисник има после положеног правосудног испита до две године радног искуства за њена претходна обука траје 24 месеца. Они корисници који после положеног правосудног испита имају најмање две године радног искуства за њих претходна обука траје 12 месеци. Претходна обука у трајању од шест месеци је резервисана за кориснике који после положеног правосудног испита најмање четири године радног искуства, а три месеца за кориснике који после положеног правосудног испита имају најмање шест месеци радног искуства. </w:t>
      </w:r>
    </w:p>
    <w:p w14:paraId="22D5A982" w14:textId="031AA2FE"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Права и обавезе корисника почетне обуке дефинисана су одредбама чл. 48-51. </w:t>
      </w:r>
      <w:r w:rsidR="004B349E">
        <w:rPr>
          <w:rFonts w:ascii="Times New Roman" w:eastAsia="Times New Roman" w:hAnsi="Times New Roman" w:cs="Times New Roman"/>
          <w:sz w:val="24"/>
          <w:szCs w:val="24"/>
          <w:lang w:val="sr-Cyrl-RS"/>
        </w:rPr>
        <w:t xml:space="preserve">Предлога </w:t>
      </w:r>
      <w:r w:rsidRPr="00900C37">
        <w:rPr>
          <w:rFonts w:ascii="Times New Roman" w:eastAsia="Times New Roman" w:hAnsi="Times New Roman" w:cs="Times New Roman"/>
          <w:sz w:val="24"/>
          <w:szCs w:val="24"/>
          <w:lang w:val="sr-Cyrl-RS"/>
        </w:rPr>
        <w:t xml:space="preserve">закона. У том смислу важно је истаћи да корисник претходне обуке који обуку похађа 24 месеца заснива радни однос у Академији у трајању од 30 месеци, док корисници који обуку похађају у краћем трајању заснивају радни однос у Академији за време трајања обуке. У овом другом случају корисницима који дакле претходну обуку похађају у трајању краћем од 24 месеца, радни однос мирује. Што се тиче плате коју остварује корисник претходне обуке њена висина износи </w:t>
      </w:r>
      <w:r w:rsidR="007C1B40" w:rsidRPr="00900C37">
        <w:rPr>
          <w:rFonts w:ascii="Times New Roman" w:eastAsia="Times New Roman" w:hAnsi="Times New Roman" w:cs="Times New Roman"/>
          <w:sz w:val="24"/>
          <w:szCs w:val="24"/>
          <w:lang w:val="sr-Cyrl-RS"/>
        </w:rPr>
        <w:t>7</w:t>
      </w:r>
      <w:r w:rsidRPr="00900C37">
        <w:rPr>
          <w:rFonts w:ascii="Times New Roman" w:eastAsia="Times New Roman" w:hAnsi="Times New Roman" w:cs="Times New Roman"/>
          <w:sz w:val="24"/>
          <w:szCs w:val="24"/>
          <w:lang w:val="sr-Cyrl-RS"/>
        </w:rPr>
        <w:t xml:space="preserve">0% од основне плате судије основног суда. </w:t>
      </w:r>
    </w:p>
    <w:p w14:paraId="79D49E0A" w14:textId="42296ADD"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Одредбама члана 50. </w:t>
      </w:r>
      <w:r w:rsidR="004B349E">
        <w:rPr>
          <w:rFonts w:ascii="Times New Roman" w:eastAsia="Times New Roman" w:hAnsi="Times New Roman" w:cs="Times New Roman"/>
          <w:sz w:val="24"/>
          <w:szCs w:val="24"/>
          <w:lang w:val="sr-Cyrl-RS"/>
        </w:rPr>
        <w:t xml:space="preserve">Предлога </w:t>
      </w:r>
      <w:r w:rsidRPr="00900C37">
        <w:rPr>
          <w:rFonts w:ascii="Times New Roman" w:eastAsia="Times New Roman" w:hAnsi="Times New Roman" w:cs="Times New Roman"/>
          <w:sz w:val="24"/>
          <w:szCs w:val="24"/>
          <w:lang w:val="sr-Cyrl-RS"/>
        </w:rPr>
        <w:t xml:space="preserve">закона прописана су правила о заснивању радног односа са Високом саветом судства односно Високим саветом тужилаштва за лице које је стекло уверење о завршеној претходној обуци у трајању од 24 месеца у ком случају се радни однос </w:t>
      </w:r>
      <w:r w:rsidR="00144E7F" w:rsidRPr="00900C37">
        <w:rPr>
          <w:rFonts w:ascii="Times New Roman" w:eastAsia="Times New Roman" w:hAnsi="Times New Roman" w:cs="Times New Roman"/>
          <w:sz w:val="24"/>
          <w:szCs w:val="24"/>
          <w:lang w:val="sr-Cyrl-RS"/>
        </w:rPr>
        <w:t>може засновати на</w:t>
      </w:r>
      <w:r w:rsidRPr="00900C37">
        <w:rPr>
          <w:rFonts w:ascii="Times New Roman" w:eastAsia="Times New Roman" w:hAnsi="Times New Roman" w:cs="Times New Roman"/>
          <w:sz w:val="24"/>
          <w:szCs w:val="24"/>
          <w:lang w:val="sr-Cyrl-RS"/>
        </w:rPr>
        <w:t xml:space="preserve"> одређено време у трајању од најдуже две године, док код категорије лица која су стекла уверење о завршеној претходној обуци која је трајала краће од 24 месеца (12 месеци, шест или три месеца) заснивање радног односа на одређено у истом максималном трајању је могућност, а не императив. </w:t>
      </w:r>
    </w:p>
    <w:p w14:paraId="6CBFE037" w14:textId="447D0CCE"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Стална обука је уређена чл. 51-5</w:t>
      </w:r>
      <w:r w:rsidRPr="00900C37">
        <w:rPr>
          <w:rFonts w:ascii="Times New Roman" w:eastAsia="Times New Roman" w:hAnsi="Times New Roman" w:cs="Times New Roman"/>
          <w:sz w:val="24"/>
          <w:szCs w:val="24"/>
        </w:rPr>
        <w:t>8</w:t>
      </w:r>
      <w:r w:rsidRPr="00900C37">
        <w:rPr>
          <w:rFonts w:ascii="Times New Roman" w:eastAsia="Times New Roman" w:hAnsi="Times New Roman" w:cs="Times New Roman"/>
          <w:sz w:val="24"/>
          <w:szCs w:val="24"/>
          <w:lang w:val="sr-Cyrl-RS"/>
        </w:rPr>
        <w:t xml:space="preserve">. </w:t>
      </w:r>
      <w:r w:rsidR="004B349E">
        <w:rPr>
          <w:rFonts w:ascii="Times New Roman" w:eastAsia="Times New Roman" w:hAnsi="Times New Roman" w:cs="Times New Roman"/>
          <w:sz w:val="24"/>
          <w:szCs w:val="24"/>
          <w:lang w:val="sr-Cyrl-RS"/>
        </w:rPr>
        <w:t xml:space="preserve">Предлога </w:t>
      </w:r>
      <w:r w:rsidRPr="00900C37">
        <w:rPr>
          <w:rFonts w:ascii="Times New Roman" w:eastAsia="Times New Roman" w:hAnsi="Times New Roman" w:cs="Times New Roman"/>
          <w:sz w:val="24"/>
          <w:szCs w:val="24"/>
          <w:lang w:val="sr-Cyrl-RS"/>
        </w:rPr>
        <w:t xml:space="preserve">закона, те тако судије и јавни тужиоци имају право, али и обавезу сталног стручног усавршавања које се остварује кроз програм сталне обуке. Одређено је да стална обука може бити обавезна и добровољна. Обавезна је када је то одређено законом или одлуком правосудних тела. </w:t>
      </w:r>
    </w:p>
    <w:p w14:paraId="18097E1E" w14:textId="77777777"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Што се тиче добровољне обуке Академија је у обавези да једном годишње, најкасније до 1. децембра, достави судовима и јавним тужилаштвима годишњи програм добровољне обуке за наредну календарску годину. </w:t>
      </w:r>
    </w:p>
    <w:p w14:paraId="3F37FA2C" w14:textId="3C31CA00"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Cyrl-RS"/>
        </w:rPr>
      </w:pPr>
      <w:r w:rsidRPr="00900C37">
        <w:rPr>
          <w:rFonts w:ascii="Times New Roman" w:eastAsia="Times New Roman" w:hAnsi="Times New Roman" w:cs="Times New Roman"/>
          <w:sz w:val="24"/>
          <w:szCs w:val="24"/>
          <w:lang w:val="sr-Cyrl-RS"/>
        </w:rPr>
        <w:t xml:space="preserve">Обука ментора и предавача регулисана је одредбама чл. </w:t>
      </w:r>
      <w:r w:rsidRPr="00900C37">
        <w:rPr>
          <w:rFonts w:ascii="Times New Roman" w:eastAsia="Times New Roman" w:hAnsi="Times New Roman" w:cs="Times New Roman"/>
          <w:sz w:val="24"/>
          <w:szCs w:val="24"/>
        </w:rPr>
        <w:t xml:space="preserve">59. </w:t>
      </w:r>
      <w:r w:rsidRPr="00900C37">
        <w:rPr>
          <w:rFonts w:ascii="Times New Roman" w:eastAsia="Times New Roman" w:hAnsi="Times New Roman" w:cs="Times New Roman"/>
          <w:sz w:val="24"/>
          <w:szCs w:val="24"/>
          <w:lang w:val="sr-Cyrl-BA"/>
        </w:rPr>
        <w:t xml:space="preserve">и </w:t>
      </w:r>
      <w:r w:rsidRPr="00900C37">
        <w:rPr>
          <w:rFonts w:ascii="Times New Roman" w:eastAsia="Times New Roman" w:hAnsi="Times New Roman" w:cs="Times New Roman"/>
          <w:sz w:val="24"/>
          <w:szCs w:val="24"/>
          <w:lang w:val="sr-Cyrl-RS"/>
        </w:rPr>
        <w:t xml:space="preserve">60. </w:t>
      </w:r>
      <w:r w:rsidR="004B349E">
        <w:rPr>
          <w:rFonts w:ascii="Times New Roman" w:eastAsia="Times New Roman" w:hAnsi="Times New Roman" w:cs="Times New Roman"/>
          <w:sz w:val="24"/>
          <w:szCs w:val="24"/>
          <w:lang w:val="sr-Cyrl-RS"/>
        </w:rPr>
        <w:t xml:space="preserve">Предлога </w:t>
      </w:r>
      <w:r w:rsidRPr="00900C37">
        <w:rPr>
          <w:rFonts w:ascii="Times New Roman" w:eastAsia="Times New Roman" w:hAnsi="Times New Roman" w:cs="Times New Roman"/>
          <w:sz w:val="24"/>
          <w:szCs w:val="24"/>
          <w:lang w:val="sr-Cyrl-RS"/>
        </w:rPr>
        <w:t xml:space="preserve">закона, а обука судијских и јавнотужилачких помоћника и приправника, укључујући и пријемни испит за приправнике  одредбама чл. 61-63. </w:t>
      </w:r>
      <w:r w:rsidR="004B349E">
        <w:rPr>
          <w:rFonts w:ascii="Times New Roman" w:eastAsia="Times New Roman" w:hAnsi="Times New Roman" w:cs="Times New Roman"/>
          <w:sz w:val="24"/>
          <w:szCs w:val="24"/>
          <w:lang w:val="sr-Cyrl-RS"/>
        </w:rPr>
        <w:t xml:space="preserve">Предлога </w:t>
      </w:r>
      <w:r w:rsidRPr="00900C37">
        <w:rPr>
          <w:rFonts w:ascii="Times New Roman" w:eastAsia="Times New Roman" w:hAnsi="Times New Roman" w:cs="Times New Roman"/>
          <w:sz w:val="24"/>
          <w:szCs w:val="24"/>
          <w:lang w:val="sr-Cyrl-RS"/>
        </w:rPr>
        <w:t xml:space="preserve">закона. Обуци осталог судског и тужилачког особља посвећене су одредбе чл. 64. и 65. </w:t>
      </w:r>
      <w:r w:rsidR="004B349E">
        <w:rPr>
          <w:rFonts w:ascii="Times New Roman" w:eastAsia="Times New Roman" w:hAnsi="Times New Roman" w:cs="Times New Roman"/>
          <w:sz w:val="24"/>
          <w:szCs w:val="24"/>
          <w:lang w:val="sr-Cyrl-RS"/>
        </w:rPr>
        <w:t xml:space="preserve">Предлога </w:t>
      </w:r>
      <w:r w:rsidRPr="00900C37">
        <w:rPr>
          <w:rFonts w:ascii="Times New Roman" w:eastAsia="Times New Roman" w:hAnsi="Times New Roman" w:cs="Times New Roman"/>
          <w:sz w:val="24"/>
          <w:szCs w:val="24"/>
          <w:lang w:val="sr-Cyrl-RS"/>
        </w:rPr>
        <w:t>закона.</w:t>
      </w:r>
    </w:p>
    <w:p w14:paraId="61854971" w14:textId="1505FA33"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Latn-RS"/>
        </w:rPr>
      </w:pPr>
      <w:r w:rsidRPr="00900C37">
        <w:rPr>
          <w:rFonts w:ascii="Times New Roman" w:eastAsia="Times New Roman" w:hAnsi="Times New Roman" w:cs="Times New Roman"/>
          <w:sz w:val="24"/>
          <w:szCs w:val="24"/>
          <w:lang w:val="sr-Latn-RS"/>
        </w:rPr>
        <w:t xml:space="preserve">Прелазним и завршним одредбама </w:t>
      </w:r>
      <w:r w:rsidR="00BA0343" w:rsidRPr="00900C37">
        <w:rPr>
          <w:rFonts w:ascii="Times New Roman" w:eastAsia="Times New Roman" w:hAnsi="Times New Roman" w:cs="Times New Roman"/>
          <w:sz w:val="24"/>
          <w:szCs w:val="24"/>
          <w:lang w:val="sr-Cyrl-RS"/>
        </w:rPr>
        <w:t xml:space="preserve">(чл. 66-72. </w:t>
      </w:r>
      <w:r w:rsidR="004B349E">
        <w:rPr>
          <w:rFonts w:ascii="Times New Roman" w:eastAsia="Times New Roman" w:hAnsi="Times New Roman" w:cs="Times New Roman"/>
          <w:sz w:val="24"/>
          <w:szCs w:val="24"/>
          <w:lang w:val="sr-Cyrl-RS"/>
        </w:rPr>
        <w:t xml:space="preserve">Предлога </w:t>
      </w:r>
      <w:r w:rsidR="00BA0343" w:rsidRPr="00900C37">
        <w:rPr>
          <w:rFonts w:ascii="Times New Roman" w:eastAsia="Times New Roman" w:hAnsi="Times New Roman" w:cs="Times New Roman"/>
          <w:sz w:val="24"/>
          <w:szCs w:val="24"/>
          <w:lang w:val="sr-Cyrl-RS"/>
        </w:rPr>
        <w:t xml:space="preserve">закона) </w:t>
      </w:r>
      <w:r w:rsidRPr="00900C37">
        <w:rPr>
          <w:rFonts w:ascii="Times New Roman" w:eastAsia="Times New Roman" w:hAnsi="Times New Roman" w:cs="Times New Roman"/>
          <w:sz w:val="24"/>
          <w:szCs w:val="24"/>
          <w:lang w:val="sr-Latn-RS"/>
        </w:rPr>
        <w:t xml:space="preserve">уређује се настављање рада </w:t>
      </w:r>
      <w:r w:rsidR="00BA0343" w:rsidRPr="00900C37">
        <w:rPr>
          <w:rFonts w:ascii="Times New Roman" w:eastAsia="Times New Roman" w:hAnsi="Times New Roman" w:cs="Times New Roman"/>
          <w:sz w:val="24"/>
          <w:szCs w:val="24"/>
          <w:lang w:val="sr-Latn-RS"/>
        </w:rPr>
        <w:t>Академије</w:t>
      </w:r>
      <w:r w:rsidRPr="00900C37">
        <w:rPr>
          <w:rFonts w:ascii="Times New Roman" w:eastAsia="Times New Roman" w:hAnsi="Times New Roman" w:cs="Times New Roman"/>
          <w:sz w:val="24"/>
          <w:szCs w:val="24"/>
          <w:lang w:val="sr-Latn-RS"/>
        </w:rPr>
        <w:t>, наставак мандата директора Академије, конституисање Управног одбора, образовање Програмског савета, доношење Статута и других подзаконских аката, као и примена подзаконских аката донетих у складу са раније важећим законом до доношења нових аката, ако нису у супротности са овим законом.</w:t>
      </w:r>
    </w:p>
    <w:p w14:paraId="515F5DA0" w14:textId="77777777" w:rsidR="00144E7F"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Latn-RS"/>
        </w:rPr>
      </w:pPr>
      <w:r w:rsidRPr="00900C37">
        <w:rPr>
          <w:rFonts w:ascii="Times New Roman" w:eastAsia="Times New Roman" w:hAnsi="Times New Roman" w:cs="Times New Roman"/>
          <w:sz w:val="24"/>
          <w:szCs w:val="24"/>
          <w:lang w:val="sr-Latn-RS"/>
        </w:rPr>
        <w:lastRenderedPageBreak/>
        <w:t xml:space="preserve">Посебно се уређује положај корисника почетне обуке који су, у складу са раније важећим Законом о Правосудној академији, примљени на почетну обуку, започели је или завршили пре дана ступања на снагу овог закона, тако што се на њих примењују прописи који су важили до дана ступања на снагу овог закона. </w:t>
      </w:r>
    </w:p>
    <w:p w14:paraId="52979A57" w14:textId="77777777" w:rsidR="00456B92" w:rsidRPr="00900C37" w:rsidRDefault="00456B92" w:rsidP="00456B92">
      <w:pPr>
        <w:shd w:val="clear" w:color="auto" w:fill="FFFFFF"/>
        <w:spacing w:after="0" w:line="240" w:lineRule="auto"/>
        <w:ind w:firstLine="720"/>
        <w:jc w:val="both"/>
        <w:rPr>
          <w:rFonts w:ascii="Times New Roman" w:eastAsia="Times New Roman" w:hAnsi="Times New Roman" w:cs="Times New Roman"/>
          <w:sz w:val="24"/>
          <w:szCs w:val="24"/>
          <w:lang w:val="sr-Latn-RS"/>
        </w:rPr>
      </w:pPr>
      <w:r w:rsidRPr="00900C37">
        <w:rPr>
          <w:rFonts w:ascii="Times New Roman" w:eastAsia="Times New Roman" w:hAnsi="Times New Roman" w:cs="Times New Roman"/>
          <w:sz w:val="24"/>
          <w:szCs w:val="24"/>
          <w:lang w:val="sr-Latn-RS"/>
        </w:rPr>
        <w:t>Такође, прописује се престанак важења Закона о Правосудној академији („Службени гласник РС”, бр. 104/09, 32/14 – УС и 106/15), као и ступање на снагу овог закона.</w:t>
      </w:r>
    </w:p>
    <w:p w14:paraId="1D08E5EE" w14:textId="77777777" w:rsidR="00456B92" w:rsidRPr="00900C37" w:rsidRDefault="00456B92" w:rsidP="00456B92">
      <w:pPr>
        <w:spacing w:after="0" w:line="240" w:lineRule="auto"/>
        <w:jc w:val="both"/>
        <w:rPr>
          <w:rFonts w:ascii="Times New Roman" w:eastAsia="Times New Roman" w:hAnsi="Times New Roman" w:cs="Times New Roman"/>
          <w:b/>
          <w:sz w:val="24"/>
          <w:szCs w:val="24"/>
          <w:lang w:eastAsia="sr-Latn-CS"/>
        </w:rPr>
      </w:pPr>
    </w:p>
    <w:p w14:paraId="7969ABA2" w14:textId="7F79DE4E" w:rsidR="00456B92" w:rsidRPr="00900C37" w:rsidRDefault="00456B92" w:rsidP="00456B92">
      <w:pPr>
        <w:spacing w:after="0" w:line="240" w:lineRule="auto"/>
        <w:ind w:firstLine="720"/>
        <w:jc w:val="both"/>
        <w:rPr>
          <w:rFonts w:ascii="Times New Roman" w:eastAsia="Times New Roman" w:hAnsi="Times New Roman" w:cs="Times New Roman"/>
          <w:b/>
          <w:sz w:val="24"/>
          <w:szCs w:val="24"/>
          <w:lang w:val="sr-Cyrl-CS" w:eastAsia="sr-Latn-CS"/>
        </w:rPr>
      </w:pPr>
      <w:r w:rsidRPr="00900C37">
        <w:rPr>
          <w:rFonts w:ascii="Times New Roman" w:eastAsia="Times New Roman" w:hAnsi="Times New Roman" w:cs="Times New Roman"/>
          <w:b/>
          <w:sz w:val="24"/>
          <w:szCs w:val="24"/>
          <w:lang w:val="sr-Latn-RS" w:eastAsia="sr-Latn-CS"/>
        </w:rPr>
        <w:t xml:space="preserve">IV. </w:t>
      </w:r>
      <w:r w:rsidRPr="00900C37">
        <w:rPr>
          <w:rFonts w:ascii="Times New Roman" w:eastAsia="Times New Roman" w:hAnsi="Times New Roman" w:cs="Times New Roman"/>
          <w:b/>
          <w:sz w:val="24"/>
          <w:szCs w:val="24"/>
          <w:lang w:val="sr-Cyrl-RS" w:eastAsia="sr-Latn-CS"/>
        </w:rPr>
        <w:t xml:space="preserve">ПРОЦЕНА </w:t>
      </w:r>
      <w:r w:rsidRPr="00900C37">
        <w:rPr>
          <w:rFonts w:ascii="Times New Roman" w:eastAsia="Times New Roman" w:hAnsi="Times New Roman" w:cs="Times New Roman"/>
          <w:b/>
          <w:sz w:val="24"/>
          <w:szCs w:val="24"/>
          <w:lang w:val="sr-Cyrl-CS" w:eastAsia="sr-Latn-CS"/>
        </w:rPr>
        <w:t>ФИНАНСИЈСКИХ СРЕДСТ</w:t>
      </w:r>
      <w:r w:rsidR="005E0F6C">
        <w:rPr>
          <w:rFonts w:ascii="Times New Roman" w:eastAsia="Times New Roman" w:hAnsi="Times New Roman" w:cs="Times New Roman"/>
          <w:b/>
          <w:sz w:val="24"/>
          <w:szCs w:val="24"/>
          <w:lang w:val="sr-Cyrl-CS" w:eastAsia="sr-Latn-CS"/>
        </w:rPr>
        <w:t>А</w:t>
      </w:r>
      <w:r w:rsidRPr="00900C37">
        <w:rPr>
          <w:rFonts w:ascii="Times New Roman" w:eastAsia="Times New Roman" w:hAnsi="Times New Roman" w:cs="Times New Roman"/>
          <w:b/>
          <w:sz w:val="24"/>
          <w:szCs w:val="24"/>
          <w:lang w:val="sr-Cyrl-CS" w:eastAsia="sr-Latn-CS"/>
        </w:rPr>
        <w:t>ВА ПОТРЕБНИХ ЗА СПРОВОЂЕЊЕ ЗАКОНА</w:t>
      </w:r>
    </w:p>
    <w:p w14:paraId="65EA4D53" w14:textId="77777777" w:rsidR="00456B92" w:rsidRPr="00900C37" w:rsidRDefault="00456B92" w:rsidP="00456B92">
      <w:pPr>
        <w:spacing w:after="0" w:line="240" w:lineRule="auto"/>
        <w:ind w:firstLine="720"/>
        <w:jc w:val="both"/>
        <w:rPr>
          <w:rFonts w:ascii="Times New Roman" w:eastAsia="Times New Roman" w:hAnsi="Times New Roman" w:cs="Times New Roman"/>
          <w:sz w:val="24"/>
          <w:szCs w:val="24"/>
          <w:lang w:val="sr-Cyrl-CS" w:eastAsia="sr-Latn-CS"/>
        </w:rPr>
      </w:pPr>
    </w:p>
    <w:p w14:paraId="68A56382" w14:textId="086AB0FF" w:rsidR="00456B92" w:rsidRDefault="00456B92" w:rsidP="008B36AF">
      <w:pPr>
        <w:spacing w:after="0" w:line="240" w:lineRule="auto"/>
        <w:ind w:firstLine="720"/>
        <w:jc w:val="both"/>
        <w:rPr>
          <w:rFonts w:ascii="Times New Roman" w:eastAsia="Times New Roman" w:hAnsi="Times New Roman" w:cs="Times New Roman"/>
          <w:sz w:val="24"/>
          <w:szCs w:val="24"/>
          <w:lang w:val="sr-Cyrl-CS" w:eastAsia="sr-Latn-CS"/>
        </w:rPr>
      </w:pPr>
      <w:r w:rsidRPr="00900C37">
        <w:rPr>
          <w:rFonts w:ascii="Times New Roman" w:eastAsia="Times New Roman" w:hAnsi="Times New Roman" w:cs="Times New Roman"/>
          <w:sz w:val="24"/>
          <w:szCs w:val="24"/>
          <w:lang w:val="sr-Cyrl-CS" w:eastAsia="sr-Latn-CS"/>
        </w:rPr>
        <w:t xml:space="preserve">За спровођење овог закона </w:t>
      </w:r>
      <w:r w:rsidR="00BA0343" w:rsidRPr="00900C37">
        <w:rPr>
          <w:rFonts w:ascii="Times New Roman" w:eastAsia="Times New Roman" w:hAnsi="Times New Roman" w:cs="Times New Roman"/>
          <w:sz w:val="24"/>
          <w:szCs w:val="24"/>
          <w:lang w:val="sr-Cyrl-CS" w:eastAsia="sr-Latn-CS"/>
        </w:rPr>
        <w:t xml:space="preserve">је </w:t>
      </w:r>
      <w:r w:rsidR="008B36AF" w:rsidRPr="00900C37">
        <w:rPr>
          <w:rFonts w:ascii="Times New Roman" w:eastAsia="Times New Roman" w:hAnsi="Times New Roman" w:cs="Times New Roman"/>
          <w:sz w:val="24"/>
          <w:szCs w:val="24"/>
          <w:lang w:val="sr-Cyrl-CS" w:eastAsia="sr-Latn-CS"/>
        </w:rPr>
        <w:t xml:space="preserve">потребно </w:t>
      </w:r>
      <w:r w:rsidRPr="00900C37">
        <w:rPr>
          <w:rFonts w:ascii="Times New Roman" w:eastAsia="Times New Roman" w:hAnsi="Times New Roman" w:cs="Times New Roman"/>
          <w:sz w:val="24"/>
          <w:szCs w:val="24"/>
          <w:lang w:val="sr-Cyrl-CS" w:eastAsia="sr-Latn-CS"/>
        </w:rPr>
        <w:t xml:space="preserve">обезбедити </w:t>
      </w:r>
      <w:r w:rsidR="008B36AF" w:rsidRPr="00900C37">
        <w:rPr>
          <w:rFonts w:ascii="Times New Roman" w:eastAsia="Times New Roman" w:hAnsi="Times New Roman" w:cs="Times New Roman"/>
          <w:sz w:val="24"/>
          <w:szCs w:val="24"/>
          <w:lang w:val="sr-Cyrl-CS" w:eastAsia="sr-Latn-CS"/>
        </w:rPr>
        <w:t xml:space="preserve">финансијска средства у буџету Републике Србије. </w:t>
      </w:r>
    </w:p>
    <w:p w14:paraId="0014EEB9" w14:textId="5D03D032" w:rsidR="00852ABB" w:rsidRPr="00900C37" w:rsidRDefault="00852ABB" w:rsidP="008B36AF">
      <w:pPr>
        <w:spacing w:after="0" w:line="240" w:lineRule="auto"/>
        <w:ind w:firstLine="720"/>
        <w:jc w:val="both"/>
        <w:rPr>
          <w:rFonts w:ascii="Times New Roman" w:eastAsia="Times New Roman" w:hAnsi="Times New Roman" w:cs="Times New Roman"/>
          <w:sz w:val="24"/>
          <w:szCs w:val="24"/>
          <w:lang w:val="sr-Cyrl-CS" w:eastAsia="sr-Latn-CS"/>
        </w:rPr>
      </w:pPr>
      <w:r>
        <w:rPr>
          <w:rFonts w:ascii="Times New Roman" w:eastAsia="Times New Roman" w:hAnsi="Times New Roman" w:cs="Times New Roman"/>
          <w:sz w:val="24"/>
          <w:szCs w:val="24"/>
          <w:lang w:val="sr-Cyrl-CS" w:eastAsia="sr-Latn-CS"/>
        </w:rPr>
        <w:t>Имајући у виду да Предлог закона о Правосудној академији предвиђа повећање чланова Управног одбора Академије са девет на једанаест као и да овај закон ступа на снагу 1. марта 2027. године, потребно је обезбедити додатна средства у износу од 1.260.000 динара за 2027. годину и 2.160.000 динара за 2028. годину,</w:t>
      </w:r>
      <w:r w:rsidR="006374BF">
        <w:rPr>
          <w:rFonts w:ascii="Times New Roman" w:eastAsia="Times New Roman" w:hAnsi="Times New Roman" w:cs="Times New Roman"/>
          <w:sz w:val="24"/>
          <w:szCs w:val="24"/>
          <w:lang w:val="sr-Cyrl-CS" w:eastAsia="sr-Latn-CS"/>
        </w:rPr>
        <w:t xml:space="preserve"> а ова средства морају да </w:t>
      </w:r>
      <w:r>
        <w:rPr>
          <w:rFonts w:ascii="Times New Roman" w:eastAsia="Times New Roman" w:hAnsi="Times New Roman" w:cs="Times New Roman"/>
          <w:sz w:val="24"/>
          <w:szCs w:val="24"/>
          <w:lang w:val="sr-Cyrl-CS" w:eastAsia="sr-Latn-CS"/>
        </w:rPr>
        <w:t xml:space="preserve">се планирају у оквиру лимита који се за све буџетске кориснике утврђује од стране </w:t>
      </w:r>
      <w:r w:rsidRPr="00852ABB">
        <w:rPr>
          <w:rFonts w:ascii="Times New Roman" w:eastAsia="Times New Roman" w:hAnsi="Times New Roman" w:cs="Times New Roman"/>
          <w:sz w:val="24"/>
          <w:szCs w:val="24"/>
          <w:lang w:val="sr-Cyrl-CS" w:eastAsia="sr-Latn-CS"/>
        </w:rPr>
        <w:t>Министарств</w:t>
      </w:r>
      <w:r>
        <w:rPr>
          <w:rFonts w:ascii="Times New Roman" w:eastAsia="Times New Roman" w:hAnsi="Times New Roman" w:cs="Times New Roman"/>
          <w:sz w:val="24"/>
          <w:szCs w:val="24"/>
          <w:lang w:val="sr-Cyrl-CS" w:eastAsia="sr-Latn-CS"/>
        </w:rPr>
        <w:t>а финансија у процесу припреме и доношења Закона о буџету.</w:t>
      </w:r>
    </w:p>
    <w:p w14:paraId="2BE763D2" w14:textId="77777777" w:rsidR="00456B92" w:rsidRPr="00900C37" w:rsidRDefault="00456B92" w:rsidP="00456B92">
      <w:pPr>
        <w:spacing w:after="0" w:line="240" w:lineRule="auto"/>
        <w:ind w:firstLine="720"/>
        <w:rPr>
          <w:lang w:val="sr-Cyrl-RS"/>
        </w:rPr>
      </w:pPr>
    </w:p>
    <w:p w14:paraId="5F8EEF8C" w14:textId="2A4E14EF" w:rsidR="00456B92" w:rsidRPr="00B824C7" w:rsidRDefault="00456B92" w:rsidP="00456B92">
      <w:pPr>
        <w:shd w:val="clear" w:color="auto" w:fill="FFFFFF"/>
        <w:spacing w:after="0" w:line="240" w:lineRule="auto"/>
        <w:ind w:firstLine="480"/>
        <w:jc w:val="both"/>
        <w:rPr>
          <w:rFonts w:ascii="Times New Roman" w:hAnsi="Times New Roman" w:cs="Times New Roman"/>
          <w:sz w:val="24"/>
          <w:szCs w:val="24"/>
          <w:lang w:val="sr-Latn-RS"/>
        </w:rPr>
      </w:pPr>
    </w:p>
    <w:p w14:paraId="0988B617" w14:textId="77777777" w:rsidR="00456B92" w:rsidRDefault="00456B92" w:rsidP="00456B92"/>
    <w:p w14:paraId="5CBE36DE" w14:textId="77777777" w:rsidR="004E461D" w:rsidRPr="00503D77" w:rsidRDefault="00503D77" w:rsidP="00A87881">
      <w:pPr>
        <w:shd w:val="clear" w:color="auto" w:fill="FFFFFF"/>
        <w:spacing w:after="0" w:line="240" w:lineRule="auto"/>
        <w:ind w:firstLine="48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p>
    <w:sectPr w:rsidR="004E461D" w:rsidRPr="00503D77" w:rsidSect="00B6377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3DB71" w14:textId="77777777" w:rsidR="009B1935" w:rsidRDefault="009B1935" w:rsidP="00B6377F">
      <w:pPr>
        <w:spacing w:after="0" w:line="240" w:lineRule="auto"/>
      </w:pPr>
      <w:r>
        <w:separator/>
      </w:r>
    </w:p>
  </w:endnote>
  <w:endnote w:type="continuationSeparator" w:id="0">
    <w:p w14:paraId="04ED81AA" w14:textId="77777777" w:rsidR="009B1935" w:rsidRDefault="009B1935" w:rsidP="00B63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405A5" w14:textId="77777777" w:rsidR="00B6377F" w:rsidRDefault="00B63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3CF95" w14:textId="77777777" w:rsidR="00B6377F" w:rsidRDefault="00B63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15763" w14:textId="77777777" w:rsidR="00B6377F" w:rsidRDefault="00B63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1170C" w14:textId="77777777" w:rsidR="009B1935" w:rsidRDefault="009B1935" w:rsidP="00B6377F">
      <w:pPr>
        <w:spacing w:after="0" w:line="240" w:lineRule="auto"/>
      </w:pPr>
      <w:r>
        <w:separator/>
      </w:r>
    </w:p>
  </w:footnote>
  <w:footnote w:type="continuationSeparator" w:id="0">
    <w:p w14:paraId="6434508E" w14:textId="77777777" w:rsidR="009B1935" w:rsidRDefault="009B1935" w:rsidP="00B637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21F85" w14:textId="77777777" w:rsidR="00B6377F" w:rsidRDefault="00B6377F" w:rsidP="006F2A9C">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28DE78C6" w14:textId="77777777" w:rsidR="00B6377F" w:rsidRDefault="00B637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25AE" w14:textId="2C74162B" w:rsidR="00B6377F" w:rsidRDefault="00B6377F" w:rsidP="006F2A9C">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6610ED">
      <w:rPr>
        <w:rStyle w:val="PageNumber"/>
        <w:noProof/>
      </w:rPr>
      <w:t>4</w:t>
    </w:r>
    <w:r>
      <w:rPr>
        <w:rStyle w:val="PageNumber"/>
      </w:rPr>
      <w:fldChar w:fldCharType="end"/>
    </w:r>
  </w:p>
  <w:p w14:paraId="24B3565B" w14:textId="77777777" w:rsidR="00B6377F" w:rsidRDefault="00B63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C2AB2" w14:textId="77777777" w:rsidR="00B6377F" w:rsidRDefault="00B63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DC0EB7"/>
    <w:multiLevelType w:val="hybridMultilevel"/>
    <w:tmpl w:val="E4729C8E"/>
    <w:lvl w:ilvl="0" w:tplc="C3EEFE2E">
      <w:start w:val="1"/>
      <w:numFmt w:val="decimal"/>
      <w:lvlText w:val="%1)"/>
      <w:lvlJc w:val="left"/>
      <w:pPr>
        <w:ind w:left="810" w:hanging="360"/>
      </w:pPr>
      <w:rPr>
        <w:rFonts w:hint="default"/>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 w15:restartNumberingAfterBreak="0">
    <w:nsid w:val="5D2934FD"/>
    <w:multiLevelType w:val="hybridMultilevel"/>
    <w:tmpl w:val="83F6F332"/>
    <w:lvl w:ilvl="0" w:tplc="5DF2762A">
      <w:start w:val="14"/>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16cid:durableId="732045544">
    <w:abstractNumId w:val="1"/>
  </w:num>
  <w:num w:numId="2" w16cid:durableId="70810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03"/>
    <w:rsid w:val="0000360C"/>
    <w:rsid w:val="0002153C"/>
    <w:rsid w:val="000234D2"/>
    <w:rsid w:val="00033795"/>
    <w:rsid w:val="00035124"/>
    <w:rsid w:val="00036FCD"/>
    <w:rsid w:val="00047865"/>
    <w:rsid w:val="00061398"/>
    <w:rsid w:val="00062161"/>
    <w:rsid w:val="00075152"/>
    <w:rsid w:val="00084C86"/>
    <w:rsid w:val="0009437C"/>
    <w:rsid w:val="00095A9B"/>
    <w:rsid w:val="000A70D6"/>
    <w:rsid w:val="000B7FA3"/>
    <w:rsid w:val="000C1058"/>
    <w:rsid w:val="000E1470"/>
    <w:rsid w:val="000E3274"/>
    <w:rsid w:val="000F60F0"/>
    <w:rsid w:val="00101D04"/>
    <w:rsid w:val="00103283"/>
    <w:rsid w:val="0011773A"/>
    <w:rsid w:val="00132D26"/>
    <w:rsid w:val="001429D2"/>
    <w:rsid w:val="00144E7F"/>
    <w:rsid w:val="0015737E"/>
    <w:rsid w:val="0017497F"/>
    <w:rsid w:val="00182673"/>
    <w:rsid w:val="0018385B"/>
    <w:rsid w:val="00187946"/>
    <w:rsid w:val="0019225F"/>
    <w:rsid w:val="00196BD1"/>
    <w:rsid w:val="001A3485"/>
    <w:rsid w:val="001A7FEE"/>
    <w:rsid w:val="001C2BD1"/>
    <w:rsid w:val="001C662F"/>
    <w:rsid w:val="001E4F3C"/>
    <w:rsid w:val="001F1E3E"/>
    <w:rsid w:val="00210924"/>
    <w:rsid w:val="00210E13"/>
    <w:rsid w:val="002118DA"/>
    <w:rsid w:val="002207C9"/>
    <w:rsid w:val="00236398"/>
    <w:rsid w:val="002451FF"/>
    <w:rsid w:val="002476C7"/>
    <w:rsid w:val="00260B9D"/>
    <w:rsid w:val="00265551"/>
    <w:rsid w:val="00282C63"/>
    <w:rsid w:val="002A0F97"/>
    <w:rsid w:val="002A23D0"/>
    <w:rsid w:val="002C1179"/>
    <w:rsid w:val="002E09EB"/>
    <w:rsid w:val="002E5038"/>
    <w:rsid w:val="002E5306"/>
    <w:rsid w:val="002F47F4"/>
    <w:rsid w:val="00302B10"/>
    <w:rsid w:val="003055F0"/>
    <w:rsid w:val="003129E6"/>
    <w:rsid w:val="00317A6B"/>
    <w:rsid w:val="003276EA"/>
    <w:rsid w:val="0033626E"/>
    <w:rsid w:val="00340DCB"/>
    <w:rsid w:val="0035603C"/>
    <w:rsid w:val="00362E82"/>
    <w:rsid w:val="0036338A"/>
    <w:rsid w:val="00366DAC"/>
    <w:rsid w:val="00374911"/>
    <w:rsid w:val="00392B49"/>
    <w:rsid w:val="003938CB"/>
    <w:rsid w:val="003964E3"/>
    <w:rsid w:val="003A1848"/>
    <w:rsid w:val="003A3B5B"/>
    <w:rsid w:val="003A3D56"/>
    <w:rsid w:val="003A6EE2"/>
    <w:rsid w:val="003A746A"/>
    <w:rsid w:val="003C2FCB"/>
    <w:rsid w:val="003C4E4A"/>
    <w:rsid w:val="003D3CAB"/>
    <w:rsid w:val="003F2357"/>
    <w:rsid w:val="00402640"/>
    <w:rsid w:val="00402B75"/>
    <w:rsid w:val="00425F84"/>
    <w:rsid w:val="0042699B"/>
    <w:rsid w:val="00435808"/>
    <w:rsid w:val="00442314"/>
    <w:rsid w:val="0045033A"/>
    <w:rsid w:val="0045152A"/>
    <w:rsid w:val="00456B92"/>
    <w:rsid w:val="004638DA"/>
    <w:rsid w:val="004742C7"/>
    <w:rsid w:val="004769CF"/>
    <w:rsid w:val="004772E0"/>
    <w:rsid w:val="004B349E"/>
    <w:rsid w:val="004B551D"/>
    <w:rsid w:val="004C1F13"/>
    <w:rsid w:val="004C3B3B"/>
    <w:rsid w:val="004C69AA"/>
    <w:rsid w:val="004D08E3"/>
    <w:rsid w:val="004E2DE4"/>
    <w:rsid w:val="004E461D"/>
    <w:rsid w:val="00503D77"/>
    <w:rsid w:val="00505AE1"/>
    <w:rsid w:val="00507384"/>
    <w:rsid w:val="00531132"/>
    <w:rsid w:val="00553A3F"/>
    <w:rsid w:val="00573AC7"/>
    <w:rsid w:val="00583FD2"/>
    <w:rsid w:val="00584E69"/>
    <w:rsid w:val="00595087"/>
    <w:rsid w:val="005A2784"/>
    <w:rsid w:val="005A2828"/>
    <w:rsid w:val="005A320A"/>
    <w:rsid w:val="005B28E7"/>
    <w:rsid w:val="005B767D"/>
    <w:rsid w:val="005C0C4A"/>
    <w:rsid w:val="005C141F"/>
    <w:rsid w:val="005C6357"/>
    <w:rsid w:val="005C7F1B"/>
    <w:rsid w:val="005D7EE1"/>
    <w:rsid w:val="005E0F6C"/>
    <w:rsid w:val="005E6505"/>
    <w:rsid w:val="005F556C"/>
    <w:rsid w:val="005F7818"/>
    <w:rsid w:val="00621B18"/>
    <w:rsid w:val="00635CB1"/>
    <w:rsid w:val="006374BF"/>
    <w:rsid w:val="00646C81"/>
    <w:rsid w:val="00651C76"/>
    <w:rsid w:val="0065307F"/>
    <w:rsid w:val="006610ED"/>
    <w:rsid w:val="00675871"/>
    <w:rsid w:val="006770F1"/>
    <w:rsid w:val="006804CA"/>
    <w:rsid w:val="006941E8"/>
    <w:rsid w:val="006D2692"/>
    <w:rsid w:val="006D4C77"/>
    <w:rsid w:val="006D6B53"/>
    <w:rsid w:val="006E79C2"/>
    <w:rsid w:val="006F0455"/>
    <w:rsid w:val="00707989"/>
    <w:rsid w:val="00710549"/>
    <w:rsid w:val="00711855"/>
    <w:rsid w:val="007163AD"/>
    <w:rsid w:val="00724B75"/>
    <w:rsid w:val="0073156D"/>
    <w:rsid w:val="00742421"/>
    <w:rsid w:val="00755640"/>
    <w:rsid w:val="00755F59"/>
    <w:rsid w:val="00783875"/>
    <w:rsid w:val="007903E4"/>
    <w:rsid w:val="00796403"/>
    <w:rsid w:val="00796CAC"/>
    <w:rsid w:val="007A0662"/>
    <w:rsid w:val="007B0F23"/>
    <w:rsid w:val="007B1D20"/>
    <w:rsid w:val="007C1B40"/>
    <w:rsid w:val="007C3DDC"/>
    <w:rsid w:val="007D5978"/>
    <w:rsid w:val="007E65D7"/>
    <w:rsid w:val="00803B75"/>
    <w:rsid w:val="0083307A"/>
    <w:rsid w:val="00833277"/>
    <w:rsid w:val="00836C5E"/>
    <w:rsid w:val="00841AEB"/>
    <w:rsid w:val="008435A8"/>
    <w:rsid w:val="00852ABB"/>
    <w:rsid w:val="00857D71"/>
    <w:rsid w:val="008672DB"/>
    <w:rsid w:val="0087232B"/>
    <w:rsid w:val="00891BA9"/>
    <w:rsid w:val="00893233"/>
    <w:rsid w:val="00894FFE"/>
    <w:rsid w:val="008A385A"/>
    <w:rsid w:val="008B36AF"/>
    <w:rsid w:val="008C298D"/>
    <w:rsid w:val="008C58AE"/>
    <w:rsid w:val="008D29C6"/>
    <w:rsid w:val="008D6B57"/>
    <w:rsid w:val="008E25D2"/>
    <w:rsid w:val="008E41BD"/>
    <w:rsid w:val="00900C37"/>
    <w:rsid w:val="0090618E"/>
    <w:rsid w:val="009170EA"/>
    <w:rsid w:val="0091772C"/>
    <w:rsid w:val="009261FC"/>
    <w:rsid w:val="00934B9A"/>
    <w:rsid w:val="0093578A"/>
    <w:rsid w:val="009431C9"/>
    <w:rsid w:val="009548DA"/>
    <w:rsid w:val="00955A42"/>
    <w:rsid w:val="00957559"/>
    <w:rsid w:val="00967B2C"/>
    <w:rsid w:val="00995EC2"/>
    <w:rsid w:val="00997A78"/>
    <w:rsid w:val="009B1935"/>
    <w:rsid w:val="009B3E39"/>
    <w:rsid w:val="009B4BE7"/>
    <w:rsid w:val="009D1312"/>
    <w:rsid w:val="009D5756"/>
    <w:rsid w:val="009E1B8E"/>
    <w:rsid w:val="009F40A0"/>
    <w:rsid w:val="00A00201"/>
    <w:rsid w:val="00A069DE"/>
    <w:rsid w:val="00A16712"/>
    <w:rsid w:val="00A24891"/>
    <w:rsid w:val="00A24BBF"/>
    <w:rsid w:val="00A31CF5"/>
    <w:rsid w:val="00A341DD"/>
    <w:rsid w:val="00A4671F"/>
    <w:rsid w:val="00A46EB1"/>
    <w:rsid w:val="00A53256"/>
    <w:rsid w:val="00A54360"/>
    <w:rsid w:val="00A66D8F"/>
    <w:rsid w:val="00A76FF1"/>
    <w:rsid w:val="00A81199"/>
    <w:rsid w:val="00A85A2E"/>
    <w:rsid w:val="00A85C0A"/>
    <w:rsid w:val="00A87881"/>
    <w:rsid w:val="00A96F9A"/>
    <w:rsid w:val="00AA61B7"/>
    <w:rsid w:val="00AA6441"/>
    <w:rsid w:val="00AA78C6"/>
    <w:rsid w:val="00AC7C1F"/>
    <w:rsid w:val="00AD229D"/>
    <w:rsid w:val="00AE0CA8"/>
    <w:rsid w:val="00AE224B"/>
    <w:rsid w:val="00AE5888"/>
    <w:rsid w:val="00AF200B"/>
    <w:rsid w:val="00B17938"/>
    <w:rsid w:val="00B22591"/>
    <w:rsid w:val="00B43434"/>
    <w:rsid w:val="00B441B7"/>
    <w:rsid w:val="00B511B3"/>
    <w:rsid w:val="00B6377F"/>
    <w:rsid w:val="00B63BA3"/>
    <w:rsid w:val="00B65855"/>
    <w:rsid w:val="00B66793"/>
    <w:rsid w:val="00B667D9"/>
    <w:rsid w:val="00B67A1E"/>
    <w:rsid w:val="00B824C7"/>
    <w:rsid w:val="00B85268"/>
    <w:rsid w:val="00B91E6B"/>
    <w:rsid w:val="00BA0343"/>
    <w:rsid w:val="00BA7090"/>
    <w:rsid w:val="00BC0CA1"/>
    <w:rsid w:val="00BC4E7A"/>
    <w:rsid w:val="00BC7490"/>
    <w:rsid w:val="00BE6293"/>
    <w:rsid w:val="00BE67FD"/>
    <w:rsid w:val="00BF552D"/>
    <w:rsid w:val="00C10414"/>
    <w:rsid w:val="00C14233"/>
    <w:rsid w:val="00C206A5"/>
    <w:rsid w:val="00C24C30"/>
    <w:rsid w:val="00C263A3"/>
    <w:rsid w:val="00C31BC2"/>
    <w:rsid w:val="00C358A7"/>
    <w:rsid w:val="00C4203F"/>
    <w:rsid w:val="00C46F44"/>
    <w:rsid w:val="00C5387A"/>
    <w:rsid w:val="00C55361"/>
    <w:rsid w:val="00C71D84"/>
    <w:rsid w:val="00C758DF"/>
    <w:rsid w:val="00C85C1E"/>
    <w:rsid w:val="00CA35BE"/>
    <w:rsid w:val="00CB0900"/>
    <w:rsid w:val="00CB24AA"/>
    <w:rsid w:val="00CB28ED"/>
    <w:rsid w:val="00CB4D14"/>
    <w:rsid w:val="00CB51A1"/>
    <w:rsid w:val="00CC0AE0"/>
    <w:rsid w:val="00CC4B98"/>
    <w:rsid w:val="00CD252E"/>
    <w:rsid w:val="00CD70DA"/>
    <w:rsid w:val="00CE6FC8"/>
    <w:rsid w:val="00CF2102"/>
    <w:rsid w:val="00D05572"/>
    <w:rsid w:val="00D1626E"/>
    <w:rsid w:val="00D21C47"/>
    <w:rsid w:val="00D37215"/>
    <w:rsid w:val="00D41058"/>
    <w:rsid w:val="00D5535D"/>
    <w:rsid w:val="00D81093"/>
    <w:rsid w:val="00D9355B"/>
    <w:rsid w:val="00DA5B7B"/>
    <w:rsid w:val="00DB44BC"/>
    <w:rsid w:val="00DC00F1"/>
    <w:rsid w:val="00DC10FF"/>
    <w:rsid w:val="00DC5087"/>
    <w:rsid w:val="00DC5C76"/>
    <w:rsid w:val="00DC61A9"/>
    <w:rsid w:val="00DD19F0"/>
    <w:rsid w:val="00DD40EB"/>
    <w:rsid w:val="00DF0176"/>
    <w:rsid w:val="00DF23A8"/>
    <w:rsid w:val="00DF3674"/>
    <w:rsid w:val="00E05149"/>
    <w:rsid w:val="00E2113C"/>
    <w:rsid w:val="00E219E8"/>
    <w:rsid w:val="00E350D4"/>
    <w:rsid w:val="00E3761B"/>
    <w:rsid w:val="00E4344E"/>
    <w:rsid w:val="00E52657"/>
    <w:rsid w:val="00E60C5D"/>
    <w:rsid w:val="00E66FEC"/>
    <w:rsid w:val="00E70C3F"/>
    <w:rsid w:val="00E85A03"/>
    <w:rsid w:val="00E87F33"/>
    <w:rsid w:val="00E90361"/>
    <w:rsid w:val="00E91B93"/>
    <w:rsid w:val="00EA1534"/>
    <w:rsid w:val="00EA32FE"/>
    <w:rsid w:val="00ED0119"/>
    <w:rsid w:val="00ED2F7D"/>
    <w:rsid w:val="00EE4765"/>
    <w:rsid w:val="00EF2B4B"/>
    <w:rsid w:val="00F036E1"/>
    <w:rsid w:val="00F14307"/>
    <w:rsid w:val="00F16023"/>
    <w:rsid w:val="00F17578"/>
    <w:rsid w:val="00F20A65"/>
    <w:rsid w:val="00F258BB"/>
    <w:rsid w:val="00F42B69"/>
    <w:rsid w:val="00F51CC2"/>
    <w:rsid w:val="00F5332C"/>
    <w:rsid w:val="00F74447"/>
    <w:rsid w:val="00F75974"/>
    <w:rsid w:val="00F81AF1"/>
    <w:rsid w:val="00F86212"/>
    <w:rsid w:val="00F920C9"/>
    <w:rsid w:val="00F95797"/>
    <w:rsid w:val="00FA6460"/>
    <w:rsid w:val="00FB4033"/>
    <w:rsid w:val="00FB48A1"/>
    <w:rsid w:val="00FC660D"/>
    <w:rsid w:val="00FC666F"/>
    <w:rsid w:val="00FC7521"/>
    <w:rsid w:val="00FE51C3"/>
    <w:rsid w:val="00FF5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18107"/>
  <w15:chartTrackingRefBased/>
  <w15:docId w15:val="{48A703B4-78E8-4CD7-9C6B-192623607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link w:val="Heading5Char"/>
    <w:uiPriority w:val="9"/>
    <w:qFormat/>
    <w:rsid w:val="00E85A03"/>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E85A03"/>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177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73A"/>
    <w:rPr>
      <w:rFonts w:ascii="Segoe UI" w:hAnsi="Segoe UI" w:cs="Segoe UI"/>
      <w:sz w:val="18"/>
      <w:szCs w:val="18"/>
    </w:rPr>
  </w:style>
  <w:style w:type="character" w:styleId="CommentReference">
    <w:name w:val="annotation reference"/>
    <w:basedOn w:val="DefaultParagraphFont"/>
    <w:uiPriority w:val="99"/>
    <w:semiHidden/>
    <w:unhideWhenUsed/>
    <w:rsid w:val="0035603C"/>
    <w:rPr>
      <w:sz w:val="16"/>
      <w:szCs w:val="16"/>
    </w:rPr>
  </w:style>
  <w:style w:type="paragraph" w:styleId="CommentText">
    <w:name w:val="annotation text"/>
    <w:basedOn w:val="Normal"/>
    <w:link w:val="CommentTextChar"/>
    <w:uiPriority w:val="99"/>
    <w:unhideWhenUsed/>
    <w:rsid w:val="0035603C"/>
    <w:pPr>
      <w:spacing w:line="240" w:lineRule="auto"/>
    </w:pPr>
    <w:rPr>
      <w:sz w:val="20"/>
      <w:szCs w:val="20"/>
    </w:rPr>
  </w:style>
  <w:style w:type="character" w:customStyle="1" w:styleId="CommentTextChar">
    <w:name w:val="Comment Text Char"/>
    <w:basedOn w:val="DefaultParagraphFont"/>
    <w:link w:val="CommentText"/>
    <w:uiPriority w:val="99"/>
    <w:rsid w:val="0035603C"/>
    <w:rPr>
      <w:sz w:val="20"/>
      <w:szCs w:val="20"/>
    </w:rPr>
  </w:style>
  <w:style w:type="paragraph" w:styleId="CommentSubject">
    <w:name w:val="annotation subject"/>
    <w:basedOn w:val="CommentText"/>
    <w:next w:val="CommentText"/>
    <w:link w:val="CommentSubjectChar"/>
    <w:uiPriority w:val="99"/>
    <w:semiHidden/>
    <w:unhideWhenUsed/>
    <w:rsid w:val="0035603C"/>
    <w:rPr>
      <w:b/>
      <w:bCs/>
    </w:rPr>
  </w:style>
  <w:style w:type="character" w:customStyle="1" w:styleId="CommentSubjectChar">
    <w:name w:val="Comment Subject Char"/>
    <w:basedOn w:val="CommentTextChar"/>
    <w:link w:val="CommentSubject"/>
    <w:uiPriority w:val="99"/>
    <w:semiHidden/>
    <w:rsid w:val="0035603C"/>
    <w:rPr>
      <w:b/>
      <w:bCs/>
      <w:sz w:val="20"/>
      <w:szCs w:val="20"/>
    </w:rPr>
  </w:style>
  <w:style w:type="paragraph" w:styleId="ListParagraph">
    <w:name w:val="List Paragraph"/>
    <w:basedOn w:val="Normal"/>
    <w:uiPriority w:val="34"/>
    <w:qFormat/>
    <w:rsid w:val="002E5038"/>
    <w:pPr>
      <w:ind w:left="720"/>
      <w:contextualSpacing/>
    </w:pPr>
  </w:style>
  <w:style w:type="paragraph" w:styleId="Revision">
    <w:name w:val="Revision"/>
    <w:hidden/>
    <w:uiPriority w:val="99"/>
    <w:semiHidden/>
    <w:rsid w:val="00132D26"/>
    <w:pPr>
      <w:spacing w:after="0" w:line="240" w:lineRule="auto"/>
    </w:pPr>
  </w:style>
  <w:style w:type="paragraph" w:styleId="Header">
    <w:name w:val="header"/>
    <w:basedOn w:val="Normal"/>
    <w:link w:val="HeaderChar"/>
    <w:uiPriority w:val="99"/>
    <w:unhideWhenUsed/>
    <w:rsid w:val="00B637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377F"/>
  </w:style>
  <w:style w:type="paragraph" w:styleId="Footer">
    <w:name w:val="footer"/>
    <w:basedOn w:val="Normal"/>
    <w:link w:val="FooterChar"/>
    <w:uiPriority w:val="99"/>
    <w:unhideWhenUsed/>
    <w:rsid w:val="00B637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377F"/>
  </w:style>
  <w:style w:type="character" w:styleId="PageNumber">
    <w:name w:val="page number"/>
    <w:basedOn w:val="DefaultParagraphFont"/>
    <w:uiPriority w:val="99"/>
    <w:semiHidden/>
    <w:unhideWhenUsed/>
    <w:rsid w:val="00B63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93035">
      <w:bodyDiv w:val="1"/>
      <w:marLeft w:val="0"/>
      <w:marRight w:val="0"/>
      <w:marTop w:val="0"/>
      <w:marBottom w:val="0"/>
      <w:divBdr>
        <w:top w:val="none" w:sz="0" w:space="0" w:color="auto"/>
        <w:left w:val="none" w:sz="0" w:space="0" w:color="auto"/>
        <w:bottom w:val="none" w:sz="0" w:space="0" w:color="auto"/>
        <w:right w:val="none" w:sz="0" w:space="0" w:color="auto"/>
      </w:divBdr>
      <w:divsChild>
        <w:div w:id="971834088">
          <w:marLeft w:val="4757"/>
          <w:marRight w:val="0"/>
          <w:marTop w:val="0"/>
          <w:marBottom w:val="0"/>
          <w:divBdr>
            <w:top w:val="none" w:sz="0" w:space="0" w:color="auto"/>
            <w:left w:val="none" w:sz="0" w:space="0" w:color="auto"/>
            <w:bottom w:val="none" w:sz="0" w:space="0" w:color="auto"/>
            <w:right w:val="none" w:sz="0" w:space="0" w:color="auto"/>
          </w:divBdr>
          <w:divsChild>
            <w:div w:id="650600620">
              <w:marLeft w:val="0"/>
              <w:marRight w:val="0"/>
              <w:marTop w:val="0"/>
              <w:marBottom w:val="0"/>
              <w:divBdr>
                <w:top w:val="single" w:sz="12" w:space="4" w:color="auto"/>
                <w:left w:val="single" w:sz="6" w:space="4" w:color="auto"/>
                <w:bottom w:val="single" w:sz="6" w:space="4" w:color="auto"/>
                <w:right w:val="single" w:sz="6" w:space="4" w:color="auto"/>
              </w:divBdr>
              <w:divsChild>
                <w:div w:id="7189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90639">
          <w:marLeft w:val="0"/>
          <w:marRight w:val="0"/>
          <w:marTop w:val="0"/>
          <w:marBottom w:val="0"/>
          <w:divBdr>
            <w:top w:val="none" w:sz="0" w:space="0" w:color="auto"/>
            <w:left w:val="none" w:sz="0" w:space="0" w:color="auto"/>
            <w:bottom w:val="none" w:sz="0" w:space="0" w:color="auto"/>
            <w:right w:val="none" w:sz="0" w:space="0" w:color="auto"/>
          </w:divBdr>
          <w:divsChild>
            <w:div w:id="1605964430">
              <w:marLeft w:val="0"/>
              <w:marRight w:val="0"/>
              <w:marTop w:val="0"/>
              <w:marBottom w:val="0"/>
              <w:divBdr>
                <w:top w:val="none" w:sz="0" w:space="0" w:color="auto"/>
                <w:left w:val="none" w:sz="0" w:space="0" w:color="auto"/>
                <w:bottom w:val="none" w:sz="0" w:space="0" w:color="auto"/>
                <w:right w:val="none" w:sz="0" w:space="0" w:color="auto"/>
              </w:divBdr>
              <w:divsChild>
                <w:div w:id="143281163">
                  <w:marLeft w:val="0"/>
                  <w:marRight w:val="0"/>
                  <w:marTop w:val="0"/>
                  <w:marBottom w:val="0"/>
                  <w:divBdr>
                    <w:top w:val="none" w:sz="0" w:space="0" w:color="auto"/>
                    <w:left w:val="none" w:sz="0" w:space="0" w:color="auto"/>
                    <w:bottom w:val="none" w:sz="0" w:space="0" w:color="auto"/>
                    <w:right w:val="none" w:sz="0" w:space="0" w:color="auto"/>
                  </w:divBdr>
                  <w:divsChild>
                    <w:div w:id="262881712">
                      <w:marLeft w:val="0"/>
                      <w:marRight w:val="0"/>
                      <w:marTop w:val="0"/>
                      <w:marBottom w:val="0"/>
                      <w:divBdr>
                        <w:top w:val="none" w:sz="0" w:space="8" w:color="024B03"/>
                        <w:left w:val="none" w:sz="0" w:space="11" w:color="024B03"/>
                        <w:bottom w:val="none" w:sz="0" w:space="8" w:color="024B03"/>
                        <w:right w:val="none" w:sz="0" w:space="11" w:color="024B03"/>
                      </w:divBdr>
                    </w:div>
                  </w:divsChild>
                </w:div>
                <w:div w:id="829716757">
                  <w:marLeft w:val="0"/>
                  <w:marRight w:val="0"/>
                  <w:marTop w:val="75"/>
                  <w:marBottom w:val="0"/>
                  <w:divBdr>
                    <w:top w:val="none" w:sz="0" w:space="0" w:color="auto"/>
                    <w:left w:val="none" w:sz="0" w:space="0" w:color="auto"/>
                    <w:bottom w:val="none" w:sz="0" w:space="0" w:color="auto"/>
                    <w:right w:val="none" w:sz="0" w:space="0" w:color="auto"/>
                  </w:divBdr>
                  <w:divsChild>
                    <w:div w:id="1458644068">
                      <w:marLeft w:val="0"/>
                      <w:marRight w:val="0"/>
                      <w:marTop w:val="0"/>
                      <w:marBottom w:val="0"/>
                      <w:divBdr>
                        <w:top w:val="none" w:sz="0" w:space="8" w:color="024B03"/>
                        <w:left w:val="none" w:sz="0" w:space="11" w:color="024B03"/>
                        <w:bottom w:val="none" w:sz="0" w:space="8" w:color="024B03"/>
                        <w:right w:val="none" w:sz="0" w:space="11" w:color="024B03"/>
                      </w:divBdr>
                    </w:div>
                  </w:divsChild>
                </w:div>
              </w:divsChild>
            </w:div>
          </w:divsChild>
        </w:div>
      </w:divsChild>
    </w:div>
    <w:div w:id="1227766987">
      <w:bodyDiv w:val="1"/>
      <w:marLeft w:val="0"/>
      <w:marRight w:val="0"/>
      <w:marTop w:val="0"/>
      <w:marBottom w:val="0"/>
      <w:divBdr>
        <w:top w:val="none" w:sz="0" w:space="0" w:color="auto"/>
        <w:left w:val="none" w:sz="0" w:space="0" w:color="auto"/>
        <w:bottom w:val="none" w:sz="0" w:space="0" w:color="auto"/>
        <w:right w:val="none" w:sz="0" w:space="0" w:color="auto"/>
      </w:divBdr>
    </w:div>
    <w:div w:id="172945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870FC-C26D-42A1-8BBC-FF13A4D87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2127</Words>
  <Characters>12127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 Cosic</dc:creator>
  <cp:keywords/>
  <dc:description/>
  <cp:lastModifiedBy>Ivana Vojinovic</cp:lastModifiedBy>
  <cp:revision>2</cp:revision>
  <cp:lastPrinted>2026-07-16T05:54:00Z</cp:lastPrinted>
  <dcterms:created xsi:type="dcterms:W3CDTF">2026-07-17T14:53:00Z</dcterms:created>
  <dcterms:modified xsi:type="dcterms:W3CDTF">2026-07-17T14:53:00Z</dcterms:modified>
</cp:coreProperties>
</file>