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15D59" w14:textId="5FC5F8C1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На основу члана 8. Закона о буџету Републике Србије за 202</w:t>
      </w:r>
      <w:r w:rsidR="0090555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. годину („Службени гласник РС”, број </w:t>
      </w:r>
      <w:r w:rsidR="0090555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108/25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), члана 108. став 2. Закона о заштити природе </w:t>
      </w:r>
      <w:bookmarkStart w:id="0" w:name="_Hlk158019743"/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(„Службени гласник РСˮ, </w:t>
      </w:r>
      <w:bookmarkEnd w:id="0"/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бр. 36/09, 88/10, 91/10 </w:t>
      </w:r>
      <w:r w:rsidR="005F1679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-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исправка, 14/16, 95/18 </w:t>
      </w:r>
      <w:r w:rsidR="005F1679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-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др. закон и 71/21)</w:t>
      </w:r>
      <w:r w:rsidR="00711A27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 члана 24.</w:t>
      </w:r>
      <w:r w:rsidR="00E113C8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ст.</w:t>
      </w:r>
      <w:r w:rsidR="00946E3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2. и 3. </w:t>
      </w:r>
      <w:r w:rsidR="00711A27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Законa о националним парковима („Службени гласник РСˮ, бр. 84/15 и 95/18 - др. закон)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="00415FDA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 члана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42. став 1. Закона о Влади („Службени гласник РС”, бр. 55/05, 71/05 </w:t>
      </w:r>
      <w:r w:rsidR="00B35AFF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-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исправка, 101/07, 65/08, 16/11, 68/12</w:t>
      </w:r>
      <w:r w:rsidR="00B35AFF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-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УС, 72/12, 7/14 </w:t>
      </w:r>
      <w:r w:rsidR="00B35AFF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-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УС, 44/14 и 30/18 </w:t>
      </w:r>
      <w:r w:rsidR="00B35AFF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-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др. закон),</w:t>
      </w:r>
    </w:p>
    <w:p w14:paraId="0A770DC8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Влада доноси</w:t>
      </w:r>
    </w:p>
    <w:p w14:paraId="14585B18" w14:textId="77777777" w:rsidR="009435E6" w:rsidRPr="00DA06A1" w:rsidRDefault="009435E6" w:rsidP="009435E6">
      <w:pPr>
        <w:shd w:val="clear" w:color="auto" w:fill="FFFFFF"/>
        <w:spacing w:before="225" w:after="225" w:line="240" w:lineRule="auto"/>
        <w:ind w:firstLine="480"/>
        <w:jc w:val="center"/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УРЕДБУ</w:t>
      </w:r>
    </w:p>
    <w:p w14:paraId="1CAB6C5B" w14:textId="35FA1538" w:rsidR="009435E6" w:rsidRPr="00DA06A1" w:rsidRDefault="00E66A6F" w:rsidP="00E66A6F">
      <w:pPr>
        <w:shd w:val="clear" w:color="auto" w:fill="FFFFFF"/>
        <w:spacing w:before="225" w:after="225" w:line="240" w:lineRule="auto"/>
        <w:jc w:val="center"/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 МЕРИЛИМА И КРИТЕРИЈУМИМА ЗА ДОДЕЛУ ПОДСТИЦАЈНИХ СРЕДСТАВА ЗА ОЧУВАЊЕ И ЗАШТИТУ БИОЛОШКЕ, ПРЕДЕОНЕ И ГЕОЛОШКЕ РАЗНОВРСНОСТИ У 202</w:t>
      </w:r>
      <w:r w:rsidR="00905556" w:rsidRPr="00DA06A1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Pr="00DA06A1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 ГОДИНИ</w:t>
      </w:r>
    </w:p>
    <w:p w14:paraId="7768A138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1.</w:t>
      </w:r>
    </w:p>
    <w:p w14:paraId="03FDCA19" w14:textId="6B96931F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Овом уредбом утврђују се мерила и критеријуми за доделу подстицајних средстава, распоред, услови и начин коришћења средстава за очување и заштиту биолошке, предеоне и геолошке разноврсности, за јединице локалне самоуправе на чијој територији се успоставља подручје које је проглашено </w:t>
      </w:r>
      <w:r w:rsidR="00B90BD3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Законом о националним парковима</w:t>
      </w:r>
      <w:r w:rsidR="00E66A6F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 актом В</w:t>
      </w:r>
      <w:r w:rsidR="00DB46B7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ладе (у даљем тексту: подстицајна средства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), која су одређена Законом о буџету Републике Србије за 202</w:t>
      </w:r>
      <w:r w:rsidR="0090555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 годину, на Разделу 25 – Министарство заштите животне средине, Глава 25.0 – Министарство заштите животне средине</w:t>
      </w:r>
      <w:r w:rsidR="00A955BE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="00E4060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(у даљем тексту: Министарство)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, Програм 0405 – Заштита природе и климатске промене, Функција 560 – Заштита животне средине некласификована на другом месту, Програмска активност 0001 – Уређење и унапређење система заштите природе и очувања биодиверзитета, Економска класификација 463 – Трансфери осталим нивоима власти у укупном износу од </w:t>
      </w:r>
      <w:r w:rsidR="00234C8B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30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0.000</w:t>
      </w:r>
      <w:r w:rsidR="002805AB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.000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,00 динара.</w:t>
      </w:r>
    </w:p>
    <w:p w14:paraId="3A3ED229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2.</w:t>
      </w:r>
    </w:p>
    <w:p w14:paraId="171147C3" w14:textId="58703D9D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Подстицајна</w:t>
      </w:r>
      <w:r w:rsidR="008F0F81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средства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, у укупном износу од </w:t>
      </w:r>
      <w:r w:rsidR="00234C8B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30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0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.000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.000,00 динара, односе се на финансирање радова и других трошкова, дефинисан</w:t>
      </w:r>
      <w:r w:rsidR="00B90BD3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им Законом о заштити природе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 овом уредбом, као и вредност употребљених сопствених ресурса и добара, за период од 1. јануара до 31. децембра 202</w:t>
      </w:r>
      <w:r w:rsidR="00234C8B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="00010D5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године и распоређују се за следеће намене:</w:t>
      </w:r>
    </w:p>
    <w:p w14:paraId="0CFAC7A7" w14:textId="38D2153A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1) изградња водоводне мреже, канализационе мреже, путне инфраструктуре, решавање проблема појединачних и групних септичких јама;</w:t>
      </w:r>
    </w:p>
    <w:p w14:paraId="0BCA13E8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2) изградња објеката за евакуацију и пречишћавање отпадних вода;</w:t>
      </w:r>
    </w:p>
    <w:p w14:paraId="626A74A2" w14:textId="69B188CC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3)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изградња објеката у функцији очувања </w:t>
      </w:r>
      <w:r w:rsidR="0092633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биодиверзитета,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унапређења културног наслеђа и агробиодиверзитета;</w:t>
      </w:r>
    </w:p>
    <w:p w14:paraId="29096463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4) израда и спровођење пројеката уређења простора и коришћења обновљивих извора енергије;</w:t>
      </w:r>
    </w:p>
    <w:p w14:paraId="685CF544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5) изградња и уређење спелеолошких објеката, пешачких, бициклистичких и других стаза, видиковаца, осматрачница, одморишта;</w:t>
      </w:r>
    </w:p>
    <w:p w14:paraId="513A2099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6) изградња центара за посетиоце и успостављање инфо пунктoва;</w:t>
      </w:r>
    </w:p>
    <w:p w14:paraId="3E0160D4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lastRenderedPageBreak/>
        <w:t>7) изградња објеката и уређење простора за заснивање и одржавање популација старих раса и сорти домаћих животиња и биљних култура;</w:t>
      </w:r>
    </w:p>
    <w:p w14:paraId="55EC7749" w14:textId="6E8520D1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8) пејзажно уређење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односно уређење парк шума, паркова, дрвореда и зелених површина и друго;</w:t>
      </w:r>
    </w:p>
    <w:p w14:paraId="6BA9164A" w14:textId="685E0DA8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9) успостављање мреже локалних удружења (као што су удружењ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а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жена, удружења младих, удружењ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а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произвођача локалних производа, удружења жена предузетница и слично);</w:t>
      </w:r>
    </w:p>
    <w:p w14:paraId="50C90EDE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10) одржавање манифестација (развој локалних удружења и њихова промоција, одржавање сајмова и учешће на сајмовима, првенствено сајмова који погодују презентацији и популаризацији заштићених подручја, формирање и промоција етно поставки);</w:t>
      </w:r>
    </w:p>
    <w:p w14:paraId="4C4C2966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11) брендирања локалних производа;</w:t>
      </w:r>
    </w:p>
    <w:p w14:paraId="190DBD2F" w14:textId="77777777" w:rsidR="00401F5B" w:rsidRPr="00DA06A1" w:rsidRDefault="009435E6" w:rsidP="00DC7636">
      <w:pPr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12) </w:t>
      </w:r>
      <w:r w:rsidR="00401F5B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развој и унапређење старих и уметничких заната, односно послова домаће радиности за предузетнике и друге субјекте који поседују важећи сертификат министарства надлежног за послове привреде;</w:t>
      </w:r>
    </w:p>
    <w:p w14:paraId="3C224C45" w14:textId="5A03FD92" w:rsidR="0066375C" w:rsidRPr="00DA06A1" w:rsidRDefault="00401F5B" w:rsidP="00DC7636">
      <w:pPr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13) 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развој традиционалне-органске пољопривредне производње за произвођаче који поседују важећи сертификат овлашћене контр</w:t>
      </w:r>
      <w:r w:rsidR="003E558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олне организације, у складу са з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аконом </w:t>
      </w:r>
      <w:r w:rsidR="003E558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к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</w:t>
      </w:r>
      <w:r w:rsidR="003E558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јим се уређује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органск</w:t>
      </w:r>
      <w:r w:rsidR="003E558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а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производњ</w:t>
      </w:r>
      <w:r w:rsidR="003E558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а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;</w:t>
      </w:r>
    </w:p>
    <w:p w14:paraId="59F7D433" w14:textId="277B80F1" w:rsidR="009435E6" w:rsidRPr="00DA06A1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јачање административних капацитета геопарка и резервата биосфере (обука мена</w:t>
      </w:r>
      <w:r w:rsidR="00234C8B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џ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мента геопарка и резервата биосфере, успостављање центара за посетиоце);</w:t>
      </w:r>
    </w:p>
    <w:p w14:paraId="13948C09" w14:textId="2627D211" w:rsidR="009435E6" w:rsidRPr="00DA06A1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обука и едукација локалног становништва из области кој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е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доприносе презентацији и популаризацији заштићеног подручја;</w:t>
      </w:r>
    </w:p>
    <w:p w14:paraId="44CCF123" w14:textId="3DE72B5D" w:rsidR="009435E6" w:rsidRPr="00DA06A1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обележавање објеката геонаслеђа, биодиверзитета и објеката културноисторијског наслеђа;</w:t>
      </w:r>
    </w:p>
    <w:p w14:paraId="054BAA94" w14:textId="4848F00C" w:rsidR="009435E6" w:rsidRPr="00DA06A1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</w:t>
      </w:r>
      <w:r w:rsidR="0066375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обнављање објеката народног градитељства.</w:t>
      </w:r>
    </w:p>
    <w:p w14:paraId="42DBA198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3.</w:t>
      </w:r>
    </w:p>
    <w:p w14:paraId="7ED31609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Право на доделу подстицајних средстава имају јединице локалне самоуправе на чијој територији се налазе национални паркови и заштићена подручја проглашена актом Владе.</w:t>
      </w:r>
    </w:p>
    <w:p w14:paraId="030164F7" w14:textId="6F7F9038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Подстицајна средства се додељују локалним самоуправама на основу достављених програма и пројеката у складу са дозвољеним рад</w:t>
      </w:r>
      <w:r w:rsidR="00365F3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овима и активностима дефинисаним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Законом о заштити природе</w:t>
      </w:r>
      <w:r w:rsidR="002C5D21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 Законом о националним парковима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 актом о проглашењу заштићеног подручја.</w:t>
      </w:r>
    </w:p>
    <w:p w14:paraId="678AF76C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Учешће подстицајних средстава у предрачунској вредности средстава потребних за реализацију радова и активности из члана 2. ове уредбе, може износити до 80%.</w:t>
      </w:r>
    </w:p>
    <w:p w14:paraId="5942E412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4.</w:t>
      </w:r>
    </w:p>
    <w:p w14:paraId="76345E5A" w14:textId="07D0FAE1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Критеријуми за доделу подстицајних средстава су:</w:t>
      </w:r>
      <w:r w:rsidR="009D2563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  </w:t>
      </w:r>
    </w:p>
    <w:p w14:paraId="52149E67" w14:textId="7E1B97A6" w:rsidR="009435E6" w:rsidRPr="00DA06A1" w:rsidRDefault="009435E6" w:rsidP="00A017BB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0"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изложеност заштићеног подручја утицајима људи кроз становање, посету и обављање привредних активности;</w:t>
      </w:r>
      <w:r w:rsidR="009940A1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                                                                                                   2</w:t>
      </w:r>
    </w:p>
    <w:p w14:paraId="7C0DAB0F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lastRenderedPageBreak/>
        <w:t>2) степен ризика од оштећивања и уништавања заштићеног подручја;</w:t>
      </w:r>
    </w:p>
    <w:p w14:paraId="33684FE4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3) одрживост и исплативост пројекта;</w:t>
      </w:r>
    </w:p>
    <w:p w14:paraId="43CDB7F8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4) степен развијености општине на чијој се територији пројекат реализује и слично;</w:t>
      </w:r>
    </w:p>
    <w:p w14:paraId="46176C47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5) допринос планираних послова спровођењу програма заштите природе и животне средине и одрживом социо-економском развоју;</w:t>
      </w:r>
    </w:p>
    <w:p w14:paraId="0BA1A8B4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6) степен припремљености пројектне документације;</w:t>
      </w:r>
    </w:p>
    <w:p w14:paraId="53D1AAC0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7) институционални капацитет подносиоца захтева/носиоца пројекта и слично.</w:t>
      </w:r>
    </w:p>
    <w:p w14:paraId="2D906BC8" w14:textId="7E81A85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Вредновање критеријума, испуњеност услова за доделу и предлог износа подстицајних средстава, утврђује комисија за доделу подстицајних средстава за очување и заштиту биолошке, предеоне и геолошке разноврсности у 202</w:t>
      </w:r>
      <w:r w:rsidR="004E7CB7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 години (у даљем тексту: комисија), коју образује министар надлежан за послове заштите животне средине (у даљем тексту: министар).</w:t>
      </w:r>
    </w:p>
    <w:p w14:paraId="18839DF1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5.</w:t>
      </w:r>
    </w:p>
    <w:p w14:paraId="0C4EE891" w14:textId="774239E6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Додела подстицајних средстава врши се по захтеву за доделу подстицајних средстава, који подносе јединице локалне самоуправе на чијој територији се налази национални парк или заштићено подручје проглашено актом Владе, а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на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основу обавештења Министарства.</w:t>
      </w:r>
    </w:p>
    <w:p w14:paraId="4A3CB720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Обавештење Министарства садржи место и рок за подношење пријава, као и начин достављања документације.</w:t>
      </w:r>
    </w:p>
    <w:p w14:paraId="164A2629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6.</w:t>
      </w:r>
    </w:p>
    <w:p w14:paraId="35A6BD13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Захтев из члана 5. ове уредбе садржи:</w:t>
      </w:r>
    </w:p>
    <w:p w14:paraId="58B054FF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1) податке о подносиоцу захтева (подаци о правном лицу и контакт подаци);</w:t>
      </w:r>
    </w:p>
    <w:p w14:paraId="7FB9A555" w14:textId="26245DBA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2) опште податке о програму или пројекту (информације, опис, главн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циљев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 зада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ци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 односно активности, специфични циљеви, допринос програма или пројекта, локација, време потребно за реализацију, одрживост и степен спремности, анализа потенцијалних ризика, укупна процењена вредност и учешће средстава буџета у финансирању, информације о јавним набавкама које су потребне за реализацију, очекиван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резултат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 ефект</w:t>
      </w:r>
      <w:r w:rsidR="00A270BC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);</w:t>
      </w:r>
    </w:p>
    <w:p w14:paraId="1008A0E6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3) финансијски резиме (планирани буџет, извори финансирања);</w:t>
      </w:r>
    </w:p>
    <w:p w14:paraId="36114423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4) податке о управљању пројектом (руководилац пројекта, управљачка структура, партнерство и сарадња у реализацији пројекта, веза са другим пројектима);</w:t>
      </w:r>
    </w:p>
    <w:p w14:paraId="4F6FCF7A" w14:textId="03F98EBB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5) </w:t>
      </w:r>
      <w:r w:rsidR="003B2300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податке о 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дозволама, одобрењима и сагласностима од значаја за реализацију пројекта;</w:t>
      </w:r>
    </w:p>
    <w:p w14:paraId="0F775038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6) изјаву о тачности достављених података;</w:t>
      </w:r>
    </w:p>
    <w:p w14:paraId="6F4D2019" w14:textId="465DC4B9" w:rsidR="009435E6" w:rsidRPr="00DA06A1" w:rsidRDefault="009435E6" w:rsidP="004E7CB7">
      <w:pPr>
        <w:shd w:val="clear" w:color="auto" w:fill="FFFFFF"/>
        <w:tabs>
          <w:tab w:val="left" w:pos="709"/>
        </w:tabs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7)</w:t>
      </w:r>
      <w:r w:rsidR="004E7CB7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друге податке од значаја за оцену и финансирање пројекта, зависно од специфичности одређеног пројекта.</w:t>
      </w:r>
    </w:p>
    <w:p w14:paraId="1650CD45" w14:textId="30D23553" w:rsidR="009A654B" w:rsidRPr="00DA06A1" w:rsidRDefault="00AA7C24" w:rsidP="004E7CB7">
      <w:pPr>
        <w:shd w:val="clear" w:color="auto" w:fill="FFFFFF"/>
        <w:tabs>
          <w:tab w:val="left" w:pos="709"/>
        </w:tabs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ab/>
      </w:r>
      <w:r w:rsidR="009940A1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</w:t>
      </w:r>
    </w:p>
    <w:p w14:paraId="7CD56247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lastRenderedPageBreak/>
        <w:t>Члан 7.</w:t>
      </w:r>
    </w:p>
    <w:p w14:paraId="21284018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Уз захтев се подноси и следећа документација:</w:t>
      </w:r>
    </w:p>
    <w:p w14:paraId="202FADC4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1) доказ о поседовању пројектне документације;</w:t>
      </w:r>
    </w:p>
    <w:p w14:paraId="6029F1E5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2) изјава о начину финансирања пројекта која садржи укупну вредност пројекта и висину средстава која се траже;</w:t>
      </w:r>
    </w:p>
    <w:p w14:paraId="4431D926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3) начин на који ће подносилац захтева обезбедити сопствена средства и висина износа;</w:t>
      </w:r>
    </w:p>
    <w:p w14:paraId="4764636A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4) финансијски преглед (процењени буџет, намена коришћења средстава, потребна средства за почетак пројекта, реализацију и његово одржавање);</w:t>
      </w:r>
    </w:p>
    <w:p w14:paraId="7146C6D3" w14:textId="1906E9CF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5) изводљивост предлога, укључујући податке о урађеним студијама изводљивости</w:t>
      </w:r>
      <w:r w:rsidR="006B309D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потребној техничкој експертизи </w:t>
      </w:r>
      <w:r w:rsidR="006B309D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(за пројекте који</w:t>
      </w:r>
      <w:r w:rsidR="00F9411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="006B309D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то захтевају) 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 кључним факторима за успех пројекта;</w:t>
      </w:r>
    </w:p>
    <w:p w14:paraId="43468D61" w14:textId="1314E762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6) техничко-економска анализа потписана (оверена) од стране одговорног пројектанта у складу са законом</w:t>
      </w:r>
      <w:r w:rsidR="003905B1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која садржи следеће елементе:</w:t>
      </w:r>
    </w:p>
    <w:p w14:paraId="04AA9E7B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(1) технички опис пројекта који обавезно садржи попис и опис радова,</w:t>
      </w:r>
    </w:p>
    <w:p w14:paraId="208E78CD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(2) предмер и предрачун радова са укупном ценом инвестиције,</w:t>
      </w:r>
    </w:p>
    <w:p w14:paraId="14BD1915" w14:textId="435035C1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(3) планирану динамику пројекта која обавезно садржи: очекиван датум објављивања позива у поступку јавне набавке за одабир извођача радова</w:t>
      </w:r>
      <w:r w:rsidR="006B309D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за пројекте који то захтевају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 очекивани датум почетка радова, као и очекивани датум завршетка радова;</w:t>
      </w:r>
    </w:p>
    <w:p w14:paraId="3577EE7B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7) доказ о власништву над објектом који је предмет пројекта или други доказ о решеним имовинско-правним односима, односно правоснажну употребну дозволу;</w:t>
      </w:r>
    </w:p>
    <w:p w14:paraId="288F1A00" w14:textId="69EDE34F" w:rsidR="000B7968" w:rsidRPr="00DA06A1" w:rsidRDefault="000B7968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8) грађевинску дозволу уколико је потребна за реализацију пројекта</w:t>
      </w:r>
      <w:r w:rsidR="00FE039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;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</w:p>
    <w:p w14:paraId="021661D0" w14:textId="75FC25E4" w:rsidR="000B7968" w:rsidRPr="00DA06A1" w:rsidRDefault="000B7968" w:rsidP="0003108A">
      <w:pPr>
        <w:shd w:val="clear" w:color="auto" w:fill="FFFFFF"/>
        <w:tabs>
          <w:tab w:val="left" w:pos="851"/>
          <w:tab w:val="left" w:pos="1134"/>
          <w:tab w:val="left" w:pos="1276"/>
        </w:tabs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9)</w:t>
      </w:r>
      <w:r w:rsidR="0003108A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сагласност управљача заштићеног подручја уколико се реализација пројекта/програма планира у обухвату заштићеног подручја</w:t>
      </w:r>
      <w:r w:rsidR="00FE039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;</w:t>
      </w:r>
    </w:p>
    <w:p w14:paraId="5504B2D5" w14:textId="2BEC5F14" w:rsidR="009435E6" w:rsidRPr="00DA06A1" w:rsidRDefault="000B7968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10</w:t>
      </w:r>
      <w:r w:rsidR="009435E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анализ</w:t>
      </w:r>
      <w:r w:rsidR="00F94112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</w:t>
      </w:r>
      <w:r w:rsidR="009435E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тржишта, укључујући тренутно стање и процену тржишта добављача и корисника.</w:t>
      </w:r>
    </w:p>
    <w:p w14:paraId="304D8087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8.</w:t>
      </w:r>
    </w:p>
    <w:p w14:paraId="28488B25" w14:textId="4240DC03" w:rsidR="009435E6" w:rsidRPr="00DA06A1" w:rsidRDefault="009435E6" w:rsidP="006B309D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Комисија утврђује </w:t>
      </w:r>
      <w:bookmarkStart w:id="1" w:name="_Hlk142914678"/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Листу </w:t>
      </w:r>
      <w:bookmarkStart w:id="2" w:name="_Hlk142914399"/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вредновања и рангирања пријављених програма и пројеката</w:t>
      </w:r>
      <w:bookmarkEnd w:id="1"/>
      <w:r w:rsidR="006B309D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за доделу подстицајних средстава за очување и заштиту биолошке, предеоне и геолошке разноврсности у 202</w:t>
      </w:r>
      <w:r w:rsidR="000B7968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="006B309D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 години,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у року који не може бити дужи од 60 дана од дана истека рока за подношење захтева.</w:t>
      </w:r>
    </w:p>
    <w:bookmarkEnd w:id="2"/>
    <w:p w14:paraId="020EC497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Листа из става 1. овог члана се објављује </w:t>
      </w:r>
      <w:bookmarkStart w:id="3" w:name="_Hlk142914660"/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на званичној интернет страници Министарства.</w:t>
      </w:r>
    </w:p>
    <w:bookmarkEnd w:id="3"/>
    <w:p w14:paraId="0B988689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Подносиоци захтева имају право увида у поднете захтеве и приложену документацију, као и право приговора у року од три дана од дана објављивања Листе из става 1. овог члана.</w:t>
      </w:r>
    </w:p>
    <w:p w14:paraId="756DF9A7" w14:textId="0EA54D62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Одлуку о приговору комисија доноси у року од 15 дана од дана пријема</w:t>
      </w:r>
      <w:r w:rsidR="00D60574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приговора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. </w:t>
      </w:r>
      <w:bookmarkStart w:id="4" w:name="_Hlk142914319"/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Одлуку о додели подстицајних средстава доноси министар, на основу Листе из става 1. овог члана, у року од 30 дана од дана утврђивања </w:t>
      </w:r>
      <w:r w:rsidR="003905B1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ове л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исте.</w:t>
      </w:r>
      <w:bookmarkEnd w:id="4"/>
      <w:r w:rsidR="002919B3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                                                        4</w:t>
      </w:r>
    </w:p>
    <w:p w14:paraId="170F823C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lastRenderedPageBreak/>
        <w:t>Члан 9.</w:t>
      </w:r>
    </w:p>
    <w:p w14:paraId="4903E4D4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Средства која се, у складу са овом уредбом, доделе за реализацију програма и пројекта су наменска средства и могу да се користе искључиво за реализацију конкретног програма и пројекта.</w:t>
      </w:r>
    </w:p>
    <w:p w14:paraId="356E7939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10.</w:t>
      </w:r>
    </w:p>
    <w:p w14:paraId="6A2D623C" w14:textId="77777777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Међусобна права и обавезе у вези са доделом подстицајних средстава уређују се уговором који закључују Министарство и јединице локалне самоуправе.</w:t>
      </w:r>
    </w:p>
    <w:p w14:paraId="6A1E9287" w14:textId="77777777" w:rsidR="009435E6" w:rsidRPr="00DA06A1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11.</w:t>
      </w:r>
    </w:p>
    <w:p w14:paraId="31E8331D" w14:textId="50506F02" w:rsidR="009435E6" w:rsidRPr="00DA06A1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Ова уредба ступа на снагу осмог дана од данa објављивања у „Службеном гласнику Републике Србије”.</w:t>
      </w:r>
    </w:p>
    <w:p w14:paraId="38BF8C73" w14:textId="277BE0C2" w:rsidR="00BE7362" w:rsidRPr="00DA06A1" w:rsidRDefault="00BE7362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566A492B" w14:textId="77777777" w:rsidR="00BE7362" w:rsidRPr="00DA06A1" w:rsidRDefault="00BE7362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33FDB2DB" w14:textId="69A2D527" w:rsidR="009435E6" w:rsidRPr="00673F0A" w:rsidRDefault="00BE7362" w:rsidP="00BE7362">
      <w:pPr>
        <w:shd w:val="clear" w:color="auto" w:fill="FFFFFF"/>
        <w:spacing w:after="150" w:line="240" w:lineRule="auto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05 Б</w:t>
      </w:r>
      <w:r w:rsidR="009435E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рој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:</w:t>
      </w:r>
      <w:r w:rsidR="009435E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="00673F0A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110-392/202</w:t>
      </w:r>
      <w:r w:rsidR="00EA15E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6</w:t>
      </w:r>
    </w:p>
    <w:p w14:paraId="26C354CD" w14:textId="18BB9DD6" w:rsidR="009435E6" w:rsidRPr="00DA06A1" w:rsidRDefault="009435E6" w:rsidP="00BE7362">
      <w:pPr>
        <w:shd w:val="clear" w:color="auto" w:fill="FFFFFF"/>
        <w:spacing w:after="150" w:line="240" w:lineRule="auto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 Београду,</w:t>
      </w:r>
      <w:r w:rsidR="00673F0A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22. </w:t>
      </w:r>
      <w:r w:rsidR="00673F0A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јануара 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202</w:t>
      </w:r>
      <w:r w:rsidR="00905556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="002B6901"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</w:t>
      </w: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године</w:t>
      </w:r>
    </w:p>
    <w:p w14:paraId="5BC720A7" w14:textId="77777777" w:rsidR="00224F36" w:rsidRPr="00DA06A1" w:rsidRDefault="00224F36" w:rsidP="00224F36">
      <w:pPr>
        <w:shd w:val="clear" w:color="auto" w:fill="FFFFFF"/>
        <w:spacing w:after="0" w:line="240" w:lineRule="auto"/>
        <w:ind w:firstLine="480"/>
        <w:jc w:val="center"/>
        <w:rPr>
          <w:rFonts w:eastAsia="Times New Roman"/>
          <w:b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09710906" w14:textId="77777777" w:rsidR="00224F36" w:rsidRPr="00DA06A1" w:rsidRDefault="00224F36" w:rsidP="00224F36">
      <w:pPr>
        <w:shd w:val="clear" w:color="auto" w:fill="FFFFFF"/>
        <w:spacing w:after="0" w:line="240" w:lineRule="auto"/>
        <w:ind w:firstLine="480"/>
        <w:jc w:val="center"/>
        <w:rPr>
          <w:rFonts w:eastAsia="Times New Roman"/>
          <w:b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502420DE" w14:textId="77777777" w:rsidR="00540DB0" w:rsidRDefault="00224F36" w:rsidP="00540DB0">
      <w:pPr>
        <w:jc w:val="center"/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</w:pPr>
      <w:r w:rsidRPr="00DA06A1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В Л А Д А</w:t>
      </w:r>
      <w:r w:rsidR="00540DB0" w:rsidRPr="00540DB0"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 xml:space="preserve"> </w:t>
      </w:r>
    </w:p>
    <w:p w14:paraId="7A5FB305" w14:textId="209D5DCC" w:rsidR="00540DB0" w:rsidRPr="00540DB0" w:rsidRDefault="00540DB0" w:rsidP="00540DB0">
      <w:pPr>
        <w:ind w:left="5040" w:firstLine="720"/>
        <w:jc w:val="center"/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</w:pPr>
      <w:r w:rsidRPr="00540DB0"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>ПРЕДСЕДНИК</w:t>
      </w:r>
    </w:p>
    <w:p w14:paraId="4463C31F" w14:textId="77777777" w:rsidR="00540DB0" w:rsidRPr="00540DB0" w:rsidRDefault="00540DB0" w:rsidP="00540DB0">
      <w:pPr>
        <w:tabs>
          <w:tab w:val="left" w:pos="1418"/>
        </w:tabs>
        <w:spacing w:after="0" w:line="240" w:lineRule="auto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4241634A" w14:textId="77777777" w:rsidR="00540DB0" w:rsidRPr="00540DB0" w:rsidRDefault="00540DB0" w:rsidP="00540DB0">
      <w:pPr>
        <w:tabs>
          <w:tab w:val="left" w:pos="1418"/>
        </w:tabs>
        <w:spacing w:after="0" w:line="240" w:lineRule="auto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06BEA494" w14:textId="35B7876E" w:rsidR="001033FC" w:rsidRPr="00DA06A1" w:rsidRDefault="00540DB0" w:rsidP="00540DB0">
      <w:pPr>
        <w:shd w:val="clear" w:color="auto" w:fill="FFFFFF"/>
        <w:spacing w:after="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540DB0"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 xml:space="preserve">   </w:t>
      </w:r>
      <w:r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ab/>
      </w:r>
      <w:r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ab/>
      </w:r>
      <w:r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ab/>
      </w:r>
      <w:r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ab/>
      </w:r>
      <w:r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ab/>
      </w:r>
      <w:r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ab/>
      </w:r>
      <w:r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ab/>
      </w:r>
      <w:r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ab/>
      </w:r>
      <w:r w:rsidRPr="00540DB0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</w:t>
      </w:r>
      <w:r w:rsidRPr="00540DB0">
        <w:rPr>
          <w:rFonts w:eastAsia="Times New Roman"/>
          <w:vanish w:val="0"/>
          <w:color w:val="auto"/>
          <w:kern w:val="0"/>
          <w:szCs w:val="24"/>
          <w:lang w:val="ru-RU"/>
          <w14:ligatures w14:val="none"/>
          <w14:cntxtAlts w14:val="0"/>
        </w:rPr>
        <w:t xml:space="preserve"> проф. др Ђуро Мацут, с.р.</w:t>
      </w:r>
    </w:p>
    <w:p w14:paraId="0CED260D" w14:textId="00D96AFD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2FEA0A1C" w14:textId="40928F5E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5192DB28" w14:textId="09EE7323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1BC3C4E2" w14:textId="4064CA4C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75B1A849" w14:textId="3B920130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6B447443" w14:textId="3C2D28C6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2B820647" w14:textId="36379D2C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0E95707D" w14:textId="1609142D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25F46131" w14:textId="0333B552" w:rsidR="001033FC" w:rsidRPr="00DA06A1" w:rsidRDefault="001033FC" w:rsidP="009435E6">
      <w:pPr>
        <w:shd w:val="clear" w:color="auto" w:fill="FFFFFF"/>
        <w:spacing w:after="150" w:line="240" w:lineRule="auto"/>
        <w:ind w:firstLine="480"/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DA06A1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</w:p>
    <w:p w14:paraId="1FCC8F30" w14:textId="77777777" w:rsidR="00534433" w:rsidRPr="00DA06A1" w:rsidRDefault="00534433">
      <w:pPr>
        <w:rPr>
          <w:szCs w:val="24"/>
          <w:lang w:val="sr-Cyrl-CS"/>
        </w:rPr>
      </w:pPr>
    </w:p>
    <w:sectPr w:rsidR="00534433" w:rsidRPr="00DA06A1" w:rsidSect="00C132D2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06E97"/>
    <w:multiLevelType w:val="hybridMultilevel"/>
    <w:tmpl w:val="DD4AE66A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7BBF1C9C"/>
    <w:multiLevelType w:val="hybridMultilevel"/>
    <w:tmpl w:val="8C4CA536"/>
    <w:lvl w:ilvl="0" w:tplc="566864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993560001">
    <w:abstractNumId w:val="0"/>
  </w:num>
  <w:num w:numId="2" w16cid:durableId="122613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722"/>
    <w:rsid w:val="00010D56"/>
    <w:rsid w:val="00017302"/>
    <w:rsid w:val="0003108A"/>
    <w:rsid w:val="000429BE"/>
    <w:rsid w:val="000B7968"/>
    <w:rsid w:val="001033FC"/>
    <w:rsid w:val="00123A4B"/>
    <w:rsid w:val="00196C7B"/>
    <w:rsid w:val="001B71CE"/>
    <w:rsid w:val="001C5521"/>
    <w:rsid w:val="00224F36"/>
    <w:rsid w:val="00234C8B"/>
    <w:rsid w:val="002805AB"/>
    <w:rsid w:val="00282864"/>
    <w:rsid w:val="002919B3"/>
    <w:rsid w:val="002A4958"/>
    <w:rsid w:val="002B6901"/>
    <w:rsid w:val="002C5D21"/>
    <w:rsid w:val="003430F7"/>
    <w:rsid w:val="00352BF1"/>
    <w:rsid w:val="00365F32"/>
    <w:rsid w:val="00383359"/>
    <w:rsid w:val="003905B1"/>
    <w:rsid w:val="003B2300"/>
    <w:rsid w:val="003C7C20"/>
    <w:rsid w:val="003E5582"/>
    <w:rsid w:val="003E6DE1"/>
    <w:rsid w:val="00401F5B"/>
    <w:rsid w:val="00415FDA"/>
    <w:rsid w:val="004659C0"/>
    <w:rsid w:val="0048459D"/>
    <w:rsid w:val="004E7CB7"/>
    <w:rsid w:val="004F7866"/>
    <w:rsid w:val="00511227"/>
    <w:rsid w:val="00534433"/>
    <w:rsid w:val="00540DB0"/>
    <w:rsid w:val="005C1764"/>
    <w:rsid w:val="005D0B15"/>
    <w:rsid w:val="005F1679"/>
    <w:rsid w:val="006528BB"/>
    <w:rsid w:val="0066375C"/>
    <w:rsid w:val="00665D3F"/>
    <w:rsid w:val="00673F0A"/>
    <w:rsid w:val="006B309D"/>
    <w:rsid w:val="00701BF8"/>
    <w:rsid w:val="00711A27"/>
    <w:rsid w:val="007246BE"/>
    <w:rsid w:val="007B3C20"/>
    <w:rsid w:val="007F5EA8"/>
    <w:rsid w:val="008D50A8"/>
    <w:rsid w:val="008F0F81"/>
    <w:rsid w:val="00905556"/>
    <w:rsid w:val="0092633C"/>
    <w:rsid w:val="009435E6"/>
    <w:rsid w:val="00946E3C"/>
    <w:rsid w:val="009940A1"/>
    <w:rsid w:val="009A654B"/>
    <w:rsid w:val="009D1722"/>
    <w:rsid w:val="009D2563"/>
    <w:rsid w:val="00A017BB"/>
    <w:rsid w:val="00A270BC"/>
    <w:rsid w:val="00A665F7"/>
    <w:rsid w:val="00A955BE"/>
    <w:rsid w:val="00AA7C24"/>
    <w:rsid w:val="00AB5E50"/>
    <w:rsid w:val="00AE261E"/>
    <w:rsid w:val="00AE33B2"/>
    <w:rsid w:val="00B35AFF"/>
    <w:rsid w:val="00B8598E"/>
    <w:rsid w:val="00B90BD3"/>
    <w:rsid w:val="00BE7362"/>
    <w:rsid w:val="00C07229"/>
    <w:rsid w:val="00C132D2"/>
    <w:rsid w:val="00C404FA"/>
    <w:rsid w:val="00C83A31"/>
    <w:rsid w:val="00CD25F3"/>
    <w:rsid w:val="00D60574"/>
    <w:rsid w:val="00DA06A1"/>
    <w:rsid w:val="00DA0943"/>
    <w:rsid w:val="00DB3424"/>
    <w:rsid w:val="00DB46B7"/>
    <w:rsid w:val="00DC7636"/>
    <w:rsid w:val="00DD067B"/>
    <w:rsid w:val="00DF144E"/>
    <w:rsid w:val="00E113C8"/>
    <w:rsid w:val="00E27DC3"/>
    <w:rsid w:val="00E3081E"/>
    <w:rsid w:val="00E40602"/>
    <w:rsid w:val="00E66A6F"/>
    <w:rsid w:val="00E9059C"/>
    <w:rsid w:val="00EA15ED"/>
    <w:rsid w:val="00ED4A00"/>
    <w:rsid w:val="00F94112"/>
    <w:rsid w:val="00FB455A"/>
    <w:rsid w:val="00FE0396"/>
    <w:rsid w:val="00F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2E88E"/>
  <w15:chartTrackingRefBased/>
  <w15:docId w15:val="{3346FA6F-1976-475E-8F11-0B5C110D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vanish/>
        <w:color w:val="000000"/>
        <w:kern w:val="2"/>
        <w:sz w:val="24"/>
        <w:szCs w:val="22"/>
        <w:lang w:val="en-US" w:eastAsia="en-US" w:bidi="ar-SA"/>
        <w14:ligatures w14:val="standardContextual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7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5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3446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660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613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594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88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69651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6307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94482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1199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6766E-E080-4073-AE9C-C487BBC4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Boljanić</dc:creator>
  <cp:keywords/>
  <dc:description/>
  <cp:lastModifiedBy>Ivana Vojinović</cp:lastModifiedBy>
  <cp:revision>2</cp:revision>
  <cp:lastPrinted>2026-01-21T10:18:00Z</cp:lastPrinted>
  <dcterms:created xsi:type="dcterms:W3CDTF">2026-01-26T10:35:00Z</dcterms:created>
  <dcterms:modified xsi:type="dcterms:W3CDTF">2026-01-26T10:35:00Z</dcterms:modified>
</cp:coreProperties>
</file>